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6BD09" w14:textId="77777777" w:rsidR="00FD6F3E" w:rsidRPr="00ED156A" w:rsidRDefault="00FD6F3E" w:rsidP="00FD6F3E">
      <w:pPr>
        <w:spacing w:before="100" w:beforeAutospacing="1" w:after="100" w:afterAutospacing="1" w:line="360" w:lineRule="auto"/>
        <w:rPr>
          <w:rFonts w:ascii="Times New Roman" w:hAnsi="Times New Roman" w:cs="Times New Roman"/>
          <w:sz w:val="24"/>
          <w:szCs w:val="24"/>
        </w:rPr>
      </w:pPr>
      <w:r w:rsidRPr="00ED156A">
        <w:rPr>
          <w:rFonts w:ascii="Times New Roman" w:hAnsi="Times New Roman" w:cs="Times New Roman"/>
          <w:b/>
          <w:bCs/>
          <w:sz w:val="24"/>
          <w:szCs w:val="24"/>
        </w:rPr>
        <w:t xml:space="preserve">Table </w:t>
      </w:r>
      <w:r>
        <w:rPr>
          <w:rFonts w:ascii="Times New Roman" w:hAnsi="Times New Roman" w:cs="Times New Roman"/>
          <w:b/>
          <w:bCs/>
          <w:sz w:val="24"/>
          <w:szCs w:val="24"/>
        </w:rPr>
        <w:t>S1</w:t>
      </w:r>
      <w:r w:rsidRPr="00ED156A">
        <w:rPr>
          <w:rFonts w:ascii="Times New Roman" w:hAnsi="Times New Roman" w:cs="Times New Roman"/>
          <w:b/>
          <w:bCs/>
          <w:sz w:val="24"/>
          <w:szCs w:val="24"/>
        </w:rPr>
        <w:t>. Characteristics of included studies</w:t>
      </w:r>
    </w:p>
    <w:tbl>
      <w:tblPr>
        <w:tblStyle w:val="TableGrid"/>
        <w:tblW w:w="16019" w:type="dxa"/>
        <w:tblInd w:w="-998" w:type="dxa"/>
        <w:tblLook w:val="04A0" w:firstRow="1" w:lastRow="0" w:firstColumn="1" w:lastColumn="0" w:noHBand="0" w:noVBand="1"/>
      </w:tblPr>
      <w:tblGrid>
        <w:gridCol w:w="1589"/>
        <w:gridCol w:w="1667"/>
        <w:gridCol w:w="2948"/>
        <w:gridCol w:w="2815"/>
        <w:gridCol w:w="7000"/>
      </w:tblGrid>
      <w:tr w:rsidR="00FD6F3E" w:rsidRPr="00ED156A" w14:paraId="4CA3EE63" w14:textId="77777777" w:rsidTr="005F2495">
        <w:tc>
          <w:tcPr>
            <w:tcW w:w="1448" w:type="dxa"/>
          </w:tcPr>
          <w:p w14:paraId="55BECC86" w14:textId="77777777" w:rsidR="00FD6F3E" w:rsidRPr="00ED156A" w:rsidRDefault="00FD6F3E" w:rsidP="005F2495">
            <w:pPr>
              <w:spacing w:line="360" w:lineRule="auto"/>
              <w:rPr>
                <w:rFonts w:ascii="Times New Roman" w:hAnsi="Times New Roman" w:cs="Times New Roman"/>
                <w:b/>
                <w:bCs/>
                <w:sz w:val="24"/>
                <w:szCs w:val="24"/>
                <w:lang w:val="en-US"/>
              </w:rPr>
            </w:pPr>
            <w:r w:rsidRPr="00ED156A">
              <w:rPr>
                <w:rFonts w:ascii="Times New Roman" w:hAnsi="Times New Roman" w:cs="Times New Roman"/>
                <w:b/>
                <w:bCs/>
                <w:sz w:val="24"/>
                <w:szCs w:val="24"/>
                <w:lang w:val="en-US"/>
              </w:rPr>
              <w:t>Authors (year)</w:t>
            </w:r>
          </w:p>
        </w:tc>
        <w:tc>
          <w:tcPr>
            <w:tcW w:w="1672" w:type="dxa"/>
          </w:tcPr>
          <w:p w14:paraId="13B90ABF" w14:textId="77777777" w:rsidR="00FD6F3E" w:rsidRPr="00ED156A" w:rsidRDefault="00FD6F3E" w:rsidP="005F2495">
            <w:pPr>
              <w:spacing w:line="360" w:lineRule="auto"/>
              <w:rPr>
                <w:rFonts w:ascii="Times New Roman" w:hAnsi="Times New Roman" w:cs="Times New Roman"/>
                <w:b/>
                <w:bCs/>
                <w:sz w:val="24"/>
                <w:szCs w:val="24"/>
                <w:lang w:val="en-US"/>
              </w:rPr>
            </w:pPr>
            <w:r w:rsidRPr="00ED156A">
              <w:rPr>
                <w:rFonts w:ascii="Times New Roman" w:hAnsi="Times New Roman" w:cs="Times New Roman"/>
                <w:b/>
                <w:bCs/>
                <w:sz w:val="24"/>
                <w:szCs w:val="24"/>
                <w:lang w:val="en-US"/>
              </w:rPr>
              <w:t>Country</w:t>
            </w:r>
          </w:p>
        </w:tc>
        <w:tc>
          <w:tcPr>
            <w:tcW w:w="2976" w:type="dxa"/>
          </w:tcPr>
          <w:p w14:paraId="3CDE019A" w14:textId="77777777" w:rsidR="00FD6F3E" w:rsidRPr="00ED156A" w:rsidRDefault="00FD6F3E" w:rsidP="005F2495">
            <w:pPr>
              <w:spacing w:line="360" w:lineRule="auto"/>
              <w:rPr>
                <w:rFonts w:ascii="Times New Roman" w:hAnsi="Times New Roman" w:cs="Times New Roman"/>
                <w:b/>
                <w:bCs/>
                <w:sz w:val="24"/>
                <w:szCs w:val="24"/>
                <w:lang w:val="en-US"/>
              </w:rPr>
            </w:pPr>
            <w:r w:rsidRPr="00ED156A">
              <w:rPr>
                <w:rFonts w:ascii="Times New Roman" w:hAnsi="Times New Roman" w:cs="Times New Roman"/>
                <w:b/>
                <w:bCs/>
                <w:sz w:val="24"/>
                <w:szCs w:val="24"/>
                <w:lang w:val="en-US"/>
              </w:rPr>
              <w:t>Participants</w:t>
            </w:r>
          </w:p>
        </w:tc>
        <w:tc>
          <w:tcPr>
            <w:tcW w:w="2835" w:type="dxa"/>
          </w:tcPr>
          <w:p w14:paraId="2BF03DF9" w14:textId="77777777" w:rsidR="00FD6F3E" w:rsidRPr="00ED156A" w:rsidRDefault="00FD6F3E" w:rsidP="005F2495">
            <w:pPr>
              <w:spacing w:line="360" w:lineRule="auto"/>
              <w:rPr>
                <w:rFonts w:ascii="Times New Roman" w:hAnsi="Times New Roman" w:cs="Times New Roman"/>
                <w:b/>
                <w:bCs/>
                <w:sz w:val="24"/>
                <w:szCs w:val="24"/>
                <w:lang w:val="en-US"/>
              </w:rPr>
            </w:pPr>
            <w:r w:rsidRPr="00ED156A">
              <w:rPr>
                <w:rFonts w:ascii="Times New Roman" w:hAnsi="Times New Roman" w:cs="Times New Roman"/>
                <w:b/>
                <w:bCs/>
                <w:sz w:val="24"/>
                <w:szCs w:val="24"/>
                <w:lang w:val="en-US"/>
              </w:rPr>
              <w:t>Design</w:t>
            </w:r>
          </w:p>
        </w:tc>
        <w:tc>
          <w:tcPr>
            <w:tcW w:w="7088" w:type="dxa"/>
          </w:tcPr>
          <w:p w14:paraId="3A8648CF" w14:textId="77777777" w:rsidR="00FD6F3E" w:rsidRPr="00ED156A" w:rsidRDefault="00FD6F3E" w:rsidP="005F2495">
            <w:pPr>
              <w:spacing w:line="360" w:lineRule="auto"/>
              <w:rPr>
                <w:rFonts w:ascii="Times New Roman" w:hAnsi="Times New Roman" w:cs="Times New Roman"/>
                <w:b/>
                <w:bCs/>
                <w:sz w:val="24"/>
                <w:szCs w:val="24"/>
                <w:lang w:val="en-US"/>
              </w:rPr>
            </w:pPr>
            <w:r w:rsidRPr="00ED156A">
              <w:rPr>
                <w:rFonts w:ascii="Times New Roman" w:hAnsi="Times New Roman" w:cs="Times New Roman"/>
                <w:b/>
                <w:bCs/>
                <w:sz w:val="24"/>
                <w:szCs w:val="24"/>
                <w:lang w:val="en-US"/>
              </w:rPr>
              <w:t xml:space="preserve">Factors considered </w:t>
            </w:r>
          </w:p>
        </w:tc>
      </w:tr>
      <w:tr w:rsidR="00FD6F3E" w:rsidRPr="00ED156A" w14:paraId="08E3B76B" w14:textId="77777777" w:rsidTr="005F2495">
        <w:tc>
          <w:tcPr>
            <w:tcW w:w="1448" w:type="dxa"/>
          </w:tcPr>
          <w:p w14:paraId="47FD26DA"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Barbuti et al. (2019)</w:t>
            </w:r>
          </w:p>
        </w:tc>
        <w:tc>
          <w:tcPr>
            <w:tcW w:w="1672" w:type="dxa"/>
          </w:tcPr>
          <w:p w14:paraId="55C85FB2"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International – various countries across Europe, </w:t>
            </w:r>
            <w:proofErr w:type="gramStart"/>
            <w:r w:rsidRPr="00ED156A">
              <w:rPr>
                <w:rFonts w:ascii="Times New Roman" w:hAnsi="Times New Roman" w:cs="Times New Roman"/>
                <w:sz w:val="24"/>
                <w:szCs w:val="24"/>
                <w:lang w:val="en-US"/>
              </w:rPr>
              <w:t>Asia</w:t>
            </w:r>
            <w:proofErr w:type="gramEnd"/>
            <w:r w:rsidRPr="00ED156A">
              <w:rPr>
                <w:rFonts w:ascii="Times New Roman" w:hAnsi="Times New Roman" w:cs="Times New Roman"/>
                <w:sz w:val="24"/>
                <w:szCs w:val="24"/>
                <w:lang w:val="en-US"/>
              </w:rPr>
              <w:t xml:space="preserve"> and North Africa</w:t>
            </w:r>
          </w:p>
        </w:tc>
        <w:tc>
          <w:tcPr>
            <w:tcW w:w="2976" w:type="dxa"/>
          </w:tcPr>
          <w:p w14:paraId="030C1C17"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7,055 adults with major depressive disorder</w:t>
            </w:r>
          </w:p>
          <w:p w14:paraId="029E4B77" w14:textId="77777777" w:rsidR="00FD6F3E" w:rsidRPr="00ED156A" w:rsidRDefault="00FD6F3E" w:rsidP="005F2495">
            <w:pPr>
              <w:spacing w:line="360" w:lineRule="auto"/>
              <w:rPr>
                <w:rFonts w:ascii="Times New Roman" w:hAnsi="Times New Roman" w:cs="Times New Roman"/>
                <w:sz w:val="24"/>
                <w:szCs w:val="24"/>
                <w:lang w:val="en-US"/>
              </w:rPr>
            </w:pPr>
          </w:p>
          <w:p w14:paraId="0DC1D50D"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1,072 (15%) first episode</w:t>
            </w:r>
          </w:p>
          <w:p w14:paraId="6016FC67"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1136 (16%) had one previous episode</w:t>
            </w:r>
          </w:p>
          <w:p w14:paraId="6CDDE5D5"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1865 (27%) had 2-3 previous episodes</w:t>
            </w:r>
          </w:p>
          <w:p w14:paraId="17C71205"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2982 (42%) had at least 4 previous episodes </w:t>
            </w:r>
          </w:p>
        </w:tc>
        <w:tc>
          <w:tcPr>
            <w:tcW w:w="2835" w:type="dxa"/>
          </w:tcPr>
          <w:p w14:paraId="4B0B042F"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Cohort study</w:t>
            </w:r>
          </w:p>
        </w:tc>
        <w:tc>
          <w:tcPr>
            <w:tcW w:w="7088" w:type="dxa"/>
          </w:tcPr>
          <w:p w14:paraId="00AC6C06"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Family history: Family history of bipolar disorder</w:t>
            </w:r>
          </w:p>
          <w:p w14:paraId="71B8D9B3" w14:textId="77777777" w:rsidR="00FD6F3E" w:rsidRPr="00ED156A" w:rsidRDefault="00FD6F3E" w:rsidP="005F2495">
            <w:pPr>
              <w:spacing w:line="360" w:lineRule="auto"/>
              <w:rPr>
                <w:rFonts w:ascii="Times New Roman" w:hAnsi="Times New Roman" w:cs="Times New Roman"/>
                <w:sz w:val="24"/>
                <w:szCs w:val="24"/>
                <w:lang w:val="en-US"/>
              </w:rPr>
            </w:pPr>
          </w:p>
          <w:p w14:paraId="5B8498B8"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Clinical picture: Atypical depressive symptoms; Psychotic features; Age of onset; History of suicide attempts; Treatment with antidepressants; Bipolarity; Comorbid disorders (anxiety, eating disorders, substance use disorders, ADHD); melancholic features</w:t>
            </w:r>
          </w:p>
        </w:tc>
      </w:tr>
      <w:tr w:rsidR="00FD6F3E" w:rsidRPr="00ED156A" w14:paraId="38786E38" w14:textId="77777777" w:rsidTr="005F2495">
        <w:tc>
          <w:tcPr>
            <w:tcW w:w="1448" w:type="dxa"/>
          </w:tcPr>
          <w:p w14:paraId="23003EEB" w14:textId="77777777" w:rsidR="00FD6F3E" w:rsidRPr="00ED156A" w:rsidRDefault="00FD6F3E"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lang w:val="en-US"/>
              </w:rPr>
              <w:t>Benjet</w:t>
            </w:r>
            <w:proofErr w:type="spellEnd"/>
            <w:r w:rsidRPr="00ED156A">
              <w:rPr>
                <w:rFonts w:ascii="Times New Roman" w:hAnsi="Times New Roman" w:cs="Times New Roman"/>
                <w:sz w:val="24"/>
                <w:szCs w:val="24"/>
                <w:lang w:val="en-US"/>
              </w:rPr>
              <w:t xml:space="preserve"> et al. (2020)</w:t>
            </w:r>
          </w:p>
        </w:tc>
        <w:tc>
          <w:tcPr>
            <w:tcW w:w="1672" w:type="dxa"/>
          </w:tcPr>
          <w:p w14:paraId="5B7A75F1"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Mexico</w:t>
            </w:r>
          </w:p>
        </w:tc>
        <w:tc>
          <w:tcPr>
            <w:tcW w:w="2976" w:type="dxa"/>
          </w:tcPr>
          <w:p w14:paraId="040B7DB7"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1,071 individuals who were aged 12-17 at baseline</w:t>
            </w:r>
          </w:p>
        </w:tc>
        <w:tc>
          <w:tcPr>
            <w:tcW w:w="2835" w:type="dxa"/>
          </w:tcPr>
          <w:p w14:paraId="47E27CD1"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Prospective longitudinal cohort study – diagnostic assessment carried out at baseline and 8 years later</w:t>
            </w:r>
          </w:p>
        </w:tc>
        <w:tc>
          <w:tcPr>
            <w:tcW w:w="7088" w:type="dxa"/>
          </w:tcPr>
          <w:p w14:paraId="56DB45A0"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Socio-demographics: gender; living with both parents </w:t>
            </w:r>
            <w:proofErr w:type="gramStart"/>
            <w:r w:rsidRPr="00ED156A">
              <w:rPr>
                <w:rFonts w:ascii="Times New Roman" w:hAnsi="Times New Roman" w:cs="Times New Roman"/>
                <w:sz w:val="24"/>
                <w:szCs w:val="24"/>
                <w:lang w:val="en-US"/>
              </w:rPr>
              <w:t>or</w:t>
            </w:r>
            <w:proofErr w:type="gramEnd"/>
            <w:r w:rsidRPr="00ED156A">
              <w:rPr>
                <w:rFonts w:ascii="Times New Roman" w:hAnsi="Times New Roman" w:cs="Times New Roman"/>
                <w:sz w:val="24"/>
                <w:szCs w:val="24"/>
                <w:lang w:val="en-US"/>
              </w:rPr>
              <w:t xml:space="preserve"> not; parental education</w:t>
            </w:r>
          </w:p>
          <w:p w14:paraId="350AF3F3" w14:textId="77777777" w:rsidR="00FD6F3E" w:rsidRPr="00ED156A" w:rsidRDefault="00FD6F3E" w:rsidP="005F2495">
            <w:pPr>
              <w:spacing w:line="360" w:lineRule="auto"/>
              <w:rPr>
                <w:rFonts w:ascii="Times New Roman" w:hAnsi="Times New Roman" w:cs="Times New Roman"/>
                <w:sz w:val="24"/>
                <w:szCs w:val="24"/>
                <w:lang w:val="en-US"/>
              </w:rPr>
            </w:pPr>
          </w:p>
          <w:p w14:paraId="003D8F8B"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Family history: parental </w:t>
            </w:r>
            <w:proofErr w:type="gramStart"/>
            <w:r w:rsidRPr="00ED156A">
              <w:rPr>
                <w:rFonts w:ascii="Times New Roman" w:hAnsi="Times New Roman" w:cs="Times New Roman"/>
                <w:sz w:val="24"/>
                <w:szCs w:val="24"/>
                <w:lang w:val="en-US"/>
              </w:rPr>
              <w:t>depression;</w:t>
            </w:r>
            <w:proofErr w:type="gramEnd"/>
          </w:p>
          <w:p w14:paraId="54B867F0" w14:textId="77777777" w:rsidR="00FD6F3E" w:rsidRPr="00ED156A" w:rsidRDefault="00FD6F3E" w:rsidP="005F2495">
            <w:pPr>
              <w:spacing w:line="360" w:lineRule="auto"/>
              <w:rPr>
                <w:rFonts w:ascii="Times New Roman" w:hAnsi="Times New Roman" w:cs="Times New Roman"/>
                <w:sz w:val="24"/>
                <w:szCs w:val="24"/>
                <w:lang w:val="en-US"/>
              </w:rPr>
            </w:pPr>
          </w:p>
          <w:p w14:paraId="417854FB"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Clinical picture: suicidal ideation; co-morbid anxiety, substance use, </w:t>
            </w:r>
            <w:proofErr w:type="spellStart"/>
            <w:r w:rsidRPr="00ED156A">
              <w:rPr>
                <w:rFonts w:ascii="Times New Roman" w:hAnsi="Times New Roman" w:cs="Times New Roman"/>
                <w:sz w:val="24"/>
                <w:szCs w:val="24"/>
                <w:lang w:val="en-US"/>
              </w:rPr>
              <w:t>behavioural</w:t>
            </w:r>
            <w:proofErr w:type="spellEnd"/>
            <w:r w:rsidRPr="00ED156A">
              <w:rPr>
                <w:rFonts w:ascii="Times New Roman" w:hAnsi="Times New Roman" w:cs="Times New Roman"/>
                <w:sz w:val="24"/>
                <w:szCs w:val="24"/>
                <w:lang w:val="en-US"/>
              </w:rPr>
              <w:t xml:space="preserve"> disorder or eating disorder</w:t>
            </w:r>
          </w:p>
          <w:p w14:paraId="4060ED89" w14:textId="77777777" w:rsidR="00FD6F3E" w:rsidRPr="00ED156A" w:rsidRDefault="00FD6F3E" w:rsidP="005F2495">
            <w:pPr>
              <w:spacing w:line="360" w:lineRule="auto"/>
              <w:rPr>
                <w:rFonts w:ascii="Times New Roman" w:hAnsi="Times New Roman" w:cs="Times New Roman"/>
                <w:sz w:val="24"/>
                <w:szCs w:val="24"/>
                <w:lang w:val="en-US"/>
              </w:rPr>
            </w:pPr>
          </w:p>
          <w:p w14:paraId="61857E21"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lastRenderedPageBreak/>
              <w:t>Traumatic experience: sexual abuse/rape; domestic violence; non-domestic violence; natural or man-made disaster; life-threatening illness or accident; death of/trauma to a loved one; witnessed death or trauma of someone else; other events participants do not want to disclose</w:t>
            </w:r>
          </w:p>
          <w:p w14:paraId="59449E44" w14:textId="77777777" w:rsidR="00FD6F3E" w:rsidRPr="00ED156A" w:rsidRDefault="00FD6F3E" w:rsidP="005F2495">
            <w:pPr>
              <w:spacing w:line="360" w:lineRule="auto"/>
              <w:rPr>
                <w:rFonts w:ascii="Times New Roman" w:hAnsi="Times New Roman" w:cs="Times New Roman"/>
                <w:sz w:val="24"/>
                <w:szCs w:val="24"/>
                <w:lang w:val="en-US"/>
              </w:rPr>
            </w:pPr>
          </w:p>
        </w:tc>
      </w:tr>
      <w:tr w:rsidR="00FD6F3E" w:rsidRPr="00ED156A" w14:paraId="5DAE07DC" w14:textId="77777777" w:rsidTr="005F2495">
        <w:tc>
          <w:tcPr>
            <w:tcW w:w="1448" w:type="dxa"/>
          </w:tcPr>
          <w:p w14:paraId="7F293A2C"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lastRenderedPageBreak/>
              <w:t xml:space="preserve">De </w:t>
            </w:r>
            <w:proofErr w:type="spellStart"/>
            <w:r w:rsidRPr="00ED156A">
              <w:rPr>
                <w:rFonts w:ascii="Times New Roman" w:hAnsi="Times New Roman" w:cs="Times New Roman"/>
                <w:sz w:val="24"/>
                <w:szCs w:val="24"/>
                <w:lang w:val="en-US"/>
              </w:rPr>
              <w:t>Jonge</w:t>
            </w:r>
            <w:proofErr w:type="spellEnd"/>
            <w:r w:rsidRPr="00ED156A">
              <w:rPr>
                <w:rFonts w:ascii="Times New Roman" w:hAnsi="Times New Roman" w:cs="Times New Roman"/>
                <w:sz w:val="24"/>
                <w:szCs w:val="24"/>
                <w:lang w:val="en-US"/>
              </w:rPr>
              <w:t xml:space="preserve"> et al. (2018)</w:t>
            </w:r>
          </w:p>
        </w:tc>
        <w:tc>
          <w:tcPr>
            <w:tcW w:w="1672" w:type="dxa"/>
          </w:tcPr>
          <w:p w14:paraId="6BA9B666"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Netherlands</w:t>
            </w:r>
          </w:p>
        </w:tc>
        <w:tc>
          <w:tcPr>
            <w:tcW w:w="2976" w:type="dxa"/>
          </w:tcPr>
          <w:p w14:paraId="68C7502D"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214 individuals with recurrent depression who were in remission </w:t>
            </w:r>
          </w:p>
        </w:tc>
        <w:tc>
          <w:tcPr>
            <w:tcW w:w="2835" w:type="dxa"/>
          </w:tcPr>
          <w:p w14:paraId="415BC88E"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Cross-sectional quantitative</w:t>
            </w:r>
          </w:p>
        </w:tc>
        <w:tc>
          <w:tcPr>
            <w:tcW w:w="7088" w:type="dxa"/>
          </w:tcPr>
          <w:p w14:paraId="7929D33D"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Clinical picture: Number of previous depressive episodes; Age of onset; Previous depression severity </w:t>
            </w:r>
          </w:p>
          <w:p w14:paraId="5499BB54" w14:textId="77777777" w:rsidR="00FD6F3E" w:rsidRPr="00ED156A" w:rsidRDefault="00FD6F3E" w:rsidP="005F2495">
            <w:pPr>
              <w:spacing w:line="360" w:lineRule="auto"/>
              <w:rPr>
                <w:rFonts w:ascii="Times New Roman" w:hAnsi="Times New Roman" w:cs="Times New Roman"/>
                <w:sz w:val="24"/>
                <w:szCs w:val="24"/>
                <w:lang w:val="en-US"/>
              </w:rPr>
            </w:pPr>
          </w:p>
          <w:p w14:paraId="28B45C36"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Psychosocial: Interpersonal functioning; Daily stress; Coping</w:t>
            </w:r>
          </w:p>
          <w:p w14:paraId="2A423D2A" w14:textId="77777777" w:rsidR="00FD6F3E" w:rsidRPr="00ED156A" w:rsidRDefault="00FD6F3E" w:rsidP="005F2495">
            <w:pPr>
              <w:spacing w:line="360" w:lineRule="auto"/>
              <w:rPr>
                <w:rFonts w:ascii="Times New Roman" w:hAnsi="Times New Roman" w:cs="Times New Roman"/>
                <w:sz w:val="24"/>
                <w:szCs w:val="24"/>
                <w:lang w:val="en-US"/>
              </w:rPr>
            </w:pPr>
          </w:p>
          <w:p w14:paraId="4A313AEA"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Cognitions: Sense of mastery (extent to which an individual feels in control of events and situations in their life); Dysfunctional cognitions</w:t>
            </w:r>
          </w:p>
        </w:tc>
      </w:tr>
      <w:tr w:rsidR="00FD6F3E" w:rsidRPr="00ED156A" w14:paraId="24E86025" w14:textId="77777777" w:rsidTr="005F2495">
        <w:tc>
          <w:tcPr>
            <w:tcW w:w="1448" w:type="dxa"/>
          </w:tcPr>
          <w:p w14:paraId="78706F7D"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Delgadillo et al. (2018)</w:t>
            </w:r>
          </w:p>
        </w:tc>
        <w:tc>
          <w:tcPr>
            <w:tcW w:w="1672" w:type="dxa"/>
          </w:tcPr>
          <w:p w14:paraId="0C72162F"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UK</w:t>
            </w:r>
          </w:p>
        </w:tc>
        <w:tc>
          <w:tcPr>
            <w:tcW w:w="2976" w:type="dxa"/>
          </w:tcPr>
          <w:p w14:paraId="0FC9C1A6"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439 patients with depression and anxiety disorders who completed a “low intensity” form of CBT </w:t>
            </w:r>
          </w:p>
        </w:tc>
        <w:tc>
          <w:tcPr>
            <w:tcW w:w="2835" w:type="dxa"/>
          </w:tcPr>
          <w:p w14:paraId="4A16B61A"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Prospective longitudinal cohort study</w:t>
            </w:r>
          </w:p>
        </w:tc>
        <w:tc>
          <w:tcPr>
            <w:tcW w:w="7088" w:type="dxa"/>
          </w:tcPr>
          <w:p w14:paraId="6454D125" w14:textId="77777777" w:rsidR="00FD6F3E" w:rsidRPr="00ED156A" w:rsidRDefault="00FD6F3E" w:rsidP="005F2495">
            <w:pPr>
              <w:pStyle w:val="ListParagraph"/>
              <w:numPr>
                <w:ilvl w:val="0"/>
                <w:numId w:val="1"/>
              </w:numPr>
              <w:spacing w:line="360" w:lineRule="auto"/>
              <w:rPr>
                <w:rFonts w:ascii="Times New Roman" w:hAnsi="Times New Roman" w:cs="Times New Roman"/>
                <w:sz w:val="24"/>
                <w:szCs w:val="24"/>
                <w:lang w:val="en-US"/>
              </w:rPr>
            </w:pPr>
          </w:p>
        </w:tc>
      </w:tr>
      <w:tr w:rsidR="00FD6F3E" w:rsidRPr="00ED156A" w14:paraId="59356A49" w14:textId="77777777" w:rsidTr="005F2495">
        <w:tc>
          <w:tcPr>
            <w:tcW w:w="1448" w:type="dxa"/>
          </w:tcPr>
          <w:p w14:paraId="01BD2DE8"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Duffy et al. (2021)</w:t>
            </w:r>
          </w:p>
        </w:tc>
        <w:tc>
          <w:tcPr>
            <w:tcW w:w="1672" w:type="dxa"/>
          </w:tcPr>
          <w:p w14:paraId="5196D52D"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UK</w:t>
            </w:r>
          </w:p>
        </w:tc>
        <w:tc>
          <w:tcPr>
            <w:tcW w:w="2976" w:type="dxa"/>
          </w:tcPr>
          <w:p w14:paraId="227D0C86"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238 depressed individuals assigned to antidepressant continuation and 238 </w:t>
            </w:r>
            <w:r w:rsidRPr="00ED156A">
              <w:rPr>
                <w:rFonts w:ascii="Times New Roman" w:hAnsi="Times New Roman" w:cs="Times New Roman"/>
                <w:sz w:val="24"/>
                <w:szCs w:val="24"/>
                <w:lang w:val="en-US"/>
              </w:rPr>
              <w:lastRenderedPageBreak/>
              <w:t>depressed individuals assigned to discontinuation of anti-depressants</w:t>
            </w:r>
          </w:p>
        </w:tc>
        <w:tc>
          <w:tcPr>
            <w:tcW w:w="2835" w:type="dxa"/>
          </w:tcPr>
          <w:p w14:paraId="32562DBF" w14:textId="77777777" w:rsidR="00FD6F3E" w:rsidRPr="00ED156A" w:rsidRDefault="00FD6F3E"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lang w:val="en-US"/>
              </w:rPr>
              <w:lastRenderedPageBreak/>
              <w:t>Randomised</w:t>
            </w:r>
            <w:proofErr w:type="spellEnd"/>
            <w:r w:rsidRPr="00ED156A">
              <w:rPr>
                <w:rFonts w:ascii="Times New Roman" w:hAnsi="Times New Roman" w:cs="Times New Roman"/>
                <w:sz w:val="24"/>
                <w:szCs w:val="24"/>
                <w:lang w:val="en-US"/>
              </w:rPr>
              <w:t xml:space="preserve"> controlled trial assessing the effectiveness of </w:t>
            </w:r>
            <w:r w:rsidRPr="00ED156A">
              <w:rPr>
                <w:rFonts w:ascii="Times New Roman" w:hAnsi="Times New Roman" w:cs="Times New Roman"/>
                <w:sz w:val="24"/>
                <w:szCs w:val="24"/>
                <w:lang w:val="en-US"/>
              </w:rPr>
              <w:lastRenderedPageBreak/>
              <w:t>antidepressants, with follow-up at 6, 12, 26, 39 and 52 weeks</w:t>
            </w:r>
          </w:p>
        </w:tc>
        <w:tc>
          <w:tcPr>
            <w:tcW w:w="7088" w:type="dxa"/>
          </w:tcPr>
          <w:p w14:paraId="2F25D3A7" w14:textId="77777777" w:rsidR="00FD6F3E" w:rsidRPr="00ED156A" w:rsidRDefault="00FD6F3E" w:rsidP="005F2495">
            <w:pPr>
              <w:pStyle w:val="ListParagraph"/>
              <w:numPr>
                <w:ilvl w:val="0"/>
                <w:numId w:val="1"/>
              </w:numPr>
              <w:spacing w:line="360" w:lineRule="auto"/>
              <w:rPr>
                <w:rFonts w:ascii="Times New Roman" w:hAnsi="Times New Roman" w:cs="Times New Roman"/>
                <w:sz w:val="24"/>
                <w:szCs w:val="24"/>
                <w:lang w:val="en-US"/>
              </w:rPr>
            </w:pPr>
          </w:p>
        </w:tc>
      </w:tr>
      <w:tr w:rsidR="00FD6F3E" w:rsidRPr="00ED156A" w14:paraId="606077E7" w14:textId="77777777" w:rsidTr="005F2495">
        <w:tc>
          <w:tcPr>
            <w:tcW w:w="1448" w:type="dxa"/>
          </w:tcPr>
          <w:p w14:paraId="713B4A55"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Elgersma et al. (2019)</w:t>
            </w:r>
          </w:p>
        </w:tc>
        <w:tc>
          <w:tcPr>
            <w:tcW w:w="1672" w:type="dxa"/>
          </w:tcPr>
          <w:p w14:paraId="0A9F9A97"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Netherlands</w:t>
            </w:r>
          </w:p>
        </w:tc>
        <w:tc>
          <w:tcPr>
            <w:tcW w:w="2976" w:type="dxa"/>
          </w:tcPr>
          <w:p w14:paraId="27FA4223"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Individuals with a past diagnosis of MDD, in remission; 928 at baseline, 858 after 2 years, 801 at 4-year follow-up</w:t>
            </w:r>
          </w:p>
        </w:tc>
        <w:tc>
          <w:tcPr>
            <w:tcW w:w="2835" w:type="dxa"/>
          </w:tcPr>
          <w:p w14:paraId="46C803CB"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Data from a 4-year longitudinal study; attentional bias was only measured at baseline</w:t>
            </w:r>
          </w:p>
        </w:tc>
        <w:tc>
          <w:tcPr>
            <w:tcW w:w="7088" w:type="dxa"/>
          </w:tcPr>
          <w:p w14:paraId="02465CBD"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Cognitions: Attentional bias for positive or negative stimuli (higher positive scores indicate stronger attentional bias for emotional information)</w:t>
            </w:r>
          </w:p>
        </w:tc>
      </w:tr>
      <w:tr w:rsidR="00FD6F3E" w:rsidRPr="00ED156A" w14:paraId="7AAB4F15" w14:textId="77777777" w:rsidTr="005F2495">
        <w:tc>
          <w:tcPr>
            <w:tcW w:w="1448" w:type="dxa"/>
          </w:tcPr>
          <w:p w14:paraId="6FE4D06E"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Freeman et al. (2018)</w:t>
            </w:r>
          </w:p>
        </w:tc>
        <w:tc>
          <w:tcPr>
            <w:tcW w:w="1672" w:type="dxa"/>
          </w:tcPr>
          <w:p w14:paraId="381CF1F0"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USA</w:t>
            </w:r>
          </w:p>
        </w:tc>
        <w:tc>
          <w:tcPr>
            <w:tcW w:w="2976" w:type="dxa"/>
          </w:tcPr>
          <w:p w14:paraId="497A6645"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38 women undergoing infertility treatment</w:t>
            </w:r>
          </w:p>
        </w:tc>
        <w:tc>
          <w:tcPr>
            <w:tcW w:w="2835" w:type="dxa"/>
          </w:tcPr>
          <w:p w14:paraId="77B235FC"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Prospective observational study over 6 months</w:t>
            </w:r>
          </w:p>
        </w:tc>
        <w:tc>
          <w:tcPr>
            <w:tcW w:w="7088" w:type="dxa"/>
          </w:tcPr>
          <w:p w14:paraId="0ACE0B59"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Clinical picture: Number of prior MDD episodes; History of hospitalization; History of suicide attempts; Lifetime MDD measured in weeks; Current therapy</w:t>
            </w:r>
          </w:p>
          <w:p w14:paraId="1D96001E" w14:textId="77777777" w:rsidR="00FD6F3E" w:rsidRPr="00ED156A" w:rsidRDefault="00FD6F3E" w:rsidP="005F2495">
            <w:pPr>
              <w:spacing w:line="360" w:lineRule="auto"/>
              <w:rPr>
                <w:rFonts w:ascii="Times New Roman" w:hAnsi="Times New Roman" w:cs="Times New Roman"/>
                <w:sz w:val="24"/>
                <w:szCs w:val="24"/>
                <w:lang w:val="en-US"/>
              </w:rPr>
            </w:pPr>
          </w:p>
          <w:p w14:paraId="1E8F4DE0"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Psychosocial: Satisfaction with quality of life; Quality of relationships; Perceived stress</w:t>
            </w:r>
          </w:p>
        </w:tc>
      </w:tr>
      <w:tr w:rsidR="00FD6F3E" w:rsidRPr="00ED156A" w14:paraId="5A2D1006" w14:textId="77777777" w:rsidTr="005F2495">
        <w:tc>
          <w:tcPr>
            <w:tcW w:w="1448" w:type="dxa"/>
          </w:tcPr>
          <w:p w14:paraId="1905C820"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Gloger et al. (2021)</w:t>
            </w:r>
          </w:p>
        </w:tc>
        <w:tc>
          <w:tcPr>
            <w:tcW w:w="1672" w:type="dxa"/>
          </w:tcPr>
          <w:p w14:paraId="0DDB31E5"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 xml:space="preserve">Chile </w:t>
            </w:r>
          </w:p>
        </w:tc>
        <w:tc>
          <w:tcPr>
            <w:tcW w:w="2976" w:type="dxa"/>
          </w:tcPr>
          <w:p w14:paraId="2D15CF7F"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1001 individuals who were assessed in a mental health clinic</w:t>
            </w:r>
          </w:p>
        </w:tc>
        <w:tc>
          <w:tcPr>
            <w:tcW w:w="2835" w:type="dxa"/>
          </w:tcPr>
          <w:p w14:paraId="38C6028B"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Cross-sectional examination of existing data</w:t>
            </w:r>
          </w:p>
        </w:tc>
        <w:tc>
          <w:tcPr>
            <w:tcW w:w="7088" w:type="dxa"/>
          </w:tcPr>
          <w:p w14:paraId="1F5C6C4F"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Traumatic experiences: Adverse childhood experiences – traumatic separation from a parent for more than a month; harsh physical punishments; physical injury resulting from punishment; witnessing physical violence between caregivers; family member wit substance abuse issues in the home; forced sexual contact with a relative; forced sexual contact with a non-relative </w:t>
            </w:r>
          </w:p>
          <w:p w14:paraId="37B3D610" w14:textId="77777777" w:rsidR="00FD6F3E" w:rsidRPr="00ED156A" w:rsidRDefault="00FD6F3E" w:rsidP="005F2495">
            <w:pPr>
              <w:spacing w:line="360" w:lineRule="auto"/>
              <w:rPr>
                <w:rFonts w:ascii="Times New Roman" w:hAnsi="Times New Roman" w:cs="Times New Roman"/>
                <w:sz w:val="24"/>
                <w:szCs w:val="24"/>
              </w:rPr>
            </w:pPr>
          </w:p>
          <w:p w14:paraId="0927E29B"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lastRenderedPageBreak/>
              <w:t>Socio-demographics: Gender, age, occupation</w:t>
            </w:r>
          </w:p>
        </w:tc>
      </w:tr>
      <w:tr w:rsidR="00FD6F3E" w:rsidRPr="00ED156A" w14:paraId="732DB4ED" w14:textId="77777777" w:rsidTr="005F2495">
        <w:tc>
          <w:tcPr>
            <w:tcW w:w="1448" w:type="dxa"/>
          </w:tcPr>
          <w:p w14:paraId="0DCCAD78" w14:textId="77777777" w:rsidR="00FD6F3E" w:rsidRPr="00ED156A" w:rsidRDefault="00FD6F3E"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lang w:val="en-US"/>
              </w:rPr>
              <w:lastRenderedPageBreak/>
              <w:t>Halonen</w:t>
            </w:r>
            <w:proofErr w:type="spellEnd"/>
            <w:r w:rsidRPr="00ED156A">
              <w:rPr>
                <w:rFonts w:ascii="Times New Roman" w:hAnsi="Times New Roman" w:cs="Times New Roman"/>
                <w:sz w:val="24"/>
                <w:szCs w:val="24"/>
                <w:lang w:val="en-US"/>
              </w:rPr>
              <w:t xml:space="preserve"> et al. (2022)</w:t>
            </w:r>
          </w:p>
        </w:tc>
        <w:tc>
          <w:tcPr>
            <w:tcW w:w="1672" w:type="dxa"/>
          </w:tcPr>
          <w:p w14:paraId="00278EAB"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Finland</w:t>
            </w:r>
          </w:p>
        </w:tc>
        <w:tc>
          <w:tcPr>
            <w:tcW w:w="2976" w:type="dxa"/>
          </w:tcPr>
          <w:p w14:paraId="0898E0D5"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237 individuals with a diagnosis of depression over their lifetime who had been admitted to inpatient psychiatric care as adolescents</w:t>
            </w:r>
          </w:p>
        </w:tc>
        <w:tc>
          <w:tcPr>
            <w:tcW w:w="2835" w:type="dxa"/>
          </w:tcPr>
          <w:p w14:paraId="6BF61362"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Part of a clinical follow-up study</w:t>
            </w:r>
          </w:p>
        </w:tc>
        <w:tc>
          <w:tcPr>
            <w:tcW w:w="7088" w:type="dxa"/>
          </w:tcPr>
          <w:p w14:paraId="5A52942C" w14:textId="77777777" w:rsidR="00FD6F3E" w:rsidRPr="00ED156A" w:rsidRDefault="00FD6F3E"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Clinical picture: Psychiatric disorders during adolescence</w:t>
            </w:r>
          </w:p>
          <w:p w14:paraId="2D0B372C" w14:textId="77777777" w:rsidR="00FD6F3E" w:rsidRPr="00ED156A" w:rsidRDefault="00FD6F3E" w:rsidP="005F2495">
            <w:pPr>
              <w:spacing w:line="360" w:lineRule="auto"/>
              <w:rPr>
                <w:rFonts w:ascii="Times New Roman" w:hAnsi="Times New Roman" w:cs="Times New Roman"/>
                <w:sz w:val="24"/>
                <w:szCs w:val="24"/>
                <w:lang w:val="en-US"/>
              </w:rPr>
            </w:pPr>
          </w:p>
          <w:p w14:paraId="22506F00"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Socio-demographics: Family type (</w:t>
            </w:r>
            <w:proofErr w:type="gramStart"/>
            <w:r w:rsidRPr="00ED156A">
              <w:rPr>
                <w:rFonts w:ascii="Times New Roman" w:hAnsi="Times New Roman" w:cs="Times New Roman"/>
                <w:sz w:val="24"/>
                <w:szCs w:val="24"/>
              </w:rPr>
              <w:t>e.g.</w:t>
            </w:r>
            <w:proofErr w:type="gramEnd"/>
            <w:r w:rsidRPr="00ED156A">
              <w:rPr>
                <w:rFonts w:ascii="Times New Roman" w:hAnsi="Times New Roman" w:cs="Times New Roman"/>
                <w:sz w:val="24"/>
                <w:szCs w:val="24"/>
              </w:rPr>
              <w:t xml:space="preserve"> blended, single parent); Child welfare placement; Home environment (e.g. foster family, community home); Family size; Birth order; Parents’ education level; Parents’ employment status</w:t>
            </w:r>
          </w:p>
          <w:p w14:paraId="02BF0894" w14:textId="77777777" w:rsidR="00FD6F3E" w:rsidRPr="00ED156A" w:rsidRDefault="00FD6F3E" w:rsidP="005F2495">
            <w:pPr>
              <w:spacing w:line="360" w:lineRule="auto"/>
              <w:rPr>
                <w:rFonts w:ascii="Times New Roman" w:hAnsi="Times New Roman" w:cs="Times New Roman"/>
                <w:sz w:val="24"/>
                <w:szCs w:val="24"/>
              </w:rPr>
            </w:pPr>
          </w:p>
          <w:p w14:paraId="75B8C45E"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Family history: Parental psychopathology </w:t>
            </w:r>
          </w:p>
          <w:p w14:paraId="4C52499A" w14:textId="77777777" w:rsidR="00FD6F3E" w:rsidRPr="00ED156A" w:rsidRDefault="00FD6F3E" w:rsidP="005F2495">
            <w:pPr>
              <w:spacing w:line="360" w:lineRule="auto"/>
              <w:rPr>
                <w:rFonts w:ascii="Times New Roman" w:hAnsi="Times New Roman" w:cs="Times New Roman"/>
                <w:sz w:val="24"/>
                <w:szCs w:val="24"/>
              </w:rPr>
            </w:pPr>
          </w:p>
          <w:p w14:paraId="0BDE88AB"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Traumatic experiences: Distant relationship with family members; Death of a parent</w:t>
            </w:r>
          </w:p>
        </w:tc>
      </w:tr>
      <w:tr w:rsidR="00FD6F3E" w:rsidRPr="00ED156A" w14:paraId="32A093AE" w14:textId="77777777" w:rsidTr="005F2495">
        <w:tc>
          <w:tcPr>
            <w:tcW w:w="1448" w:type="dxa"/>
          </w:tcPr>
          <w:p w14:paraId="3B82D9C4"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Jannat-</w:t>
            </w:r>
            <w:proofErr w:type="spellStart"/>
            <w:r w:rsidRPr="00ED156A">
              <w:rPr>
                <w:rFonts w:ascii="Times New Roman" w:hAnsi="Times New Roman" w:cs="Times New Roman"/>
                <w:sz w:val="24"/>
                <w:szCs w:val="24"/>
              </w:rPr>
              <w:t>Khah</w:t>
            </w:r>
            <w:proofErr w:type="spellEnd"/>
            <w:r w:rsidRPr="00ED156A">
              <w:rPr>
                <w:rFonts w:ascii="Times New Roman" w:hAnsi="Times New Roman" w:cs="Times New Roman"/>
                <w:sz w:val="24"/>
                <w:szCs w:val="24"/>
              </w:rPr>
              <w:t xml:space="preserve"> et al. (2020)</w:t>
            </w:r>
          </w:p>
        </w:tc>
        <w:tc>
          <w:tcPr>
            <w:tcW w:w="1672" w:type="dxa"/>
          </w:tcPr>
          <w:p w14:paraId="25E8FCD0"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USA</w:t>
            </w:r>
          </w:p>
        </w:tc>
        <w:tc>
          <w:tcPr>
            <w:tcW w:w="2976" w:type="dxa"/>
          </w:tcPr>
          <w:p w14:paraId="76376B69"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29,477 adults aged 45+</w:t>
            </w:r>
          </w:p>
        </w:tc>
        <w:tc>
          <w:tcPr>
            <w:tcW w:w="2835" w:type="dxa"/>
          </w:tcPr>
          <w:p w14:paraId="47208FA8"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Prospective cohort study</w:t>
            </w:r>
          </w:p>
        </w:tc>
        <w:tc>
          <w:tcPr>
            <w:tcW w:w="7088" w:type="dxa"/>
          </w:tcPr>
          <w:p w14:paraId="47340B4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Socio-demographics: Age; Gender; Race (black or white); Income </w:t>
            </w:r>
          </w:p>
        </w:tc>
      </w:tr>
      <w:tr w:rsidR="00FD6F3E" w:rsidRPr="00ED156A" w14:paraId="55088727" w14:textId="77777777" w:rsidTr="005F2495">
        <w:tc>
          <w:tcPr>
            <w:tcW w:w="1448" w:type="dxa"/>
          </w:tcPr>
          <w:p w14:paraId="554E5699" w14:textId="77777777" w:rsidR="00FD6F3E" w:rsidRPr="00ED156A" w:rsidRDefault="00FD6F3E"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t>Jeuring</w:t>
            </w:r>
            <w:proofErr w:type="spellEnd"/>
            <w:r w:rsidRPr="00ED156A">
              <w:rPr>
                <w:rFonts w:ascii="Times New Roman" w:hAnsi="Times New Roman" w:cs="Times New Roman"/>
                <w:sz w:val="24"/>
                <w:szCs w:val="24"/>
              </w:rPr>
              <w:t xml:space="preserve"> et al. (2018)</w:t>
            </w:r>
          </w:p>
        </w:tc>
        <w:tc>
          <w:tcPr>
            <w:tcW w:w="1672" w:type="dxa"/>
          </w:tcPr>
          <w:p w14:paraId="395D0400"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Netherlands</w:t>
            </w:r>
          </w:p>
        </w:tc>
        <w:tc>
          <w:tcPr>
            <w:tcW w:w="2976" w:type="dxa"/>
          </w:tcPr>
          <w:p w14:paraId="406F345D"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378 depressed patients v 132 non-depressed comparisons aged 60+; 299 participated in all three waves</w:t>
            </w:r>
          </w:p>
        </w:tc>
        <w:tc>
          <w:tcPr>
            <w:tcW w:w="2835" w:type="dxa"/>
          </w:tcPr>
          <w:p w14:paraId="0538AEC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Longitudinal study with assessments at baseline, after two years, and after six </w:t>
            </w:r>
            <w:r w:rsidRPr="00ED156A">
              <w:rPr>
                <w:rFonts w:ascii="Times New Roman" w:hAnsi="Times New Roman" w:cs="Times New Roman"/>
                <w:sz w:val="24"/>
                <w:szCs w:val="24"/>
              </w:rPr>
              <w:pgNum/>
            </w:r>
            <w:r w:rsidRPr="00ED156A">
              <w:rPr>
                <w:rFonts w:ascii="Times New Roman" w:hAnsi="Times New Roman" w:cs="Times New Roman"/>
                <w:sz w:val="24"/>
                <w:szCs w:val="24"/>
              </w:rPr>
              <w:t xml:space="preserve">ears </w:t>
            </w:r>
          </w:p>
        </w:tc>
        <w:tc>
          <w:tcPr>
            <w:tcW w:w="7088" w:type="dxa"/>
          </w:tcPr>
          <w:p w14:paraId="6A94C2DB"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Socio-demographics: Age, gender, educational level; partner status </w:t>
            </w:r>
          </w:p>
          <w:p w14:paraId="680433DB" w14:textId="77777777" w:rsidR="00FD6F3E" w:rsidRPr="00ED156A" w:rsidRDefault="00FD6F3E" w:rsidP="005F2495">
            <w:pPr>
              <w:spacing w:line="360" w:lineRule="auto"/>
              <w:rPr>
                <w:rFonts w:ascii="Times New Roman" w:hAnsi="Times New Roman" w:cs="Times New Roman"/>
                <w:sz w:val="24"/>
                <w:szCs w:val="24"/>
              </w:rPr>
            </w:pPr>
          </w:p>
          <w:p w14:paraId="044652C5"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Clinical picture: Previous episode of depression, age of onset, comorbid anxiety diagnosis, severity of depressive symptoms, severity of anxiety symptoms, apathy, use of antidepressants, use of benzodiazepines</w:t>
            </w:r>
          </w:p>
          <w:p w14:paraId="18E20CDC" w14:textId="77777777" w:rsidR="00FD6F3E" w:rsidRPr="00ED156A" w:rsidRDefault="00FD6F3E" w:rsidP="005F2495">
            <w:pPr>
              <w:spacing w:line="360" w:lineRule="auto"/>
              <w:rPr>
                <w:rFonts w:ascii="Times New Roman" w:hAnsi="Times New Roman" w:cs="Times New Roman"/>
                <w:sz w:val="24"/>
                <w:szCs w:val="24"/>
              </w:rPr>
            </w:pPr>
          </w:p>
          <w:p w14:paraId="33141DBA"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Cognitions: Global cognitive functioning</w:t>
            </w:r>
          </w:p>
          <w:p w14:paraId="25C53F30" w14:textId="77777777" w:rsidR="00FD6F3E" w:rsidRPr="00ED156A" w:rsidRDefault="00FD6F3E" w:rsidP="005F2495">
            <w:pPr>
              <w:spacing w:line="360" w:lineRule="auto"/>
              <w:rPr>
                <w:rFonts w:ascii="Times New Roman" w:hAnsi="Times New Roman" w:cs="Times New Roman"/>
                <w:sz w:val="24"/>
                <w:szCs w:val="24"/>
              </w:rPr>
            </w:pPr>
          </w:p>
          <w:p w14:paraId="1B15ED6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Health and lifestyle: Chronic physical diseases, functional limitations, metabolic syndrome, chronic pain, body mass index, physical activity, smoking, alcohol use, sleep problems</w:t>
            </w:r>
          </w:p>
          <w:p w14:paraId="33406D05" w14:textId="77777777" w:rsidR="00FD6F3E" w:rsidRPr="00ED156A" w:rsidRDefault="00FD6F3E" w:rsidP="005F2495">
            <w:pPr>
              <w:spacing w:line="360" w:lineRule="auto"/>
              <w:rPr>
                <w:rFonts w:ascii="Times New Roman" w:hAnsi="Times New Roman" w:cs="Times New Roman"/>
                <w:sz w:val="24"/>
                <w:szCs w:val="24"/>
              </w:rPr>
            </w:pPr>
          </w:p>
          <w:p w14:paraId="49A316EF"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Personality: Neuroticism </w:t>
            </w:r>
          </w:p>
          <w:p w14:paraId="10B3988F" w14:textId="77777777" w:rsidR="00FD6F3E" w:rsidRPr="00ED156A" w:rsidRDefault="00FD6F3E" w:rsidP="005F2495">
            <w:pPr>
              <w:spacing w:line="360" w:lineRule="auto"/>
              <w:rPr>
                <w:rFonts w:ascii="Times New Roman" w:hAnsi="Times New Roman" w:cs="Times New Roman"/>
                <w:sz w:val="24"/>
                <w:szCs w:val="24"/>
              </w:rPr>
            </w:pPr>
          </w:p>
          <w:p w14:paraId="54F04F3C"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Traumatic experiences: Childhood trauma</w:t>
            </w:r>
          </w:p>
          <w:p w14:paraId="221C8DDC" w14:textId="77777777" w:rsidR="00FD6F3E" w:rsidRPr="00ED156A" w:rsidRDefault="00FD6F3E" w:rsidP="005F2495">
            <w:pPr>
              <w:spacing w:line="360" w:lineRule="auto"/>
              <w:rPr>
                <w:rFonts w:ascii="Times New Roman" w:hAnsi="Times New Roman" w:cs="Times New Roman"/>
                <w:sz w:val="24"/>
                <w:szCs w:val="24"/>
              </w:rPr>
            </w:pPr>
          </w:p>
          <w:p w14:paraId="3C7AFB54"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Psychosocial: loneliness, social support, recent life events </w:t>
            </w:r>
          </w:p>
        </w:tc>
      </w:tr>
      <w:tr w:rsidR="00FD6F3E" w:rsidRPr="00ED156A" w14:paraId="4B47C621" w14:textId="77777777" w:rsidTr="005F2495">
        <w:tc>
          <w:tcPr>
            <w:tcW w:w="1448" w:type="dxa"/>
          </w:tcPr>
          <w:p w14:paraId="4335C18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Lye et al. (2020)</w:t>
            </w:r>
          </w:p>
        </w:tc>
        <w:tc>
          <w:tcPr>
            <w:tcW w:w="1672" w:type="dxa"/>
          </w:tcPr>
          <w:p w14:paraId="004D3FA5"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Malaysia</w:t>
            </w:r>
          </w:p>
        </w:tc>
        <w:tc>
          <w:tcPr>
            <w:tcW w:w="2976" w:type="dxa"/>
          </w:tcPr>
          <w:p w14:paraId="2E8F3EE3"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196 patients with major depressive disorder</w:t>
            </w:r>
          </w:p>
        </w:tc>
        <w:tc>
          <w:tcPr>
            <w:tcW w:w="2835" w:type="dxa"/>
          </w:tcPr>
          <w:p w14:paraId="486C48CE"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5-year follow-up study </w:t>
            </w:r>
          </w:p>
        </w:tc>
        <w:tc>
          <w:tcPr>
            <w:tcW w:w="7088" w:type="dxa"/>
          </w:tcPr>
          <w:p w14:paraId="7D31F3DA"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Socio-demographics: Gender, age, educational level</w:t>
            </w:r>
          </w:p>
          <w:p w14:paraId="0064FD6B" w14:textId="77777777" w:rsidR="00FD6F3E" w:rsidRPr="00ED156A" w:rsidRDefault="00FD6F3E" w:rsidP="005F2495">
            <w:pPr>
              <w:spacing w:line="360" w:lineRule="auto"/>
              <w:rPr>
                <w:rFonts w:ascii="Times New Roman" w:hAnsi="Times New Roman" w:cs="Times New Roman"/>
                <w:sz w:val="24"/>
                <w:szCs w:val="24"/>
              </w:rPr>
            </w:pPr>
          </w:p>
          <w:p w14:paraId="3D5A91DE"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Health and lifestyle: Comorbidities: hypertension, diabetes mellitus, heart disease, stroke, cancer, asthma</w:t>
            </w:r>
          </w:p>
          <w:p w14:paraId="569ABAA1" w14:textId="77777777" w:rsidR="00FD6F3E" w:rsidRPr="00ED156A" w:rsidRDefault="00FD6F3E" w:rsidP="005F2495">
            <w:pPr>
              <w:spacing w:line="360" w:lineRule="auto"/>
              <w:rPr>
                <w:rFonts w:ascii="Times New Roman" w:hAnsi="Times New Roman" w:cs="Times New Roman"/>
                <w:sz w:val="24"/>
                <w:szCs w:val="24"/>
              </w:rPr>
            </w:pPr>
          </w:p>
          <w:p w14:paraId="08F69792"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Traumatic experiences: Threatening events </w:t>
            </w:r>
          </w:p>
          <w:p w14:paraId="772170C9" w14:textId="77777777" w:rsidR="00FD6F3E" w:rsidRPr="00ED156A" w:rsidRDefault="00FD6F3E" w:rsidP="005F2495">
            <w:pPr>
              <w:spacing w:line="360" w:lineRule="auto"/>
              <w:rPr>
                <w:rFonts w:ascii="Times New Roman" w:hAnsi="Times New Roman" w:cs="Times New Roman"/>
                <w:sz w:val="24"/>
                <w:szCs w:val="24"/>
              </w:rPr>
            </w:pPr>
          </w:p>
          <w:p w14:paraId="58F0CA6D"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Temperament and personality: anxious worrying, personal reserve (keeping one’s feelings to themselves), perfectionism, irritability, social avoidance, interpersonal sensitivity (tendency to worry about </w:t>
            </w:r>
            <w:r w:rsidRPr="00ED156A">
              <w:rPr>
                <w:rFonts w:ascii="Times New Roman" w:hAnsi="Times New Roman" w:cs="Times New Roman"/>
                <w:sz w:val="24"/>
                <w:szCs w:val="24"/>
              </w:rPr>
              <w:lastRenderedPageBreak/>
              <w:t>rejection), self-criticism, self-focus (prioritising one’s own needs over others), cooperativeness, effectiveness (ability to cope with different situations)</w:t>
            </w:r>
          </w:p>
          <w:p w14:paraId="289297BB" w14:textId="77777777" w:rsidR="00FD6F3E" w:rsidRPr="00ED156A" w:rsidRDefault="00FD6F3E" w:rsidP="005F2495">
            <w:pPr>
              <w:spacing w:line="360" w:lineRule="auto"/>
              <w:rPr>
                <w:rFonts w:ascii="Times New Roman" w:hAnsi="Times New Roman" w:cs="Times New Roman"/>
                <w:sz w:val="24"/>
                <w:szCs w:val="24"/>
              </w:rPr>
            </w:pPr>
          </w:p>
          <w:p w14:paraId="1AD3BC80"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Clinical picture: Time from first diagnosis to occurrence of first episode of recurrence; Duration of first episode of recurrence; Severity of first and subsequent episodes; Full or partial remission from each episode</w:t>
            </w:r>
          </w:p>
          <w:p w14:paraId="47F32CA0" w14:textId="77777777" w:rsidR="00FD6F3E" w:rsidRPr="00ED156A" w:rsidRDefault="00FD6F3E" w:rsidP="005F2495">
            <w:pPr>
              <w:spacing w:line="360" w:lineRule="auto"/>
              <w:rPr>
                <w:rFonts w:ascii="Times New Roman" w:hAnsi="Times New Roman" w:cs="Times New Roman"/>
                <w:sz w:val="24"/>
                <w:szCs w:val="24"/>
              </w:rPr>
            </w:pPr>
          </w:p>
          <w:p w14:paraId="5703E3D2"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Family history: Family history of episodes </w:t>
            </w:r>
          </w:p>
        </w:tc>
      </w:tr>
      <w:tr w:rsidR="00FD6F3E" w:rsidRPr="00ED156A" w14:paraId="6827764A" w14:textId="77777777" w:rsidTr="005F2495">
        <w:tc>
          <w:tcPr>
            <w:tcW w:w="1448" w:type="dxa"/>
          </w:tcPr>
          <w:p w14:paraId="1B88CDD6" w14:textId="77777777" w:rsidR="00FD6F3E" w:rsidRPr="00ED156A" w:rsidRDefault="00FD6F3E"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lastRenderedPageBreak/>
              <w:t>Musliner</w:t>
            </w:r>
            <w:proofErr w:type="spellEnd"/>
            <w:r w:rsidRPr="00ED156A">
              <w:rPr>
                <w:rFonts w:ascii="Times New Roman" w:hAnsi="Times New Roman" w:cs="Times New Roman"/>
                <w:sz w:val="24"/>
                <w:szCs w:val="24"/>
              </w:rPr>
              <w:t xml:space="preserve"> et al. (2021)</w:t>
            </w:r>
          </w:p>
        </w:tc>
        <w:tc>
          <w:tcPr>
            <w:tcW w:w="1672" w:type="dxa"/>
          </w:tcPr>
          <w:p w14:paraId="6A4D4928"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Denmark</w:t>
            </w:r>
          </w:p>
        </w:tc>
        <w:tc>
          <w:tcPr>
            <w:tcW w:w="2976" w:type="dxa"/>
          </w:tcPr>
          <w:p w14:paraId="31FC6923"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16,180 individuals diagnosed with a single depressive episode at baseline</w:t>
            </w:r>
          </w:p>
        </w:tc>
        <w:tc>
          <w:tcPr>
            <w:tcW w:w="2835" w:type="dxa"/>
          </w:tcPr>
          <w:p w14:paraId="3B5A22E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Follow-up study over 21 years</w:t>
            </w:r>
          </w:p>
        </w:tc>
        <w:tc>
          <w:tcPr>
            <w:tcW w:w="7088" w:type="dxa"/>
          </w:tcPr>
          <w:p w14:paraId="0BF8F04D"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Genetic: Polygenic risk score; Polygenic risk score for bipolar disorder, </w:t>
            </w:r>
            <w:proofErr w:type="gramStart"/>
            <w:r w:rsidRPr="00ED156A">
              <w:rPr>
                <w:rFonts w:ascii="Times New Roman" w:hAnsi="Times New Roman" w:cs="Times New Roman"/>
                <w:sz w:val="24"/>
                <w:szCs w:val="24"/>
              </w:rPr>
              <w:t>schizophrenia</w:t>
            </w:r>
            <w:proofErr w:type="gramEnd"/>
            <w:r w:rsidRPr="00ED156A">
              <w:rPr>
                <w:rFonts w:ascii="Times New Roman" w:hAnsi="Times New Roman" w:cs="Times New Roman"/>
                <w:sz w:val="24"/>
                <w:szCs w:val="24"/>
              </w:rPr>
              <w:t xml:space="preserve"> and ADHD </w:t>
            </w:r>
          </w:p>
        </w:tc>
      </w:tr>
      <w:tr w:rsidR="00FD6F3E" w:rsidRPr="00ED156A" w14:paraId="79768E7B" w14:textId="77777777" w:rsidTr="005F2495">
        <w:tc>
          <w:tcPr>
            <w:tcW w:w="1448" w:type="dxa"/>
          </w:tcPr>
          <w:p w14:paraId="4CF1D730"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Newman et al. (2019) </w:t>
            </w:r>
          </w:p>
        </w:tc>
        <w:tc>
          <w:tcPr>
            <w:tcW w:w="1672" w:type="dxa"/>
          </w:tcPr>
          <w:p w14:paraId="74D93243"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Unclear where participants were from – authors in Canada and USA </w:t>
            </w:r>
          </w:p>
        </w:tc>
        <w:tc>
          <w:tcPr>
            <w:tcW w:w="2976" w:type="dxa"/>
          </w:tcPr>
          <w:p w14:paraId="4B6A2EC6"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121 previously depressed women and 28 never depressed women </w:t>
            </w:r>
          </w:p>
        </w:tc>
        <w:tc>
          <w:tcPr>
            <w:tcW w:w="2835" w:type="dxa"/>
          </w:tcPr>
          <w:p w14:paraId="43913447"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Prospective longitudinal study, following participants for 6 months</w:t>
            </w:r>
          </w:p>
        </w:tc>
        <w:tc>
          <w:tcPr>
            <w:tcW w:w="7088" w:type="dxa"/>
          </w:tcPr>
          <w:p w14:paraId="348F532C"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Socio-demographics: Age; Ethnicity; Marital status</w:t>
            </w:r>
          </w:p>
        </w:tc>
      </w:tr>
      <w:tr w:rsidR="00FD6F3E" w:rsidRPr="00ED156A" w14:paraId="76FF54AD" w14:textId="77777777" w:rsidTr="005F2495">
        <w:tc>
          <w:tcPr>
            <w:tcW w:w="1448" w:type="dxa"/>
          </w:tcPr>
          <w:p w14:paraId="5444FA2C" w14:textId="77777777" w:rsidR="00FD6F3E" w:rsidRPr="00ED156A" w:rsidRDefault="00FD6F3E"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lastRenderedPageBreak/>
              <w:t>Nobbelin</w:t>
            </w:r>
            <w:proofErr w:type="spellEnd"/>
            <w:r w:rsidRPr="00ED156A">
              <w:rPr>
                <w:rFonts w:ascii="Times New Roman" w:hAnsi="Times New Roman" w:cs="Times New Roman"/>
                <w:sz w:val="24"/>
                <w:szCs w:val="24"/>
              </w:rPr>
              <w:t xml:space="preserve"> et al., (2018)</w:t>
            </w:r>
          </w:p>
        </w:tc>
        <w:tc>
          <w:tcPr>
            <w:tcW w:w="1672" w:type="dxa"/>
          </w:tcPr>
          <w:p w14:paraId="753E3CA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Sweden </w:t>
            </w:r>
          </w:p>
        </w:tc>
        <w:tc>
          <w:tcPr>
            <w:tcW w:w="2976" w:type="dxa"/>
          </w:tcPr>
          <w:p w14:paraId="6FA8D3BD"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3,563 individuals in the </w:t>
            </w:r>
            <w:proofErr w:type="spellStart"/>
            <w:r w:rsidRPr="00ED156A">
              <w:rPr>
                <w:rFonts w:ascii="Times New Roman" w:hAnsi="Times New Roman" w:cs="Times New Roman"/>
                <w:sz w:val="24"/>
                <w:szCs w:val="24"/>
              </w:rPr>
              <w:t>Lundby</w:t>
            </w:r>
            <w:proofErr w:type="spellEnd"/>
            <w:r w:rsidRPr="00ED156A">
              <w:rPr>
                <w:rFonts w:ascii="Times New Roman" w:hAnsi="Times New Roman" w:cs="Times New Roman"/>
                <w:sz w:val="24"/>
                <w:szCs w:val="24"/>
              </w:rPr>
              <w:t xml:space="preserve"> area of Sweden</w:t>
            </w:r>
          </w:p>
        </w:tc>
        <w:tc>
          <w:tcPr>
            <w:tcW w:w="2835" w:type="dxa"/>
          </w:tcPr>
          <w:p w14:paraId="3ACFDF30"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Longitudinal cohort study, 1947-1997</w:t>
            </w:r>
          </w:p>
        </w:tc>
        <w:tc>
          <w:tcPr>
            <w:tcW w:w="7088" w:type="dxa"/>
          </w:tcPr>
          <w:p w14:paraId="53B21312"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Family history: Heredity (presence of a first-degree relative with any mental illness)</w:t>
            </w:r>
          </w:p>
          <w:p w14:paraId="7192832F" w14:textId="77777777" w:rsidR="00FD6F3E" w:rsidRPr="00ED156A" w:rsidRDefault="00FD6F3E" w:rsidP="005F2495">
            <w:pPr>
              <w:spacing w:line="360" w:lineRule="auto"/>
              <w:rPr>
                <w:rFonts w:ascii="Times New Roman" w:hAnsi="Times New Roman" w:cs="Times New Roman"/>
                <w:sz w:val="24"/>
                <w:szCs w:val="24"/>
              </w:rPr>
            </w:pPr>
          </w:p>
          <w:p w14:paraId="1CBFA6A0"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Clinical picture: Melancholia at onset; Degree of impairment at onset </w:t>
            </w:r>
          </w:p>
          <w:p w14:paraId="7F680809" w14:textId="77777777" w:rsidR="00FD6F3E" w:rsidRPr="00ED156A" w:rsidRDefault="00FD6F3E" w:rsidP="005F2495">
            <w:pPr>
              <w:spacing w:line="360" w:lineRule="auto"/>
              <w:rPr>
                <w:rFonts w:ascii="Times New Roman" w:hAnsi="Times New Roman" w:cs="Times New Roman"/>
                <w:sz w:val="24"/>
                <w:szCs w:val="24"/>
              </w:rPr>
            </w:pPr>
          </w:p>
          <w:p w14:paraId="55093F26"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Socio-demographics: Gender, socioeconomic status, marital status</w:t>
            </w:r>
          </w:p>
          <w:p w14:paraId="5EC874A3" w14:textId="77777777" w:rsidR="00FD6F3E" w:rsidRPr="00ED156A" w:rsidRDefault="00FD6F3E" w:rsidP="005F2495">
            <w:pPr>
              <w:spacing w:line="360" w:lineRule="auto"/>
              <w:rPr>
                <w:rFonts w:ascii="Times New Roman" w:hAnsi="Times New Roman" w:cs="Times New Roman"/>
                <w:sz w:val="24"/>
                <w:szCs w:val="24"/>
              </w:rPr>
            </w:pPr>
          </w:p>
          <w:p w14:paraId="4B2F7744"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Personality: nervous/tense, down/semi-depressed (inc. melancholic, low-spirited), blunt/deteriorated (inc. intellectually deteriorated), paranoid/schizotypal, immature/primitive (inc. childish, rude), abnormal/antisocial (deviance in personality with psychotic, aggressive or fanatic traits), </w:t>
            </w:r>
            <w:proofErr w:type="spellStart"/>
            <w:r w:rsidRPr="00ED156A">
              <w:rPr>
                <w:rFonts w:ascii="Times New Roman" w:hAnsi="Times New Roman" w:cs="Times New Roman"/>
                <w:sz w:val="24"/>
                <w:szCs w:val="24"/>
              </w:rPr>
              <w:t>ixoid</w:t>
            </w:r>
            <w:proofErr w:type="spellEnd"/>
            <w:r w:rsidRPr="00ED156A">
              <w:rPr>
                <w:rFonts w:ascii="Times New Roman" w:hAnsi="Times New Roman" w:cs="Times New Roman"/>
                <w:sz w:val="24"/>
                <w:szCs w:val="24"/>
              </w:rPr>
              <w:t xml:space="preserve"> (slow, easily stuck in a train of thoughts) </w:t>
            </w:r>
          </w:p>
        </w:tc>
      </w:tr>
      <w:tr w:rsidR="00FD6F3E" w:rsidRPr="00ED156A" w14:paraId="48B1C185" w14:textId="77777777" w:rsidTr="005F2495">
        <w:tc>
          <w:tcPr>
            <w:tcW w:w="1448" w:type="dxa"/>
          </w:tcPr>
          <w:p w14:paraId="3C605D0B" w14:textId="77777777" w:rsidR="00FD6F3E" w:rsidRPr="00ED156A" w:rsidRDefault="00FD6F3E"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t>Nuggerud-Galeas</w:t>
            </w:r>
            <w:proofErr w:type="spellEnd"/>
            <w:r w:rsidRPr="00ED156A">
              <w:rPr>
                <w:rFonts w:ascii="Times New Roman" w:hAnsi="Times New Roman" w:cs="Times New Roman"/>
                <w:sz w:val="24"/>
                <w:szCs w:val="24"/>
              </w:rPr>
              <w:t xml:space="preserve"> et al. (2020)</w:t>
            </w:r>
          </w:p>
        </w:tc>
        <w:tc>
          <w:tcPr>
            <w:tcW w:w="1672" w:type="dxa"/>
          </w:tcPr>
          <w:p w14:paraId="57DE53EC"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Spain</w:t>
            </w:r>
          </w:p>
        </w:tc>
        <w:tc>
          <w:tcPr>
            <w:tcW w:w="2976" w:type="dxa"/>
          </w:tcPr>
          <w:p w14:paraId="07467847"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101 adults with major depression who had experienced recurrences vs. 99 adults who had experienced a single depressive episode</w:t>
            </w:r>
          </w:p>
        </w:tc>
        <w:tc>
          <w:tcPr>
            <w:tcW w:w="2835" w:type="dxa"/>
          </w:tcPr>
          <w:p w14:paraId="3580F2B7"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Retrospective case-control study </w:t>
            </w:r>
          </w:p>
        </w:tc>
        <w:tc>
          <w:tcPr>
            <w:tcW w:w="7088" w:type="dxa"/>
          </w:tcPr>
          <w:p w14:paraId="2EEC35CA"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Clinical picture: Age at first episode; Perceived severity of first episode; Number of residual symptoms; Physical and psychiatric comorbidity; History of anxiety disorders</w:t>
            </w:r>
          </w:p>
          <w:p w14:paraId="36D86205" w14:textId="77777777" w:rsidR="00FD6F3E" w:rsidRPr="00ED156A" w:rsidRDefault="00FD6F3E" w:rsidP="005F2495">
            <w:pPr>
              <w:spacing w:line="360" w:lineRule="auto"/>
              <w:rPr>
                <w:rFonts w:ascii="Times New Roman" w:hAnsi="Times New Roman" w:cs="Times New Roman"/>
                <w:sz w:val="24"/>
                <w:szCs w:val="24"/>
              </w:rPr>
            </w:pPr>
          </w:p>
          <w:p w14:paraId="26353947"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Family history: Family psychiatric history</w:t>
            </w:r>
          </w:p>
          <w:p w14:paraId="62E31C00" w14:textId="77777777" w:rsidR="00FD6F3E" w:rsidRPr="00ED156A" w:rsidRDefault="00FD6F3E" w:rsidP="005F2495">
            <w:pPr>
              <w:spacing w:line="360" w:lineRule="auto"/>
              <w:rPr>
                <w:rFonts w:ascii="Times New Roman" w:hAnsi="Times New Roman" w:cs="Times New Roman"/>
                <w:sz w:val="24"/>
                <w:szCs w:val="24"/>
              </w:rPr>
            </w:pPr>
          </w:p>
          <w:p w14:paraId="3DB62995"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Psychosocial: High incidence of stressful life events</w:t>
            </w:r>
          </w:p>
          <w:p w14:paraId="1065FD18" w14:textId="77777777" w:rsidR="00FD6F3E" w:rsidRPr="00ED156A" w:rsidRDefault="00FD6F3E" w:rsidP="005F2495">
            <w:pPr>
              <w:spacing w:line="360" w:lineRule="auto"/>
              <w:rPr>
                <w:rFonts w:ascii="Times New Roman" w:hAnsi="Times New Roman" w:cs="Times New Roman"/>
                <w:sz w:val="24"/>
                <w:szCs w:val="24"/>
              </w:rPr>
            </w:pPr>
          </w:p>
          <w:p w14:paraId="33AB2B88"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 xml:space="preserve">Traumatic experiences: Childhood experiences of physical, </w:t>
            </w:r>
            <w:proofErr w:type="gramStart"/>
            <w:r w:rsidRPr="00ED156A">
              <w:rPr>
                <w:rFonts w:ascii="Times New Roman" w:hAnsi="Times New Roman" w:cs="Times New Roman"/>
                <w:sz w:val="24"/>
                <w:szCs w:val="24"/>
              </w:rPr>
              <w:t>psychological</w:t>
            </w:r>
            <w:proofErr w:type="gramEnd"/>
            <w:r w:rsidRPr="00ED156A">
              <w:rPr>
                <w:rFonts w:ascii="Times New Roman" w:hAnsi="Times New Roman" w:cs="Times New Roman"/>
                <w:sz w:val="24"/>
                <w:szCs w:val="24"/>
              </w:rPr>
              <w:t xml:space="preserve"> or sexual abuse</w:t>
            </w:r>
          </w:p>
        </w:tc>
      </w:tr>
      <w:tr w:rsidR="00FD6F3E" w:rsidRPr="00ED156A" w14:paraId="15F6DFA7" w14:textId="77777777" w:rsidTr="005F2495">
        <w:tc>
          <w:tcPr>
            <w:tcW w:w="1448" w:type="dxa"/>
          </w:tcPr>
          <w:p w14:paraId="6659DF3C" w14:textId="77777777" w:rsidR="00FD6F3E" w:rsidRPr="00ED156A" w:rsidRDefault="00FD6F3E"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lastRenderedPageBreak/>
              <w:t>Obinata</w:t>
            </w:r>
            <w:proofErr w:type="spellEnd"/>
            <w:r w:rsidRPr="00ED156A">
              <w:rPr>
                <w:rFonts w:ascii="Times New Roman" w:hAnsi="Times New Roman" w:cs="Times New Roman"/>
                <w:sz w:val="24"/>
                <w:szCs w:val="24"/>
              </w:rPr>
              <w:t xml:space="preserve"> et al. (2021)</w:t>
            </w:r>
          </w:p>
        </w:tc>
        <w:tc>
          <w:tcPr>
            <w:tcW w:w="1672" w:type="dxa"/>
          </w:tcPr>
          <w:p w14:paraId="20D5EB6C"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Japan</w:t>
            </w:r>
          </w:p>
        </w:tc>
        <w:tc>
          <w:tcPr>
            <w:tcW w:w="2976" w:type="dxa"/>
          </w:tcPr>
          <w:p w14:paraId="49B553EB"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163 patients with MDD after remission </w:t>
            </w:r>
          </w:p>
        </w:tc>
        <w:tc>
          <w:tcPr>
            <w:tcW w:w="2835" w:type="dxa"/>
          </w:tcPr>
          <w:p w14:paraId="4C61355D"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Participants followed up between 2004-2016</w:t>
            </w:r>
          </w:p>
        </w:tc>
        <w:tc>
          <w:tcPr>
            <w:tcW w:w="7088" w:type="dxa"/>
          </w:tcPr>
          <w:p w14:paraId="48490634"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Genetic: Carrying APOE4 (</w:t>
            </w:r>
            <w:proofErr w:type="spellStart"/>
            <w:r w:rsidRPr="00ED156A">
              <w:rPr>
                <w:rFonts w:ascii="Times New Roman" w:hAnsi="Times New Roman" w:cs="Times New Roman"/>
                <w:sz w:val="24"/>
                <w:szCs w:val="24"/>
              </w:rPr>
              <w:t>apolipoproptein</w:t>
            </w:r>
            <w:proofErr w:type="spellEnd"/>
            <w:r w:rsidRPr="00ED156A">
              <w:rPr>
                <w:rFonts w:ascii="Times New Roman" w:hAnsi="Times New Roman" w:cs="Times New Roman"/>
                <w:sz w:val="24"/>
                <w:szCs w:val="24"/>
              </w:rPr>
              <w:t xml:space="preserve"> E) </w:t>
            </w:r>
          </w:p>
          <w:p w14:paraId="347FD56E" w14:textId="77777777" w:rsidR="00FD6F3E" w:rsidRPr="00ED156A" w:rsidRDefault="00FD6F3E" w:rsidP="005F2495">
            <w:pPr>
              <w:spacing w:line="360" w:lineRule="auto"/>
              <w:rPr>
                <w:rFonts w:ascii="Times New Roman" w:hAnsi="Times New Roman" w:cs="Times New Roman"/>
                <w:sz w:val="24"/>
                <w:szCs w:val="24"/>
              </w:rPr>
            </w:pPr>
          </w:p>
          <w:p w14:paraId="272B9CF4"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Socio-demographics: Age; Sex</w:t>
            </w:r>
          </w:p>
          <w:p w14:paraId="4F30F4C3" w14:textId="77777777" w:rsidR="00FD6F3E" w:rsidRPr="00ED156A" w:rsidRDefault="00FD6F3E" w:rsidP="005F2495">
            <w:pPr>
              <w:spacing w:line="360" w:lineRule="auto"/>
              <w:rPr>
                <w:rFonts w:ascii="Times New Roman" w:hAnsi="Times New Roman" w:cs="Times New Roman"/>
                <w:sz w:val="24"/>
                <w:szCs w:val="24"/>
              </w:rPr>
            </w:pPr>
          </w:p>
          <w:p w14:paraId="242AB88E"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Clinical picture: Number of episodes </w:t>
            </w:r>
          </w:p>
        </w:tc>
      </w:tr>
      <w:tr w:rsidR="00FD6F3E" w:rsidRPr="00ED156A" w14:paraId="095B9EA2" w14:textId="77777777" w:rsidTr="005F2495">
        <w:tc>
          <w:tcPr>
            <w:tcW w:w="1448" w:type="dxa"/>
          </w:tcPr>
          <w:p w14:paraId="3AEEC8C2"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Omori et al. (2019)</w:t>
            </w:r>
          </w:p>
        </w:tc>
        <w:tc>
          <w:tcPr>
            <w:tcW w:w="1672" w:type="dxa"/>
          </w:tcPr>
          <w:p w14:paraId="7598921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Japan</w:t>
            </w:r>
          </w:p>
        </w:tc>
        <w:tc>
          <w:tcPr>
            <w:tcW w:w="2976" w:type="dxa"/>
          </w:tcPr>
          <w:p w14:paraId="79287CF9"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83 patients with unipolar depression </w:t>
            </w:r>
          </w:p>
        </w:tc>
        <w:tc>
          <w:tcPr>
            <w:tcW w:w="2835" w:type="dxa"/>
          </w:tcPr>
          <w:p w14:paraId="214F64C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Retrospective study exploring 1-year outcomes following electroconvulsive therapy</w:t>
            </w:r>
          </w:p>
        </w:tc>
        <w:tc>
          <w:tcPr>
            <w:tcW w:w="7088" w:type="dxa"/>
          </w:tcPr>
          <w:p w14:paraId="7DD9032C"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w:t>
            </w:r>
          </w:p>
        </w:tc>
      </w:tr>
      <w:tr w:rsidR="00FD6F3E" w:rsidRPr="00ED156A" w14:paraId="6067D407" w14:textId="77777777" w:rsidTr="005F2495">
        <w:tc>
          <w:tcPr>
            <w:tcW w:w="1448" w:type="dxa"/>
          </w:tcPr>
          <w:p w14:paraId="1AE152D8"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Opel et al. (2019)</w:t>
            </w:r>
          </w:p>
        </w:tc>
        <w:tc>
          <w:tcPr>
            <w:tcW w:w="1672" w:type="dxa"/>
          </w:tcPr>
          <w:p w14:paraId="5133DF77"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Germany</w:t>
            </w:r>
          </w:p>
        </w:tc>
        <w:tc>
          <w:tcPr>
            <w:tcW w:w="2976" w:type="dxa"/>
          </w:tcPr>
          <w:p w14:paraId="4E10BE82"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110 patients with MDD</w:t>
            </w:r>
          </w:p>
        </w:tc>
        <w:tc>
          <w:tcPr>
            <w:tcW w:w="2835" w:type="dxa"/>
          </w:tcPr>
          <w:p w14:paraId="736958BD"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2-year longitudinal study</w:t>
            </w:r>
          </w:p>
        </w:tc>
        <w:tc>
          <w:tcPr>
            <w:tcW w:w="7088" w:type="dxa"/>
          </w:tcPr>
          <w:p w14:paraId="2B7E50DC"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Traumatic experiences: Childhood maltreatment</w:t>
            </w:r>
          </w:p>
          <w:p w14:paraId="27F0C7B0" w14:textId="77777777" w:rsidR="00FD6F3E" w:rsidRPr="00ED156A" w:rsidRDefault="00FD6F3E" w:rsidP="005F2495">
            <w:pPr>
              <w:spacing w:line="360" w:lineRule="auto"/>
              <w:rPr>
                <w:rFonts w:ascii="Times New Roman" w:hAnsi="Times New Roman" w:cs="Times New Roman"/>
                <w:sz w:val="24"/>
                <w:szCs w:val="24"/>
              </w:rPr>
            </w:pPr>
          </w:p>
          <w:p w14:paraId="5B297484"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Genetic: Brain structure – sub-cortical volumes, cortical </w:t>
            </w:r>
            <w:proofErr w:type="gramStart"/>
            <w:r w:rsidRPr="00ED156A">
              <w:rPr>
                <w:rFonts w:ascii="Times New Roman" w:hAnsi="Times New Roman" w:cs="Times New Roman"/>
                <w:sz w:val="24"/>
                <w:szCs w:val="24"/>
              </w:rPr>
              <w:t>surface</w:t>
            </w:r>
            <w:proofErr w:type="gramEnd"/>
            <w:r w:rsidRPr="00ED156A">
              <w:rPr>
                <w:rFonts w:ascii="Times New Roman" w:hAnsi="Times New Roman" w:cs="Times New Roman"/>
                <w:sz w:val="24"/>
                <w:szCs w:val="24"/>
              </w:rPr>
              <w:t xml:space="preserve"> and thickness</w:t>
            </w:r>
          </w:p>
        </w:tc>
      </w:tr>
      <w:tr w:rsidR="00FD6F3E" w:rsidRPr="00ED156A" w14:paraId="669F6372" w14:textId="77777777" w:rsidTr="005F2495">
        <w:tc>
          <w:tcPr>
            <w:tcW w:w="1448" w:type="dxa"/>
          </w:tcPr>
          <w:p w14:paraId="0A3DF5DA"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Recchia et al. (2020)</w:t>
            </w:r>
          </w:p>
        </w:tc>
        <w:tc>
          <w:tcPr>
            <w:tcW w:w="1672" w:type="dxa"/>
          </w:tcPr>
          <w:p w14:paraId="060D4F7E"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UK</w:t>
            </w:r>
          </w:p>
        </w:tc>
        <w:tc>
          <w:tcPr>
            <w:tcW w:w="2976" w:type="dxa"/>
          </w:tcPr>
          <w:p w14:paraId="47AF3717"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4,949 adults aged 35-55 employed in London</w:t>
            </w:r>
          </w:p>
        </w:tc>
        <w:tc>
          <w:tcPr>
            <w:tcW w:w="2835" w:type="dxa"/>
          </w:tcPr>
          <w:p w14:paraId="27E14E8A"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Prospective cohort study followed up every five years over a 13-year period</w:t>
            </w:r>
          </w:p>
        </w:tc>
        <w:tc>
          <w:tcPr>
            <w:tcW w:w="7088" w:type="dxa"/>
          </w:tcPr>
          <w:p w14:paraId="098ECE2A"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Health and lifestyle: Dietary intake – average score across 3 measures of healthy diet calculated</w:t>
            </w:r>
          </w:p>
          <w:p w14:paraId="4687E66B"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 </w:t>
            </w:r>
          </w:p>
        </w:tc>
      </w:tr>
      <w:tr w:rsidR="00FD6F3E" w:rsidRPr="00ED156A" w14:paraId="3A2E0EC1" w14:textId="77777777" w:rsidTr="005F2495">
        <w:tc>
          <w:tcPr>
            <w:tcW w:w="1448" w:type="dxa"/>
          </w:tcPr>
          <w:p w14:paraId="0BB6FEAF"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Reddy et al. (2022)</w:t>
            </w:r>
          </w:p>
        </w:tc>
        <w:tc>
          <w:tcPr>
            <w:tcW w:w="1672" w:type="dxa"/>
          </w:tcPr>
          <w:p w14:paraId="0655332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USA</w:t>
            </w:r>
          </w:p>
        </w:tc>
        <w:tc>
          <w:tcPr>
            <w:tcW w:w="2976" w:type="dxa"/>
          </w:tcPr>
          <w:p w14:paraId="0D972B45"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79,308 adults with major depression and comorbid </w:t>
            </w:r>
            <w:r w:rsidRPr="00ED156A">
              <w:rPr>
                <w:rFonts w:ascii="Times New Roman" w:hAnsi="Times New Roman" w:cs="Times New Roman"/>
                <w:sz w:val="24"/>
                <w:szCs w:val="24"/>
              </w:rPr>
              <w:lastRenderedPageBreak/>
              <w:t xml:space="preserve">obstructive sleep </w:t>
            </w:r>
            <w:proofErr w:type="spellStart"/>
            <w:r w:rsidRPr="00ED156A">
              <w:rPr>
                <w:rFonts w:ascii="Times New Roman" w:hAnsi="Times New Roman" w:cs="Times New Roman"/>
                <w:sz w:val="24"/>
                <w:szCs w:val="24"/>
              </w:rPr>
              <w:t>apnea</w:t>
            </w:r>
            <w:proofErr w:type="spellEnd"/>
            <w:r w:rsidRPr="00ED156A">
              <w:rPr>
                <w:rFonts w:ascii="Times New Roman" w:hAnsi="Times New Roman" w:cs="Times New Roman"/>
                <w:sz w:val="24"/>
                <w:szCs w:val="24"/>
              </w:rPr>
              <w:t>; 78,792 adults with major depression and no comorbid OSA</w:t>
            </w:r>
          </w:p>
        </w:tc>
        <w:tc>
          <w:tcPr>
            <w:tcW w:w="2835" w:type="dxa"/>
          </w:tcPr>
          <w:p w14:paraId="7B63A4F8"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 xml:space="preserve">Cohort study from 2006 – 2017. </w:t>
            </w:r>
          </w:p>
        </w:tc>
        <w:tc>
          <w:tcPr>
            <w:tcW w:w="7088" w:type="dxa"/>
          </w:tcPr>
          <w:p w14:paraId="38BCB30F"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Health and lifestyle: Comorbid obstructive sleep </w:t>
            </w:r>
            <w:proofErr w:type="spellStart"/>
            <w:r w:rsidRPr="00ED156A">
              <w:rPr>
                <w:rFonts w:ascii="Times New Roman" w:hAnsi="Times New Roman" w:cs="Times New Roman"/>
                <w:sz w:val="24"/>
                <w:szCs w:val="24"/>
              </w:rPr>
              <w:t>apnea</w:t>
            </w:r>
            <w:proofErr w:type="spellEnd"/>
          </w:p>
        </w:tc>
      </w:tr>
      <w:tr w:rsidR="00FD6F3E" w:rsidRPr="00ED156A" w14:paraId="120AAB55" w14:textId="77777777" w:rsidTr="005F2495">
        <w:tc>
          <w:tcPr>
            <w:tcW w:w="1448" w:type="dxa"/>
          </w:tcPr>
          <w:p w14:paraId="13F8E6D2" w14:textId="77777777" w:rsidR="00FD6F3E" w:rsidRPr="00ED156A" w:rsidRDefault="00FD6F3E"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t>Rottenberg</w:t>
            </w:r>
            <w:proofErr w:type="spellEnd"/>
            <w:r w:rsidRPr="00ED156A">
              <w:rPr>
                <w:rFonts w:ascii="Times New Roman" w:hAnsi="Times New Roman" w:cs="Times New Roman"/>
                <w:sz w:val="24"/>
                <w:szCs w:val="24"/>
              </w:rPr>
              <w:t xml:space="preserve"> et al. (2019)</w:t>
            </w:r>
          </w:p>
        </w:tc>
        <w:tc>
          <w:tcPr>
            <w:tcW w:w="1672" w:type="dxa"/>
          </w:tcPr>
          <w:p w14:paraId="4EBBBE8F"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USA</w:t>
            </w:r>
          </w:p>
        </w:tc>
        <w:tc>
          <w:tcPr>
            <w:tcW w:w="2976" w:type="dxa"/>
          </w:tcPr>
          <w:p w14:paraId="138A5D9A"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239 who met major depression criteria at Wave 1 and completed follow-up</w:t>
            </w:r>
          </w:p>
        </w:tc>
        <w:tc>
          <w:tcPr>
            <w:tcW w:w="2835" w:type="dxa"/>
          </w:tcPr>
          <w:p w14:paraId="3E3594C4"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Wave 1 and Wave 2 of a longitudinal cohort study (1995-1996, and 2004-2006)</w:t>
            </w:r>
          </w:p>
        </w:tc>
        <w:tc>
          <w:tcPr>
            <w:tcW w:w="7088" w:type="dxa"/>
          </w:tcPr>
          <w:p w14:paraId="28990968"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w:t>
            </w:r>
          </w:p>
        </w:tc>
      </w:tr>
      <w:tr w:rsidR="00FD6F3E" w:rsidRPr="00ED156A" w14:paraId="0314B7CF" w14:textId="77777777" w:rsidTr="005F2495">
        <w:tc>
          <w:tcPr>
            <w:tcW w:w="1448" w:type="dxa"/>
          </w:tcPr>
          <w:p w14:paraId="3E5B9978"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Serafini et al. (2019)</w:t>
            </w:r>
          </w:p>
        </w:tc>
        <w:tc>
          <w:tcPr>
            <w:tcW w:w="1672" w:type="dxa"/>
          </w:tcPr>
          <w:p w14:paraId="5B1B7645"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Italy</w:t>
            </w:r>
          </w:p>
        </w:tc>
        <w:tc>
          <w:tcPr>
            <w:tcW w:w="2976" w:type="dxa"/>
          </w:tcPr>
          <w:p w14:paraId="47952190"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508 outpatients with major depressive disorder</w:t>
            </w:r>
          </w:p>
        </w:tc>
        <w:tc>
          <w:tcPr>
            <w:tcW w:w="2835" w:type="dxa"/>
          </w:tcPr>
          <w:p w14:paraId="3F356BC0"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Cohort study</w:t>
            </w:r>
          </w:p>
        </w:tc>
        <w:tc>
          <w:tcPr>
            <w:tcW w:w="7088" w:type="dxa"/>
          </w:tcPr>
          <w:p w14:paraId="7F7387CD"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Clinical picture: Psychiatric history; Age at onset of first depressive illness and first anxious illness and first psychotic illness; Age at first treatment; Previous psychoactive treatments; Use of antidepressants, anxiolytics, antipsychotics (current); Duration of untreated illness; Suicide attempts/ideation; Substance abuse; Psychotic symptoms; Catatonic symptoms; Melancholic characteristics; Seasonality; Residual </w:t>
            </w:r>
            <w:proofErr w:type="spellStart"/>
            <w:r w:rsidRPr="00ED156A">
              <w:rPr>
                <w:rFonts w:ascii="Times New Roman" w:hAnsi="Times New Roman" w:cs="Times New Roman"/>
                <w:sz w:val="24"/>
                <w:szCs w:val="24"/>
              </w:rPr>
              <w:t>interepisodic</w:t>
            </w:r>
            <w:proofErr w:type="spellEnd"/>
            <w:r w:rsidRPr="00ED156A">
              <w:rPr>
                <w:rFonts w:ascii="Times New Roman" w:hAnsi="Times New Roman" w:cs="Times New Roman"/>
                <w:sz w:val="24"/>
                <w:szCs w:val="24"/>
              </w:rPr>
              <w:t xml:space="preserve"> symptoms</w:t>
            </w:r>
          </w:p>
          <w:p w14:paraId="0E2DC8A0" w14:textId="77777777" w:rsidR="00FD6F3E" w:rsidRPr="00ED156A" w:rsidRDefault="00FD6F3E" w:rsidP="005F2495">
            <w:pPr>
              <w:spacing w:line="360" w:lineRule="auto"/>
              <w:rPr>
                <w:rFonts w:ascii="Times New Roman" w:hAnsi="Times New Roman" w:cs="Times New Roman"/>
                <w:sz w:val="24"/>
                <w:szCs w:val="24"/>
              </w:rPr>
            </w:pPr>
          </w:p>
          <w:p w14:paraId="0D764D10"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Health and lifestyle: Medical comorbidities (cardiological, neurological, endocrinological, inflammatory/immunological, metabolic, pulmonary chronic disease, cancer, chronic renal failure, osteoarthritis)</w:t>
            </w:r>
          </w:p>
          <w:p w14:paraId="0E77155D" w14:textId="77777777" w:rsidR="00FD6F3E" w:rsidRPr="00ED156A" w:rsidRDefault="00FD6F3E" w:rsidP="005F2495">
            <w:pPr>
              <w:spacing w:line="360" w:lineRule="auto"/>
              <w:rPr>
                <w:rFonts w:ascii="Times New Roman" w:hAnsi="Times New Roman" w:cs="Times New Roman"/>
                <w:sz w:val="24"/>
                <w:szCs w:val="24"/>
              </w:rPr>
            </w:pPr>
          </w:p>
          <w:p w14:paraId="097B4D42"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Socio-demographics: Socio-economic status; Working status; Living alone, with family, with friends or with others; Gender; Marital status; Educational level; Age</w:t>
            </w:r>
          </w:p>
          <w:p w14:paraId="5A4F807E" w14:textId="77777777" w:rsidR="00FD6F3E" w:rsidRPr="00ED156A" w:rsidRDefault="00FD6F3E" w:rsidP="005F2495">
            <w:pPr>
              <w:spacing w:line="360" w:lineRule="auto"/>
              <w:rPr>
                <w:rFonts w:ascii="Times New Roman" w:hAnsi="Times New Roman" w:cs="Times New Roman"/>
                <w:sz w:val="24"/>
                <w:szCs w:val="24"/>
              </w:rPr>
            </w:pPr>
          </w:p>
          <w:p w14:paraId="37013F5C"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Psychosocial: Significant distressing life events in last 6 months </w:t>
            </w:r>
          </w:p>
          <w:p w14:paraId="45E8813E" w14:textId="77777777" w:rsidR="00FD6F3E" w:rsidRPr="00ED156A" w:rsidRDefault="00FD6F3E" w:rsidP="005F2495">
            <w:pPr>
              <w:spacing w:line="360" w:lineRule="auto"/>
              <w:rPr>
                <w:rFonts w:ascii="Times New Roman" w:hAnsi="Times New Roman" w:cs="Times New Roman"/>
                <w:sz w:val="24"/>
                <w:szCs w:val="24"/>
              </w:rPr>
            </w:pPr>
          </w:p>
          <w:p w14:paraId="03B2F2AE"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Family history: History of psychiatric conditions in family </w:t>
            </w:r>
          </w:p>
        </w:tc>
      </w:tr>
      <w:tr w:rsidR="00FD6F3E" w:rsidRPr="00ED156A" w14:paraId="6D6DE655" w14:textId="77777777" w:rsidTr="005F2495">
        <w:tc>
          <w:tcPr>
            <w:tcW w:w="1448" w:type="dxa"/>
          </w:tcPr>
          <w:p w14:paraId="4CDC3553" w14:textId="77777777" w:rsidR="00FD6F3E" w:rsidRPr="00ED156A" w:rsidRDefault="00FD6F3E"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lastRenderedPageBreak/>
              <w:t>Spinhoven</w:t>
            </w:r>
            <w:proofErr w:type="spellEnd"/>
            <w:r w:rsidRPr="00ED156A">
              <w:rPr>
                <w:rFonts w:ascii="Times New Roman" w:hAnsi="Times New Roman" w:cs="Times New Roman"/>
                <w:sz w:val="24"/>
                <w:szCs w:val="24"/>
              </w:rPr>
              <w:t xml:space="preserve"> et al. (2018)</w:t>
            </w:r>
          </w:p>
        </w:tc>
        <w:tc>
          <w:tcPr>
            <w:tcW w:w="1672" w:type="dxa"/>
          </w:tcPr>
          <w:p w14:paraId="36F682AD"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Netherlands</w:t>
            </w:r>
          </w:p>
        </w:tc>
        <w:tc>
          <w:tcPr>
            <w:tcW w:w="2976" w:type="dxa"/>
          </w:tcPr>
          <w:p w14:paraId="2A00094E"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1,972 adults</w:t>
            </w:r>
          </w:p>
        </w:tc>
        <w:tc>
          <w:tcPr>
            <w:tcW w:w="2835" w:type="dxa"/>
          </w:tcPr>
          <w:p w14:paraId="5E71C2BC"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Prospective cohort study, followed up over 3 years</w:t>
            </w:r>
          </w:p>
        </w:tc>
        <w:tc>
          <w:tcPr>
            <w:tcW w:w="7088" w:type="dxa"/>
          </w:tcPr>
          <w:p w14:paraId="4D48987D"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Clinical picture: Symptom severity</w:t>
            </w:r>
          </w:p>
          <w:p w14:paraId="750EC65A" w14:textId="77777777" w:rsidR="00FD6F3E" w:rsidRPr="00ED156A" w:rsidRDefault="00FD6F3E" w:rsidP="005F2495">
            <w:pPr>
              <w:spacing w:line="360" w:lineRule="auto"/>
              <w:rPr>
                <w:rFonts w:ascii="Times New Roman" w:hAnsi="Times New Roman" w:cs="Times New Roman"/>
                <w:sz w:val="24"/>
                <w:szCs w:val="24"/>
              </w:rPr>
            </w:pPr>
          </w:p>
          <w:p w14:paraId="52DC6DD2"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Cognitions: Perseverative thinking (measure of trait repetitive negative thinking); Pathological worry; Depressive rumination </w:t>
            </w:r>
          </w:p>
        </w:tc>
      </w:tr>
      <w:tr w:rsidR="00FD6F3E" w:rsidRPr="00ED156A" w14:paraId="1AF8A06F" w14:textId="77777777" w:rsidTr="005F2495">
        <w:tc>
          <w:tcPr>
            <w:tcW w:w="1448" w:type="dxa"/>
          </w:tcPr>
          <w:p w14:paraId="2C2A2AF0"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Sun et al. (2018)</w:t>
            </w:r>
          </w:p>
        </w:tc>
        <w:tc>
          <w:tcPr>
            <w:tcW w:w="1672" w:type="dxa"/>
          </w:tcPr>
          <w:p w14:paraId="68BE0DEE"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China</w:t>
            </w:r>
          </w:p>
        </w:tc>
        <w:tc>
          <w:tcPr>
            <w:tcW w:w="2976" w:type="dxa"/>
          </w:tcPr>
          <w:p w14:paraId="5E294E02"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10,704 adults aged 45+ (2,956 had depression at baseline) </w:t>
            </w:r>
          </w:p>
        </w:tc>
        <w:tc>
          <w:tcPr>
            <w:tcW w:w="2835" w:type="dxa"/>
          </w:tcPr>
          <w:p w14:paraId="71A287CD"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Longitudinal study: Baseline (W1, wave 1), W2 (2 years later) and W3 (4 years after baseline)</w:t>
            </w:r>
          </w:p>
        </w:tc>
        <w:tc>
          <w:tcPr>
            <w:tcW w:w="7088" w:type="dxa"/>
          </w:tcPr>
          <w:p w14:paraId="0340C4F4"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Health and lifestyle: Sleep duration; Afternoon nap durations; Smoking, drinking, self-reported health concerns/diagnosis, number of non-communicable diseases</w:t>
            </w:r>
          </w:p>
          <w:p w14:paraId="66D07352" w14:textId="77777777" w:rsidR="00FD6F3E" w:rsidRPr="00ED156A" w:rsidRDefault="00FD6F3E" w:rsidP="005F2495">
            <w:pPr>
              <w:spacing w:line="360" w:lineRule="auto"/>
              <w:rPr>
                <w:rFonts w:ascii="Times New Roman" w:hAnsi="Times New Roman" w:cs="Times New Roman"/>
                <w:sz w:val="24"/>
                <w:szCs w:val="24"/>
              </w:rPr>
            </w:pPr>
          </w:p>
          <w:p w14:paraId="65E4F0D9"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Socio-demographics: Age, gender, marital status, education, rural or urban living</w:t>
            </w:r>
          </w:p>
        </w:tc>
      </w:tr>
      <w:tr w:rsidR="00FD6F3E" w:rsidRPr="00ED156A" w14:paraId="3DFB5A2D" w14:textId="77777777" w:rsidTr="005F2495">
        <w:tc>
          <w:tcPr>
            <w:tcW w:w="1448" w:type="dxa"/>
          </w:tcPr>
          <w:p w14:paraId="4F2F6F8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Ten Have et al. (2018)</w:t>
            </w:r>
          </w:p>
        </w:tc>
        <w:tc>
          <w:tcPr>
            <w:tcW w:w="1672" w:type="dxa"/>
          </w:tcPr>
          <w:p w14:paraId="69D5960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Netherlands</w:t>
            </w:r>
          </w:p>
        </w:tc>
        <w:tc>
          <w:tcPr>
            <w:tcW w:w="2976" w:type="dxa"/>
          </w:tcPr>
          <w:p w14:paraId="41E8A504"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Group 1: Remitted from MDD n=746</w:t>
            </w:r>
          </w:p>
          <w:p w14:paraId="150F5F93" w14:textId="77777777" w:rsidR="00FD6F3E" w:rsidRPr="00ED156A" w:rsidRDefault="00FD6F3E" w:rsidP="005F2495">
            <w:pPr>
              <w:spacing w:line="360" w:lineRule="auto"/>
              <w:rPr>
                <w:rFonts w:ascii="Times New Roman" w:hAnsi="Times New Roman" w:cs="Times New Roman"/>
                <w:sz w:val="24"/>
                <w:szCs w:val="24"/>
              </w:rPr>
            </w:pPr>
          </w:p>
          <w:p w14:paraId="09D24B12"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Group 2: Respondents with a 12-month MDD at baseline n=242</w:t>
            </w:r>
          </w:p>
        </w:tc>
        <w:tc>
          <w:tcPr>
            <w:tcW w:w="2835" w:type="dxa"/>
          </w:tcPr>
          <w:p w14:paraId="63969BA6"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Longitudinal cohort study over 6 years</w:t>
            </w:r>
          </w:p>
        </w:tc>
        <w:tc>
          <w:tcPr>
            <w:tcW w:w="7088" w:type="dxa"/>
          </w:tcPr>
          <w:p w14:paraId="23DE0C4B"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Socio-demographics: Age, gender, education, living situation, job status </w:t>
            </w:r>
          </w:p>
          <w:p w14:paraId="188A5CAF" w14:textId="77777777" w:rsidR="00FD6F3E" w:rsidRPr="00ED156A" w:rsidRDefault="00FD6F3E" w:rsidP="005F2495">
            <w:pPr>
              <w:spacing w:line="360" w:lineRule="auto"/>
              <w:rPr>
                <w:rFonts w:ascii="Times New Roman" w:hAnsi="Times New Roman" w:cs="Times New Roman"/>
                <w:sz w:val="24"/>
                <w:szCs w:val="24"/>
              </w:rPr>
            </w:pPr>
          </w:p>
          <w:p w14:paraId="0F126B56"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Traumatic experiences: childhood abuse, negative life events</w:t>
            </w:r>
          </w:p>
          <w:p w14:paraId="50AC79D7" w14:textId="77777777" w:rsidR="00FD6F3E" w:rsidRPr="00ED156A" w:rsidRDefault="00FD6F3E" w:rsidP="005F2495">
            <w:pPr>
              <w:spacing w:line="360" w:lineRule="auto"/>
              <w:rPr>
                <w:rFonts w:ascii="Times New Roman" w:hAnsi="Times New Roman" w:cs="Times New Roman"/>
                <w:sz w:val="24"/>
                <w:szCs w:val="24"/>
              </w:rPr>
            </w:pPr>
          </w:p>
          <w:p w14:paraId="03CAFE68"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Family history: parental psychopathology</w:t>
            </w:r>
          </w:p>
          <w:p w14:paraId="1D8E9255" w14:textId="77777777" w:rsidR="00FD6F3E" w:rsidRPr="00ED156A" w:rsidRDefault="00FD6F3E" w:rsidP="005F2495">
            <w:pPr>
              <w:spacing w:line="360" w:lineRule="auto"/>
              <w:rPr>
                <w:rFonts w:ascii="Times New Roman" w:hAnsi="Times New Roman" w:cs="Times New Roman"/>
                <w:sz w:val="24"/>
                <w:szCs w:val="24"/>
              </w:rPr>
            </w:pPr>
          </w:p>
          <w:p w14:paraId="0190835A"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Health and lifestyle: Chronic physical disorders, body mass index (BMI)</w:t>
            </w:r>
          </w:p>
          <w:p w14:paraId="200BB737" w14:textId="77777777" w:rsidR="00FD6F3E" w:rsidRPr="00ED156A" w:rsidRDefault="00FD6F3E" w:rsidP="005F2495">
            <w:pPr>
              <w:spacing w:line="360" w:lineRule="auto"/>
              <w:rPr>
                <w:rFonts w:ascii="Times New Roman" w:hAnsi="Times New Roman" w:cs="Times New Roman"/>
                <w:sz w:val="24"/>
                <w:szCs w:val="24"/>
              </w:rPr>
            </w:pPr>
          </w:p>
          <w:p w14:paraId="7C807033"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Psychosocial: Functioning, both mental and physical</w:t>
            </w:r>
          </w:p>
          <w:p w14:paraId="665D5B35" w14:textId="77777777" w:rsidR="00FD6F3E" w:rsidRPr="00ED156A" w:rsidRDefault="00FD6F3E" w:rsidP="005F2495">
            <w:pPr>
              <w:spacing w:line="360" w:lineRule="auto"/>
              <w:rPr>
                <w:rFonts w:ascii="Times New Roman" w:hAnsi="Times New Roman" w:cs="Times New Roman"/>
                <w:sz w:val="24"/>
                <w:szCs w:val="24"/>
              </w:rPr>
            </w:pPr>
          </w:p>
          <w:p w14:paraId="26810075"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Clinical picture: Clinical characteristics of depression: 2+ lifetime episodes, psychotropic medication use, severe 12-month depression; Psychiatric comorbidity with any anxiety disorder; Use of general medical or mental health care for emotional, alcohol or drug problems in past 12 months</w:t>
            </w:r>
          </w:p>
        </w:tc>
      </w:tr>
      <w:tr w:rsidR="00FD6F3E" w:rsidRPr="00ED156A" w14:paraId="03E34BA6" w14:textId="77777777" w:rsidTr="005F2495">
        <w:tc>
          <w:tcPr>
            <w:tcW w:w="1448" w:type="dxa"/>
          </w:tcPr>
          <w:p w14:paraId="6EBF49BC" w14:textId="77777777" w:rsidR="00FD6F3E" w:rsidRPr="00ED156A" w:rsidRDefault="00FD6F3E"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lastRenderedPageBreak/>
              <w:t>Tibubos</w:t>
            </w:r>
            <w:proofErr w:type="spellEnd"/>
            <w:r w:rsidRPr="00ED156A">
              <w:rPr>
                <w:rFonts w:ascii="Times New Roman" w:hAnsi="Times New Roman" w:cs="Times New Roman"/>
                <w:sz w:val="24"/>
                <w:szCs w:val="24"/>
              </w:rPr>
              <w:t xml:space="preserve"> et al. (2019)</w:t>
            </w:r>
          </w:p>
        </w:tc>
        <w:tc>
          <w:tcPr>
            <w:tcW w:w="1672" w:type="dxa"/>
          </w:tcPr>
          <w:p w14:paraId="3B7CA5E3"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Germany</w:t>
            </w:r>
          </w:p>
        </w:tc>
        <w:tc>
          <w:tcPr>
            <w:tcW w:w="2976" w:type="dxa"/>
          </w:tcPr>
          <w:p w14:paraId="37F4C138"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877 people with clinically relevant depression symptoms at baseline</w:t>
            </w:r>
          </w:p>
        </w:tc>
        <w:tc>
          <w:tcPr>
            <w:tcW w:w="2835" w:type="dxa"/>
          </w:tcPr>
          <w:p w14:paraId="43A54D52"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Data measured at 2 time points within 5 years </w:t>
            </w:r>
          </w:p>
        </w:tc>
        <w:tc>
          <w:tcPr>
            <w:tcW w:w="7088" w:type="dxa"/>
          </w:tcPr>
          <w:p w14:paraId="379423AC"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Sociodemographic: Gender, age, socioeconomic status, living with a partner</w:t>
            </w:r>
          </w:p>
          <w:p w14:paraId="49295201" w14:textId="77777777" w:rsidR="00FD6F3E" w:rsidRPr="00ED156A" w:rsidRDefault="00FD6F3E" w:rsidP="005F2495">
            <w:pPr>
              <w:spacing w:line="360" w:lineRule="auto"/>
              <w:rPr>
                <w:rFonts w:ascii="Times New Roman" w:hAnsi="Times New Roman" w:cs="Times New Roman"/>
                <w:sz w:val="24"/>
                <w:szCs w:val="24"/>
              </w:rPr>
            </w:pPr>
          </w:p>
          <w:p w14:paraId="513BC60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Personality: Type D personality</w:t>
            </w:r>
          </w:p>
          <w:p w14:paraId="7D2805CD" w14:textId="77777777" w:rsidR="00FD6F3E" w:rsidRPr="00ED156A" w:rsidRDefault="00FD6F3E" w:rsidP="005F2495">
            <w:pPr>
              <w:spacing w:line="360" w:lineRule="auto"/>
              <w:rPr>
                <w:rFonts w:ascii="Times New Roman" w:hAnsi="Times New Roman" w:cs="Times New Roman"/>
                <w:sz w:val="24"/>
                <w:szCs w:val="24"/>
              </w:rPr>
            </w:pPr>
          </w:p>
          <w:p w14:paraId="037389D4"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Psychosocial: life events in last 12 months, loneliness, social support</w:t>
            </w:r>
          </w:p>
          <w:p w14:paraId="027B4357" w14:textId="77777777" w:rsidR="00FD6F3E" w:rsidRPr="00ED156A" w:rsidRDefault="00FD6F3E" w:rsidP="005F2495">
            <w:pPr>
              <w:spacing w:line="360" w:lineRule="auto"/>
              <w:rPr>
                <w:rFonts w:ascii="Times New Roman" w:hAnsi="Times New Roman" w:cs="Times New Roman"/>
                <w:sz w:val="24"/>
                <w:szCs w:val="24"/>
              </w:rPr>
            </w:pPr>
          </w:p>
          <w:p w14:paraId="4DD3125B"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Clinical picture: generalised anxiety, social phobia, panic, history of depression, history of anxiety disorder, taking antidepressants</w:t>
            </w:r>
          </w:p>
          <w:p w14:paraId="35741E47" w14:textId="77777777" w:rsidR="00FD6F3E" w:rsidRPr="00ED156A" w:rsidRDefault="00FD6F3E" w:rsidP="005F2495">
            <w:pPr>
              <w:spacing w:line="360" w:lineRule="auto"/>
              <w:rPr>
                <w:rFonts w:ascii="Times New Roman" w:hAnsi="Times New Roman" w:cs="Times New Roman"/>
                <w:sz w:val="24"/>
                <w:szCs w:val="24"/>
              </w:rPr>
            </w:pPr>
          </w:p>
          <w:p w14:paraId="42BA65E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Health and lifestyle: Smoking, active sports, alcohol above tolerance; </w:t>
            </w:r>
            <w:r w:rsidRPr="00B75F3F">
              <w:rPr>
                <w:rFonts w:ascii="Times New Roman" w:hAnsi="Times New Roman" w:cs="Times New Roman"/>
                <w:sz w:val="24"/>
                <w:szCs w:val="24"/>
              </w:rPr>
              <w:t>CVD, cancer, diabetes, obesity</w:t>
            </w:r>
          </w:p>
        </w:tc>
      </w:tr>
      <w:tr w:rsidR="00FD6F3E" w:rsidRPr="00ED156A" w14:paraId="65F8C78A" w14:textId="77777777" w:rsidTr="005F2495">
        <w:tc>
          <w:tcPr>
            <w:tcW w:w="1448" w:type="dxa"/>
          </w:tcPr>
          <w:p w14:paraId="41D9C9CA"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Van Loo et al. (2018)</w:t>
            </w:r>
          </w:p>
        </w:tc>
        <w:tc>
          <w:tcPr>
            <w:tcW w:w="1672" w:type="dxa"/>
          </w:tcPr>
          <w:p w14:paraId="5B1F23D9"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USA</w:t>
            </w:r>
          </w:p>
        </w:tc>
        <w:tc>
          <w:tcPr>
            <w:tcW w:w="2976" w:type="dxa"/>
          </w:tcPr>
          <w:p w14:paraId="54AF1106"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653 people with a recent episode of major depression</w:t>
            </w:r>
          </w:p>
        </w:tc>
        <w:tc>
          <w:tcPr>
            <w:tcW w:w="2835" w:type="dxa"/>
          </w:tcPr>
          <w:p w14:paraId="5B2D012C"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Prospective data from a population sample; 1-year follow-up</w:t>
            </w:r>
          </w:p>
        </w:tc>
        <w:tc>
          <w:tcPr>
            <w:tcW w:w="7088" w:type="dxa"/>
          </w:tcPr>
          <w:p w14:paraId="6892E7B3"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Clinical picture: Characteristics of the depressive episode in the year prior to baseline (Loss of interest; Appetite gain; Weight loss; Feeling restless; Slowed down; Fatigue; Hypersomnia; Irritable/angry; Suicidal; Tense; Cardio-respiratory panic symptoms; Severe work impairment; Sum of 9 MD criteria; 6+ episodes of MD in last year); Current state (Symptom Checklist past 30 days); Psychiatric history (Early anxiety; History of GAD; Number of MD episodes; History of alcohol dependence)</w:t>
            </w:r>
          </w:p>
          <w:p w14:paraId="66CF9B63" w14:textId="77777777" w:rsidR="00FD6F3E" w:rsidRPr="00ED156A" w:rsidRDefault="00FD6F3E" w:rsidP="005F2495">
            <w:pPr>
              <w:spacing w:line="360" w:lineRule="auto"/>
              <w:rPr>
                <w:rFonts w:ascii="Times New Roman" w:hAnsi="Times New Roman" w:cs="Times New Roman"/>
                <w:sz w:val="24"/>
                <w:szCs w:val="24"/>
              </w:rPr>
            </w:pPr>
          </w:p>
          <w:p w14:paraId="45890B3E"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Family history: maternal or paternal MD or GAD</w:t>
            </w:r>
          </w:p>
          <w:p w14:paraId="3581210A" w14:textId="77777777" w:rsidR="00FD6F3E" w:rsidRPr="00ED156A" w:rsidRDefault="00FD6F3E" w:rsidP="005F2495">
            <w:pPr>
              <w:spacing w:line="360" w:lineRule="auto"/>
              <w:rPr>
                <w:rFonts w:ascii="Times New Roman" w:hAnsi="Times New Roman" w:cs="Times New Roman"/>
                <w:sz w:val="24"/>
                <w:szCs w:val="24"/>
              </w:rPr>
            </w:pPr>
          </w:p>
          <w:p w14:paraId="35DD5C78"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Personality: Neuroticism; Extraversion</w:t>
            </w:r>
          </w:p>
          <w:p w14:paraId="08312749" w14:textId="77777777" w:rsidR="00FD6F3E" w:rsidRPr="00ED156A" w:rsidRDefault="00FD6F3E" w:rsidP="005F2495">
            <w:pPr>
              <w:spacing w:line="360" w:lineRule="auto"/>
              <w:rPr>
                <w:rFonts w:ascii="Times New Roman" w:hAnsi="Times New Roman" w:cs="Times New Roman"/>
                <w:sz w:val="24"/>
                <w:szCs w:val="24"/>
              </w:rPr>
            </w:pPr>
          </w:p>
          <w:p w14:paraId="60BCDE2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Traumatic experiences: Early adverse life events (Parental warmth; Parental loss; Childhood sexual abuse; Number of traumas)</w:t>
            </w:r>
          </w:p>
          <w:p w14:paraId="48A2842F" w14:textId="77777777" w:rsidR="00FD6F3E" w:rsidRPr="00ED156A" w:rsidRDefault="00FD6F3E" w:rsidP="005F2495">
            <w:pPr>
              <w:spacing w:line="360" w:lineRule="auto"/>
              <w:rPr>
                <w:rFonts w:ascii="Times New Roman" w:hAnsi="Times New Roman" w:cs="Times New Roman"/>
                <w:sz w:val="24"/>
                <w:szCs w:val="24"/>
              </w:rPr>
            </w:pPr>
          </w:p>
          <w:p w14:paraId="1DB5E40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Psychosocial: Recent adverse life events (Divorce; Number of stressful life events in past year); Current social and economic environment (Never married; No partner; Low marital satisfaction; Number of confidants; Problems with friends; Support from relatives; Financial problems)</w:t>
            </w:r>
          </w:p>
        </w:tc>
      </w:tr>
      <w:tr w:rsidR="00FD6F3E" w:rsidRPr="00ED156A" w14:paraId="6433C1B6" w14:textId="77777777" w:rsidTr="005F2495">
        <w:tc>
          <w:tcPr>
            <w:tcW w:w="1448" w:type="dxa"/>
          </w:tcPr>
          <w:p w14:paraId="140BD66C"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Van Loo et al. (2020)</w:t>
            </w:r>
          </w:p>
        </w:tc>
        <w:tc>
          <w:tcPr>
            <w:tcW w:w="1672" w:type="dxa"/>
          </w:tcPr>
          <w:p w14:paraId="252DA62F"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Netherlands &amp; USA</w:t>
            </w:r>
          </w:p>
        </w:tc>
        <w:tc>
          <w:tcPr>
            <w:tcW w:w="2976" w:type="dxa"/>
          </w:tcPr>
          <w:p w14:paraId="634D0E59"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4,226 individuals with an episode of MDD </w:t>
            </w:r>
          </w:p>
        </w:tc>
        <w:tc>
          <w:tcPr>
            <w:tcW w:w="2835" w:type="dxa"/>
          </w:tcPr>
          <w:p w14:paraId="1E2C4BCB"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Prediction model using baseline characteristics to predict future episodes of MD, </w:t>
            </w:r>
            <w:proofErr w:type="gramStart"/>
            <w:r w:rsidRPr="00ED156A">
              <w:rPr>
                <w:rFonts w:ascii="Times New Roman" w:hAnsi="Times New Roman" w:cs="Times New Roman"/>
                <w:sz w:val="24"/>
                <w:szCs w:val="24"/>
              </w:rPr>
              <w:t>anxiety</w:t>
            </w:r>
            <w:proofErr w:type="gramEnd"/>
            <w:r w:rsidRPr="00ED156A">
              <w:rPr>
                <w:rFonts w:ascii="Times New Roman" w:hAnsi="Times New Roman" w:cs="Times New Roman"/>
                <w:sz w:val="24"/>
                <w:szCs w:val="24"/>
              </w:rPr>
              <w:t xml:space="preserve"> and disability 1-9 years after baseline</w:t>
            </w:r>
          </w:p>
        </w:tc>
        <w:tc>
          <w:tcPr>
            <w:tcW w:w="7088" w:type="dxa"/>
          </w:tcPr>
          <w:p w14:paraId="24646DF5"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Family history: family history depression</w:t>
            </w:r>
          </w:p>
          <w:p w14:paraId="3BDB2739" w14:textId="77777777" w:rsidR="00FD6F3E" w:rsidRPr="00ED156A" w:rsidRDefault="00FD6F3E" w:rsidP="005F2495">
            <w:pPr>
              <w:spacing w:line="360" w:lineRule="auto"/>
              <w:rPr>
                <w:rFonts w:ascii="Times New Roman" w:hAnsi="Times New Roman" w:cs="Times New Roman"/>
                <w:sz w:val="24"/>
                <w:szCs w:val="24"/>
              </w:rPr>
            </w:pPr>
          </w:p>
          <w:p w14:paraId="617C79AA"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Clinical picture: Age at onset</w:t>
            </w:r>
          </w:p>
          <w:p w14:paraId="7F54654A" w14:textId="77777777" w:rsidR="00FD6F3E" w:rsidRPr="00ED156A" w:rsidRDefault="00FD6F3E" w:rsidP="005F2495">
            <w:pPr>
              <w:spacing w:line="360" w:lineRule="auto"/>
              <w:rPr>
                <w:rFonts w:ascii="Times New Roman" w:hAnsi="Times New Roman" w:cs="Times New Roman"/>
                <w:sz w:val="24"/>
                <w:szCs w:val="24"/>
              </w:rPr>
            </w:pPr>
          </w:p>
          <w:p w14:paraId="63BED5B8"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Traumatic experiences: Early or lifetime traumas; Childhood sexual abuse </w:t>
            </w:r>
          </w:p>
          <w:p w14:paraId="2B19EE34" w14:textId="77777777" w:rsidR="00FD6F3E" w:rsidRPr="00ED156A" w:rsidRDefault="00FD6F3E" w:rsidP="005F2495">
            <w:pPr>
              <w:spacing w:line="360" w:lineRule="auto"/>
              <w:rPr>
                <w:rFonts w:ascii="Times New Roman" w:hAnsi="Times New Roman" w:cs="Times New Roman"/>
                <w:sz w:val="24"/>
                <w:szCs w:val="24"/>
              </w:rPr>
            </w:pPr>
          </w:p>
          <w:p w14:paraId="1CD40C1F"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Personality: Neuroticism </w:t>
            </w:r>
          </w:p>
          <w:p w14:paraId="0DE1C2D4" w14:textId="77777777" w:rsidR="00FD6F3E" w:rsidRPr="00ED156A" w:rsidRDefault="00FD6F3E" w:rsidP="005F2495">
            <w:pPr>
              <w:spacing w:line="360" w:lineRule="auto"/>
              <w:rPr>
                <w:rFonts w:ascii="Times New Roman" w:hAnsi="Times New Roman" w:cs="Times New Roman"/>
                <w:sz w:val="24"/>
                <w:szCs w:val="24"/>
              </w:rPr>
            </w:pPr>
          </w:p>
          <w:p w14:paraId="28FBF005"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Genetic: Polygenic risk score </w:t>
            </w:r>
          </w:p>
        </w:tc>
      </w:tr>
      <w:tr w:rsidR="00FD6F3E" w:rsidRPr="00ED156A" w14:paraId="7F2EE0FF" w14:textId="77777777" w:rsidTr="005F2495">
        <w:tc>
          <w:tcPr>
            <w:tcW w:w="1448" w:type="dxa"/>
          </w:tcPr>
          <w:p w14:paraId="309B516A"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Van </w:t>
            </w:r>
            <w:proofErr w:type="spellStart"/>
            <w:r w:rsidRPr="00ED156A">
              <w:rPr>
                <w:rFonts w:ascii="Times New Roman" w:hAnsi="Times New Roman" w:cs="Times New Roman"/>
                <w:sz w:val="24"/>
                <w:szCs w:val="24"/>
              </w:rPr>
              <w:t>Tuijl</w:t>
            </w:r>
            <w:proofErr w:type="spellEnd"/>
            <w:r w:rsidRPr="00ED156A">
              <w:rPr>
                <w:rFonts w:ascii="Times New Roman" w:hAnsi="Times New Roman" w:cs="Times New Roman"/>
                <w:sz w:val="24"/>
                <w:szCs w:val="24"/>
              </w:rPr>
              <w:t xml:space="preserve"> et al. (2020)</w:t>
            </w:r>
          </w:p>
        </w:tc>
        <w:tc>
          <w:tcPr>
            <w:tcW w:w="1672" w:type="dxa"/>
          </w:tcPr>
          <w:p w14:paraId="518F115E"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Netherlands</w:t>
            </w:r>
          </w:p>
        </w:tc>
        <w:tc>
          <w:tcPr>
            <w:tcW w:w="2976" w:type="dxa"/>
          </w:tcPr>
          <w:p w14:paraId="789A3663"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559 with a history of depressive disorder vs 458 with history of anxiety </w:t>
            </w:r>
          </w:p>
        </w:tc>
        <w:tc>
          <w:tcPr>
            <w:tcW w:w="2835" w:type="dxa"/>
          </w:tcPr>
          <w:p w14:paraId="4F255BBD"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Longitudinal cohort </w:t>
            </w:r>
            <w:proofErr w:type="gramStart"/>
            <w:r w:rsidRPr="00ED156A">
              <w:rPr>
                <w:rFonts w:ascii="Times New Roman" w:hAnsi="Times New Roman" w:cs="Times New Roman"/>
                <w:sz w:val="24"/>
                <w:szCs w:val="24"/>
              </w:rPr>
              <w:t>study;</w:t>
            </w:r>
            <w:proofErr w:type="gramEnd"/>
            <w:r w:rsidRPr="00ED156A">
              <w:rPr>
                <w:rFonts w:ascii="Times New Roman" w:hAnsi="Times New Roman" w:cs="Times New Roman"/>
                <w:sz w:val="24"/>
                <w:szCs w:val="24"/>
              </w:rPr>
              <w:t xml:space="preserve"> data for this paper come from baseline+6 years and baseline+9 years</w:t>
            </w:r>
          </w:p>
        </w:tc>
        <w:tc>
          <w:tcPr>
            <w:tcW w:w="7088" w:type="dxa"/>
          </w:tcPr>
          <w:p w14:paraId="673D5187"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Cognitions: Explicit self-esteem (when a person consciously considers the extent of their capabilities e.g. ‘I am a failure’ is a negative proposition); Implicit self-esteem (automatic and not always conscious appraisals of the self)</w:t>
            </w:r>
          </w:p>
          <w:p w14:paraId="366D8927" w14:textId="77777777" w:rsidR="00FD6F3E" w:rsidRPr="00ED156A" w:rsidRDefault="00FD6F3E" w:rsidP="005F2495">
            <w:pPr>
              <w:spacing w:line="360" w:lineRule="auto"/>
              <w:rPr>
                <w:rFonts w:ascii="Times New Roman" w:hAnsi="Times New Roman" w:cs="Times New Roman"/>
                <w:sz w:val="24"/>
                <w:szCs w:val="24"/>
              </w:rPr>
            </w:pPr>
          </w:p>
          <w:p w14:paraId="2333603B"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Personality: Neuroticism</w:t>
            </w:r>
          </w:p>
          <w:p w14:paraId="04FF80B8" w14:textId="77777777" w:rsidR="00FD6F3E" w:rsidRPr="00ED156A" w:rsidRDefault="00FD6F3E" w:rsidP="005F2495">
            <w:pPr>
              <w:spacing w:line="360" w:lineRule="auto"/>
              <w:rPr>
                <w:rFonts w:ascii="Times New Roman" w:hAnsi="Times New Roman" w:cs="Times New Roman"/>
                <w:sz w:val="24"/>
                <w:szCs w:val="24"/>
              </w:rPr>
            </w:pPr>
          </w:p>
          <w:p w14:paraId="58F9B8AE"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Clinical picture: History of anxiety and depression symptoms </w:t>
            </w:r>
          </w:p>
        </w:tc>
      </w:tr>
      <w:tr w:rsidR="00FD6F3E" w:rsidRPr="00ED156A" w14:paraId="6CC5E933" w14:textId="77777777" w:rsidTr="005F2495">
        <w:tc>
          <w:tcPr>
            <w:tcW w:w="1448" w:type="dxa"/>
          </w:tcPr>
          <w:p w14:paraId="447A8528" w14:textId="77777777" w:rsidR="00FD6F3E" w:rsidRPr="00ED156A" w:rsidRDefault="00FD6F3E"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lastRenderedPageBreak/>
              <w:t>Vittengl</w:t>
            </w:r>
            <w:proofErr w:type="spellEnd"/>
            <w:r w:rsidRPr="00ED156A">
              <w:rPr>
                <w:rFonts w:ascii="Times New Roman" w:hAnsi="Times New Roman" w:cs="Times New Roman"/>
                <w:sz w:val="24"/>
                <w:szCs w:val="24"/>
              </w:rPr>
              <w:t xml:space="preserve"> et al. (2020)</w:t>
            </w:r>
          </w:p>
        </w:tc>
        <w:tc>
          <w:tcPr>
            <w:tcW w:w="1672" w:type="dxa"/>
          </w:tcPr>
          <w:p w14:paraId="2B532660"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USA</w:t>
            </w:r>
          </w:p>
        </w:tc>
        <w:tc>
          <w:tcPr>
            <w:tcW w:w="2976" w:type="dxa"/>
          </w:tcPr>
          <w:p w14:paraId="2FF3F85C"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276 outpatient participants with recurrent MDD</w:t>
            </w:r>
          </w:p>
        </w:tc>
        <w:tc>
          <w:tcPr>
            <w:tcW w:w="2835" w:type="dxa"/>
          </w:tcPr>
          <w:p w14:paraId="3D8B9FD6"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Data from a multi-phase RCT examining the effectiveness of cognitive therapy; 24-month follow-up</w:t>
            </w:r>
          </w:p>
        </w:tc>
        <w:tc>
          <w:tcPr>
            <w:tcW w:w="7088" w:type="dxa"/>
          </w:tcPr>
          <w:p w14:paraId="307FBA59"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Psychosocial: Stressful life events </w:t>
            </w:r>
          </w:p>
          <w:p w14:paraId="2F1CA77F" w14:textId="77777777" w:rsidR="00FD6F3E" w:rsidRPr="00ED156A" w:rsidRDefault="00FD6F3E" w:rsidP="005F2495">
            <w:pPr>
              <w:spacing w:line="360" w:lineRule="auto"/>
              <w:rPr>
                <w:rFonts w:ascii="Times New Roman" w:hAnsi="Times New Roman" w:cs="Times New Roman"/>
                <w:sz w:val="24"/>
                <w:szCs w:val="24"/>
              </w:rPr>
            </w:pPr>
          </w:p>
          <w:p w14:paraId="795291B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Cognitions: Cognitive therapy skills </w:t>
            </w:r>
          </w:p>
          <w:p w14:paraId="6FAC3C58" w14:textId="77777777" w:rsidR="00FD6F3E" w:rsidRPr="00ED156A" w:rsidRDefault="00FD6F3E" w:rsidP="005F2495">
            <w:pPr>
              <w:spacing w:line="360" w:lineRule="auto"/>
              <w:rPr>
                <w:rFonts w:ascii="Times New Roman" w:hAnsi="Times New Roman" w:cs="Times New Roman"/>
                <w:sz w:val="24"/>
                <w:szCs w:val="24"/>
              </w:rPr>
            </w:pPr>
          </w:p>
          <w:p w14:paraId="3D93DE5A"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Clinical picture: Depression symptom severity</w:t>
            </w:r>
          </w:p>
        </w:tc>
      </w:tr>
      <w:tr w:rsidR="00FD6F3E" w:rsidRPr="00ED156A" w14:paraId="007F2D22" w14:textId="77777777" w:rsidTr="005F2495">
        <w:tc>
          <w:tcPr>
            <w:tcW w:w="1448" w:type="dxa"/>
          </w:tcPr>
          <w:p w14:paraId="7F9046CE" w14:textId="77777777" w:rsidR="00FD6F3E" w:rsidRPr="00ED156A" w:rsidRDefault="00FD6F3E"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t>Wagenmakers</w:t>
            </w:r>
            <w:proofErr w:type="spellEnd"/>
            <w:r w:rsidRPr="00ED156A">
              <w:rPr>
                <w:rFonts w:ascii="Times New Roman" w:hAnsi="Times New Roman" w:cs="Times New Roman"/>
                <w:sz w:val="24"/>
                <w:szCs w:val="24"/>
              </w:rPr>
              <w:t xml:space="preserve"> et al. (2020)</w:t>
            </w:r>
          </w:p>
        </w:tc>
        <w:tc>
          <w:tcPr>
            <w:tcW w:w="1672" w:type="dxa"/>
          </w:tcPr>
          <w:p w14:paraId="5CF941A6"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Netherlands and Belgium </w:t>
            </w:r>
          </w:p>
        </w:tc>
        <w:tc>
          <w:tcPr>
            <w:tcW w:w="2976" w:type="dxa"/>
          </w:tcPr>
          <w:p w14:paraId="61585E09"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67 patients with late-life depression treated with electro-convulsive therapy</w:t>
            </w:r>
          </w:p>
        </w:tc>
        <w:tc>
          <w:tcPr>
            <w:tcW w:w="2835" w:type="dxa"/>
          </w:tcPr>
          <w:p w14:paraId="161C6C38"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Prospective follow-up study over six months </w:t>
            </w:r>
          </w:p>
        </w:tc>
        <w:tc>
          <w:tcPr>
            <w:tcW w:w="7088" w:type="dxa"/>
          </w:tcPr>
          <w:p w14:paraId="5B7057DD"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Socio-demographic: Age</w:t>
            </w:r>
          </w:p>
          <w:p w14:paraId="7FE7A9F9" w14:textId="77777777" w:rsidR="00FD6F3E" w:rsidRPr="00ED156A" w:rsidRDefault="00FD6F3E" w:rsidP="005F2495">
            <w:pPr>
              <w:spacing w:line="360" w:lineRule="auto"/>
              <w:rPr>
                <w:rFonts w:ascii="Times New Roman" w:hAnsi="Times New Roman" w:cs="Times New Roman"/>
                <w:sz w:val="24"/>
                <w:szCs w:val="24"/>
              </w:rPr>
            </w:pPr>
          </w:p>
          <w:p w14:paraId="7570BCD9"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Clinical picture: Baseline depression severity; Age at onset; Duration of index episode; </w:t>
            </w:r>
            <w:r w:rsidRPr="00B75F3F">
              <w:rPr>
                <w:rFonts w:ascii="Times New Roman" w:hAnsi="Times New Roman" w:cs="Times New Roman"/>
                <w:sz w:val="24"/>
                <w:szCs w:val="24"/>
              </w:rPr>
              <w:t>Psychotic vs. non-psychotic depression</w:t>
            </w:r>
          </w:p>
          <w:p w14:paraId="0109D9BB" w14:textId="77777777" w:rsidR="00FD6F3E" w:rsidRPr="00ED156A" w:rsidRDefault="00FD6F3E" w:rsidP="005F2495">
            <w:pPr>
              <w:spacing w:line="360" w:lineRule="auto"/>
              <w:rPr>
                <w:rFonts w:ascii="Times New Roman" w:hAnsi="Times New Roman" w:cs="Times New Roman"/>
                <w:sz w:val="24"/>
                <w:szCs w:val="24"/>
              </w:rPr>
            </w:pPr>
          </w:p>
          <w:p w14:paraId="71F28903"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Cognitions: Baseline cognitive functioning</w:t>
            </w:r>
          </w:p>
        </w:tc>
      </w:tr>
      <w:tr w:rsidR="00FD6F3E" w:rsidRPr="00ED156A" w14:paraId="630F961B" w14:textId="77777777" w:rsidTr="005F2495">
        <w:tc>
          <w:tcPr>
            <w:tcW w:w="1448" w:type="dxa"/>
          </w:tcPr>
          <w:p w14:paraId="29F325BA"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Wagner et al. (2018)</w:t>
            </w:r>
          </w:p>
        </w:tc>
        <w:tc>
          <w:tcPr>
            <w:tcW w:w="1672" w:type="dxa"/>
          </w:tcPr>
          <w:p w14:paraId="6FFB2922"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Germany</w:t>
            </w:r>
          </w:p>
        </w:tc>
        <w:tc>
          <w:tcPr>
            <w:tcW w:w="2976" w:type="dxa"/>
          </w:tcPr>
          <w:p w14:paraId="1165FD85"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23,229 patients diagnosed with depression in 2007</w:t>
            </w:r>
          </w:p>
        </w:tc>
        <w:tc>
          <w:tcPr>
            <w:tcW w:w="2835" w:type="dxa"/>
          </w:tcPr>
          <w:p w14:paraId="10BB9270"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Retrospective cohort study</w:t>
            </w:r>
          </w:p>
        </w:tc>
        <w:tc>
          <w:tcPr>
            <w:tcW w:w="7088" w:type="dxa"/>
          </w:tcPr>
          <w:p w14:paraId="06ED923B"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w:t>
            </w:r>
          </w:p>
        </w:tc>
      </w:tr>
      <w:tr w:rsidR="00FD6F3E" w:rsidRPr="00ED156A" w14:paraId="3BAEE579" w14:textId="77777777" w:rsidTr="005F2495">
        <w:tc>
          <w:tcPr>
            <w:tcW w:w="1448" w:type="dxa"/>
          </w:tcPr>
          <w:p w14:paraId="67FE7E3F"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Wang et al. (2019)</w:t>
            </w:r>
          </w:p>
        </w:tc>
        <w:tc>
          <w:tcPr>
            <w:tcW w:w="1672" w:type="dxa"/>
          </w:tcPr>
          <w:p w14:paraId="293E1B1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China</w:t>
            </w:r>
          </w:p>
        </w:tc>
        <w:tc>
          <w:tcPr>
            <w:tcW w:w="2976" w:type="dxa"/>
          </w:tcPr>
          <w:p w14:paraId="4EA12F65"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598 adult outpatients with MDD (547 completed the follow-ups)</w:t>
            </w:r>
          </w:p>
        </w:tc>
        <w:tc>
          <w:tcPr>
            <w:tcW w:w="2835" w:type="dxa"/>
          </w:tcPr>
          <w:p w14:paraId="18A415D4"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6-month follow-up study </w:t>
            </w:r>
          </w:p>
        </w:tc>
        <w:tc>
          <w:tcPr>
            <w:tcW w:w="7088" w:type="dxa"/>
          </w:tcPr>
          <w:p w14:paraId="69E61B36"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Cognitions: Cognitive symptoms as perceived by the patients, assessed using Perceived Deficits Questionnaire – Depression; Cognitive performance  </w:t>
            </w:r>
          </w:p>
        </w:tc>
      </w:tr>
      <w:tr w:rsidR="00FD6F3E" w:rsidRPr="00ED156A" w14:paraId="07E0B8CD" w14:textId="77777777" w:rsidTr="005F2495">
        <w:tc>
          <w:tcPr>
            <w:tcW w:w="1448" w:type="dxa"/>
          </w:tcPr>
          <w:p w14:paraId="3FA61A4A"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Yang et al. (2020)</w:t>
            </w:r>
          </w:p>
        </w:tc>
        <w:tc>
          <w:tcPr>
            <w:tcW w:w="1672" w:type="dxa"/>
          </w:tcPr>
          <w:p w14:paraId="624B5FB9"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Taiwan</w:t>
            </w:r>
          </w:p>
        </w:tc>
        <w:tc>
          <w:tcPr>
            <w:tcW w:w="2976" w:type="dxa"/>
          </w:tcPr>
          <w:p w14:paraId="00A42A0E"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60 adults who received electro-convulsive therapy for MDD</w:t>
            </w:r>
          </w:p>
        </w:tc>
        <w:tc>
          <w:tcPr>
            <w:tcW w:w="2835" w:type="dxa"/>
          </w:tcPr>
          <w:p w14:paraId="34EE1981"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12-week follow-up study </w:t>
            </w:r>
          </w:p>
        </w:tc>
        <w:tc>
          <w:tcPr>
            <w:tcW w:w="7088" w:type="dxa"/>
          </w:tcPr>
          <w:p w14:paraId="2D55291B"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Clinical picture: Symptom severity; Number of previous episodes; Age at onset</w:t>
            </w:r>
          </w:p>
          <w:p w14:paraId="3716BB7A" w14:textId="77777777" w:rsidR="00FD6F3E" w:rsidRPr="00ED156A" w:rsidRDefault="00FD6F3E" w:rsidP="005F2495">
            <w:pPr>
              <w:spacing w:line="360" w:lineRule="auto"/>
              <w:rPr>
                <w:rFonts w:ascii="Times New Roman" w:hAnsi="Times New Roman" w:cs="Times New Roman"/>
                <w:sz w:val="24"/>
                <w:szCs w:val="24"/>
              </w:rPr>
            </w:pPr>
          </w:p>
          <w:p w14:paraId="7E22FE29"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 xml:space="preserve">Psychosocial: Psychosocial functional impairment </w:t>
            </w:r>
          </w:p>
          <w:p w14:paraId="1F7D7451" w14:textId="77777777" w:rsidR="00FD6F3E" w:rsidRPr="00ED156A" w:rsidRDefault="00FD6F3E" w:rsidP="005F2495">
            <w:pPr>
              <w:spacing w:line="360" w:lineRule="auto"/>
              <w:rPr>
                <w:rFonts w:ascii="Times New Roman" w:hAnsi="Times New Roman" w:cs="Times New Roman"/>
                <w:sz w:val="24"/>
                <w:szCs w:val="24"/>
              </w:rPr>
            </w:pPr>
          </w:p>
          <w:p w14:paraId="2AE40000"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Socio-demographics: Gender; Age</w:t>
            </w:r>
          </w:p>
        </w:tc>
      </w:tr>
      <w:tr w:rsidR="00FD6F3E" w:rsidRPr="00ED156A" w14:paraId="1BBAFA21" w14:textId="77777777" w:rsidTr="005F2495">
        <w:tc>
          <w:tcPr>
            <w:tcW w:w="1448" w:type="dxa"/>
          </w:tcPr>
          <w:p w14:paraId="531E37CF" w14:textId="77777777" w:rsidR="00FD6F3E" w:rsidRPr="00ED156A" w:rsidRDefault="00FD6F3E"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lastRenderedPageBreak/>
              <w:t>Zanarini</w:t>
            </w:r>
            <w:proofErr w:type="spellEnd"/>
            <w:r w:rsidRPr="00ED156A">
              <w:rPr>
                <w:rFonts w:ascii="Times New Roman" w:hAnsi="Times New Roman" w:cs="Times New Roman"/>
                <w:sz w:val="24"/>
                <w:szCs w:val="24"/>
              </w:rPr>
              <w:t xml:space="preserve"> et al. (2019)</w:t>
            </w:r>
          </w:p>
        </w:tc>
        <w:tc>
          <w:tcPr>
            <w:tcW w:w="1672" w:type="dxa"/>
          </w:tcPr>
          <w:p w14:paraId="494FE7E6"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USA</w:t>
            </w:r>
          </w:p>
        </w:tc>
        <w:tc>
          <w:tcPr>
            <w:tcW w:w="2976" w:type="dxa"/>
          </w:tcPr>
          <w:p w14:paraId="19804B62"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290 inpatients with borderline personality disorder and 72 comparison subjects with other personality disorders</w:t>
            </w:r>
          </w:p>
        </w:tc>
        <w:tc>
          <w:tcPr>
            <w:tcW w:w="2835" w:type="dxa"/>
          </w:tcPr>
          <w:p w14:paraId="69D8A67F"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Longitudinal study over two years</w:t>
            </w:r>
          </w:p>
        </w:tc>
        <w:tc>
          <w:tcPr>
            <w:tcW w:w="7088" w:type="dxa"/>
          </w:tcPr>
          <w:p w14:paraId="3778434F" w14:textId="77777777" w:rsidR="00FD6F3E" w:rsidRPr="00ED156A" w:rsidRDefault="00FD6F3E"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w:t>
            </w:r>
          </w:p>
        </w:tc>
      </w:tr>
    </w:tbl>
    <w:p w14:paraId="6F1A81F4" w14:textId="77777777" w:rsidR="00FD6F3E" w:rsidRPr="00ED156A" w:rsidRDefault="00FD6F3E" w:rsidP="00FD6F3E">
      <w:pPr>
        <w:spacing w:line="360" w:lineRule="auto"/>
        <w:rPr>
          <w:rFonts w:ascii="Times New Roman" w:hAnsi="Times New Roman" w:cs="Times New Roman"/>
          <w:sz w:val="24"/>
          <w:szCs w:val="24"/>
        </w:rPr>
      </w:pPr>
    </w:p>
    <w:p w14:paraId="66F84FCB" w14:textId="77777777" w:rsidR="00FD6F3E" w:rsidRPr="00ED156A" w:rsidRDefault="00FD6F3E" w:rsidP="00FD6F3E">
      <w:pPr>
        <w:spacing w:line="360" w:lineRule="auto"/>
        <w:rPr>
          <w:rFonts w:ascii="Times New Roman" w:hAnsi="Times New Roman" w:cs="Times New Roman"/>
          <w:b/>
          <w:bCs/>
          <w:sz w:val="24"/>
          <w:szCs w:val="24"/>
        </w:rPr>
      </w:pPr>
      <w:r w:rsidRPr="00ED156A">
        <w:rPr>
          <w:rFonts w:ascii="Times New Roman" w:hAnsi="Times New Roman" w:cs="Times New Roman"/>
          <w:b/>
          <w:bCs/>
          <w:sz w:val="24"/>
          <w:szCs w:val="24"/>
        </w:rPr>
        <w:br w:type="page"/>
      </w:r>
    </w:p>
    <w:p w14:paraId="74E21C12" w14:textId="77777777" w:rsidR="00D67FB5" w:rsidRDefault="00D67FB5" w:rsidP="00D67FB5">
      <w:pPr>
        <w:spacing w:line="360" w:lineRule="auto"/>
        <w:rPr>
          <w:rFonts w:ascii="Times New Roman" w:hAnsi="Times New Roman" w:cs="Times New Roman"/>
          <w:b/>
          <w:bCs/>
          <w:sz w:val="24"/>
          <w:szCs w:val="24"/>
        </w:rPr>
      </w:pPr>
      <w:r w:rsidRPr="00ED156A">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S2</w:t>
      </w:r>
      <w:r w:rsidRPr="00ED156A">
        <w:rPr>
          <w:rFonts w:ascii="Times New Roman" w:hAnsi="Times New Roman" w:cs="Times New Roman"/>
          <w:b/>
          <w:bCs/>
          <w:sz w:val="24"/>
          <w:szCs w:val="24"/>
        </w:rPr>
        <w:t xml:space="preserve">. </w:t>
      </w:r>
      <w:r>
        <w:rPr>
          <w:rFonts w:ascii="Times New Roman" w:hAnsi="Times New Roman" w:cs="Times New Roman"/>
          <w:b/>
          <w:bCs/>
          <w:sz w:val="24"/>
          <w:szCs w:val="24"/>
        </w:rPr>
        <w:t>Quality appraisal of retained papers</w:t>
      </w:r>
    </w:p>
    <w:tbl>
      <w:tblPr>
        <w:tblStyle w:val="TableGrid"/>
        <w:tblW w:w="15651" w:type="dxa"/>
        <w:tblInd w:w="-998" w:type="dxa"/>
        <w:tblLook w:val="04A0" w:firstRow="1" w:lastRow="0" w:firstColumn="1" w:lastColumn="0" w:noHBand="0" w:noVBand="1"/>
      </w:tblPr>
      <w:tblGrid>
        <w:gridCol w:w="2553"/>
        <w:gridCol w:w="3543"/>
        <w:gridCol w:w="709"/>
        <w:gridCol w:w="709"/>
        <w:gridCol w:w="1610"/>
        <w:gridCol w:w="1150"/>
        <w:gridCol w:w="1123"/>
        <w:gridCol w:w="1086"/>
        <w:gridCol w:w="1150"/>
        <w:gridCol w:w="1124"/>
        <w:gridCol w:w="894"/>
      </w:tblGrid>
      <w:tr w:rsidR="00D67FB5" w:rsidRPr="00751529" w14:paraId="0DE7956D" w14:textId="77777777" w:rsidTr="005F2495">
        <w:trPr>
          <w:trHeight w:val="308"/>
        </w:trPr>
        <w:tc>
          <w:tcPr>
            <w:tcW w:w="2553" w:type="dxa"/>
            <w:hideMark/>
          </w:tcPr>
          <w:p w14:paraId="215BE244" w14:textId="77777777" w:rsidR="00D67FB5" w:rsidRPr="00283B39" w:rsidRDefault="00D67FB5" w:rsidP="005F2495">
            <w:pPr>
              <w:spacing w:line="360" w:lineRule="auto"/>
              <w:rPr>
                <w:rFonts w:ascii="Times New Roman" w:hAnsi="Times New Roman" w:cs="Times New Roman"/>
                <w:b/>
                <w:bCs/>
                <w:sz w:val="24"/>
                <w:szCs w:val="24"/>
              </w:rPr>
            </w:pPr>
            <w:r w:rsidRPr="00283B39">
              <w:rPr>
                <w:rFonts w:ascii="Times New Roman" w:hAnsi="Times New Roman" w:cs="Times New Roman"/>
                <w:b/>
                <w:bCs/>
                <w:sz w:val="24"/>
                <w:szCs w:val="24"/>
              </w:rPr>
              <w:t>Authors (year)</w:t>
            </w:r>
          </w:p>
        </w:tc>
        <w:tc>
          <w:tcPr>
            <w:tcW w:w="3543" w:type="dxa"/>
            <w:hideMark/>
          </w:tcPr>
          <w:p w14:paraId="5D040AC4" w14:textId="77777777" w:rsidR="00D67FB5" w:rsidRPr="00283B39" w:rsidRDefault="00D67FB5" w:rsidP="005F2495">
            <w:pPr>
              <w:spacing w:line="360" w:lineRule="auto"/>
              <w:rPr>
                <w:rFonts w:ascii="Times New Roman" w:hAnsi="Times New Roman" w:cs="Times New Roman"/>
                <w:b/>
                <w:bCs/>
                <w:sz w:val="24"/>
                <w:szCs w:val="24"/>
              </w:rPr>
            </w:pPr>
            <w:r w:rsidRPr="00283B39">
              <w:rPr>
                <w:rFonts w:ascii="Times New Roman" w:hAnsi="Times New Roman" w:cs="Times New Roman"/>
                <w:b/>
                <w:bCs/>
                <w:sz w:val="24"/>
                <w:szCs w:val="24"/>
              </w:rPr>
              <w:t>Design</w:t>
            </w:r>
          </w:p>
        </w:tc>
        <w:tc>
          <w:tcPr>
            <w:tcW w:w="709" w:type="dxa"/>
            <w:noWrap/>
            <w:hideMark/>
          </w:tcPr>
          <w:p w14:paraId="7F1DE6A7" w14:textId="77777777" w:rsidR="00D67FB5" w:rsidRPr="00283B39" w:rsidRDefault="00D67FB5" w:rsidP="005F2495">
            <w:pPr>
              <w:spacing w:line="360" w:lineRule="auto"/>
              <w:rPr>
                <w:rFonts w:ascii="Times New Roman" w:hAnsi="Times New Roman" w:cs="Times New Roman"/>
                <w:b/>
                <w:bCs/>
                <w:sz w:val="24"/>
                <w:szCs w:val="24"/>
              </w:rPr>
            </w:pPr>
            <w:r w:rsidRPr="00283B39">
              <w:rPr>
                <w:rFonts w:ascii="Times New Roman" w:hAnsi="Times New Roman" w:cs="Times New Roman"/>
                <w:b/>
                <w:bCs/>
                <w:sz w:val="24"/>
                <w:szCs w:val="24"/>
              </w:rPr>
              <w:t>S1</w:t>
            </w:r>
          </w:p>
        </w:tc>
        <w:tc>
          <w:tcPr>
            <w:tcW w:w="709" w:type="dxa"/>
            <w:noWrap/>
            <w:hideMark/>
          </w:tcPr>
          <w:p w14:paraId="392692A0" w14:textId="77777777" w:rsidR="00D67FB5" w:rsidRPr="00283B39" w:rsidRDefault="00D67FB5" w:rsidP="005F2495">
            <w:pPr>
              <w:spacing w:line="360" w:lineRule="auto"/>
              <w:rPr>
                <w:rFonts w:ascii="Times New Roman" w:hAnsi="Times New Roman" w:cs="Times New Roman"/>
                <w:b/>
                <w:bCs/>
                <w:sz w:val="24"/>
                <w:szCs w:val="24"/>
              </w:rPr>
            </w:pPr>
            <w:r w:rsidRPr="00283B39">
              <w:rPr>
                <w:rFonts w:ascii="Times New Roman" w:hAnsi="Times New Roman" w:cs="Times New Roman"/>
                <w:b/>
                <w:bCs/>
                <w:sz w:val="24"/>
                <w:szCs w:val="24"/>
              </w:rPr>
              <w:t>S1</w:t>
            </w:r>
          </w:p>
        </w:tc>
        <w:tc>
          <w:tcPr>
            <w:tcW w:w="1610" w:type="dxa"/>
            <w:noWrap/>
            <w:hideMark/>
          </w:tcPr>
          <w:p w14:paraId="17D3C4A4" w14:textId="77777777" w:rsidR="00D67FB5" w:rsidRPr="00283B39" w:rsidRDefault="00D67FB5" w:rsidP="005F2495">
            <w:pPr>
              <w:spacing w:line="360" w:lineRule="auto"/>
              <w:rPr>
                <w:rFonts w:ascii="Times New Roman" w:hAnsi="Times New Roman" w:cs="Times New Roman"/>
                <w:b/>
                <w:bCs/>
                <w:sz w:val="24"/>
                <w:szCs w:val="24"/>
              </w:rPr>
            </w:pPr>
            <w:r w:rsidRPr="00283B39">
              <w:rPr>
                <w:rFonts w:ascii="Times New Roman" w:hAnsi="Times New Roman" w:cs="Times New Roman"/>
                <w:b/>
                <w:bCs/>
                <w:sz w:val="24"/>
                <w:szCs w:val="24"/>
              </w:rPr>
              <w:t>Category of study design</w:t>
            </w:r>
          </w:p>
        </w:tc>
        <w:tc>
          <w:tcPr>
            <w:tcW w:w="1150" w:type="dxa"/>
            <w:noWrap/>
            <w:hideMark/>
          </w:tcPr>
          <w:p w14:paraId="322B8A1E" w14:textId="77777777" w:rsidR="00D67FB5" w:rsidRPr="00283B39" w:rsidRDefault="00D67FB5" w:rsidP="005F2495">
            <w:pPr>
              <w:spacing w:line="360" w:lineRule="auto"/>
              <w:rPr>
                <w:rFonts w:ascii="Times New Roman" w:hAnsi="Times New Roman" w:cs="Times New Roman"/>
                <w:b/>
                <w:bCs/>
                <w:sz w:val="24"/>
                <w:szCs w:val="24"/>
              </w:rPr>
            </w:pPr>
            <w:r w:rsidRPr="00283B39">
              <w:rPr>
                <w:rFonts w:ascii="Times New Roman" w:hAnsi="Times New Roman" w:cs="Times New Roman"/>
                <w:b/>
                <w:bCs/>
                <w:sz w:val="24"/>
                <w:szCs w:val="24"/>
              </w:rPr>
              <w:t>1</w:t>
            </w:r>
          </w:p>
        </w:tc>
        <w:tc>
          <w:tcPr>
            <w:tcW w:w="1123" w:type="dxa"/>
            <w:noWrap/>
            <w:hideMark/>
          </w:tcPr>
          <w:p w14:paraId="4B5E5FC3" w14:textId="77777777" w:rsidR="00D67FB5" w:rsidRPr="00283B39" w:rsidRDefault="00D67FB5" w:rsidP="005F2495">
            <w:pPr>
              <w:spacing w:line="360" w:lineRule="auto"/>
              <w:rPr>
                <w:rFonts w:ascii="Times New Roman" w:hAnsi="Times New Roman" w:cs="Times New Roman"/>
                <w:b/>
                <w:bCs/>
                <w:sz w:val="24"/>
                <w:szCs w:val="24"/>
              </w:rPr>
            </w:pPr>
            <w:r w:rsidRPr="00283B39">
              <w:rPr>
                <w:rFonts w:ascii="Times New Roman" w:hAnsi="Times New Roman" w:cs="Times New Roman"/>
                <w:b/>
                <w:bCs/>
                <w:sz w:val="24"/>
                <w:szCs w:val="24"/>
              </w:rPr>
              <w:t>2</w:t>
            </w:r>
          </w:p>
        </w:tc>
        <w:tc>
          <w:tcPr>
            <w:tcW w:w="1086" w:type="dxa"/>
            <w:noWrap/>
            <w:hideMark/>
          </w:tcPr>
          <w:p w14:paraId="7E8CA4E3" w14:textId="77777777" w:rsidR="00D67FB5" w:rsidRPr="00283B39" w:rsidRDefault="00D67FB5" w:rsidP="005F2495">
            <w:pPr>
              <w:spacing w:line="360" w:lineRule="auto"/>
              <w:rPr>
                <w:rFonts w:ascii="Times New Roman" w:hAnsi="Times New Roman" w:cs="Times New Roman"/>
                <w:b/>
                <w:bCs/>
                <w:sz w:val="24"/>
                <w:szCs w:val="24"/>
              </w:rPr>
            </w:pPr>
            <w:r w:rsidRPr="00283B39">
              <w:rPr>
                <w:rFonts w:ascii="Times New Roman" w:hAnsi="Times New Roman" w:cs="Times New Roman"/>
                <w:b/>
                <w:bCs/>
                <w:sz w:val="24"/>
                <w:szCs w:val="24"/>
              </w:rPr>
              <w:t>3</w:t>
            </w:r>
          </w:p>
        </w:tc>
        <w:tc>
          <w:tcPr>
            <w:tcW w:w="1150" w:type="dxa"/>
            <w:noWrap/>
            <w:hideMark/>
          </w:tcPr>
          <w:p w14:paraId="749E8BA0" w14:textId="77777777" w:rsidR="00D67FB5" w:rsidRPr="00283B39" w:rsidRDefault="00D67FB5" w:rsidP="005F2495">
            <w:pPr>
              <w:spacing w:line="360" w:lineRule="auto"/>
              <w:rPr>
                <w:rFonts w:ascii="Times New Roman" w:hAnsi="Times New Roman" w:cs="Times New Roman"/>
                <w:b/>
                <w:bCs/>
                <w:sz w:val="24"/>
                <w:szCs w:val="24"/>
              </w:rPr>
            </w:pPr>
            <w:r w:rsidRPr="00283B39">
              <w:rPr>
                <w:rFonts w:ascii="Times New Roman" w:hAnsi="Times New Roman" w:cs="Times New Roman"/>
                <w:b/>
                <w:bCs/>
                <w:sz w:val="24"/>
                <w:szCs w:val="24"/>
              </w:rPr>
              <w:t>4</w:t>
            </w:r>
          </w:p>
        </w:tc>
        <w:tc>
          <w:tcPr>
            <w:tcW w:w="1124" w:type="dxa"/>
            <w:noWrap/>
            <w:hideMark/>
          </w:tcPr>
          <w:p w14:paraId="015F8060" w14:textId="77777777" w:rsidR="00D67FB5" w:rsidRPr="00283B39" w:rsidRDefault="00D67FB5" w:rsidP="005F2495">
            <w:pPr>
              <w:spacing w:line="360" w:lineRule="auto"/>
              <w:rPr>
                <w:rFonts w:ascii="Times New Roman" w:hAnsi="Times New Roman" w:cs="Times New Roman"/>
                <w:b/>
                <w:bCs/>
                <w:sz w:val="24"/>
                <w:szCs w:val="24"/>
              </w:rPr>
            </w:pPr>
            <w:r w:rsidRPr="00283B39">
              <w:rPr>
                <w:rFonts w:ascii="Times New Roman" w:hAnsi="Times New Roman" w:cs="Times New Roman"/>
                <w:b/>
                <w:bCs/>
                <w:sz w:val="24"/>
                <w:szCs w:val="24"/>
              </w:rPr>
              <w:t>5</w:t>
            </w:r>
          </w:p>
        </w:tc>
        <w:tc>
          <w:tcPr>
            <w:tcW w:w="894" w:type="dxa"/>
            <w:noWrap/>
            <w:hideMark/>
          </w:tcPr>
          <w:p w14:paraId="47CC911B" w14:textId="77777777" w:rsidR="00D67FB5" w:rsidRPr="00283B39" w:rsidRDefault="00D67FB5" w:rsidP="005F2495">
            <w:pPr>
              <w:spacing w:line="360" w:lineRule="auto"/>
              <w:rPr>
                <w:rFonts w:ascii="Times New Roman" w:hAnsi="Times New Roman" w:cs="Times New Roman"/>
                <w:b/>
                <w:bCs/>
                <w:sz w:val="24"/>
                <w:szCs w:val="24"/>
              </w:rPr>
            </w:pPr>
            <w:r w:rsidRPr="00283B39">
              <w:rPr>
                <w:rFonts w:ascii="Times New Roman" w:hAnsi="Times New Roman" w:cs="Times New Roman"/>
                <w:b/>
                <w:bCs/>
                <w:sz w:val="24"/>
                <w:szCs w:val="24"/>
              </w:rPr>
              <w:t>Score</w:t>
            </w:r>
          </w:p>
        </w:tc>
      </w:tr>
      <w:tr w:rsidR="00D67FB5" w:rsidRPr="00751529" w14:paraId="32D4CE8F" w14:textId="77777777" w:rsidTr="005F2495">
        <w:trPr>
          <w:trHeight w:val="308"/>
        </w:trPr>
        <w:tc>
          <w:tcPr>
            <w:tcW w:w="2553" w:type="dxa"/>
            <w:hideMark/>
          </w:tcPr>
          <w:p w14:paraId="085C22A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Barbuti et al. (2019)</w:t>
            </w:r>
          </w:p>
        </w:tc>
        <w:tc>
          <w:tcPr>
            <w:tcW w:w="3543" w:type="dxa"/>
            <w:hideMark/>
          </w:tcPr>
          <w:p w14:paraId="51AA596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Cohort study</w:t>
            </w:r>
          </w:p>
        </w:tc>
        <w:tc>
          <w:tcPr>
            <w:tcW w:w="709" w:type="dxa"/>
            <w:noWrap/>
            <w:hideMark/>
          </w:tcPr>
          <w:p w14:paraId="0F33A99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4BFEE1E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0C2D03A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35F2FCDC"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N/R</w:t>
            </w:r>
          </w:p>
        </w:tc>
        <w:tc>
          <w:tcPr>
            <w:tcW w:w="1123" w:type="dxa"/>
            <w:noWrap/>
            <w:hideMark/>
          </w:tcPr>
          <w:p w14:paraId="45DB44C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07EB9E9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752F646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362B14E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2DCD2A1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1873D7B1" w14:textId="77777777" w:rsidTr="005F2495">
        <w:trPr>
          <w:trHeight w:val="924"/>
        </w:trPr>
        <w:tc>
          <w:tcPr>
            <w:tcW w:w="2553" w:type="dxa"/>
            <w:hideMark/>
          </w:tcPr>
          <w:p w14:paraId="290516BF" w14:textId="77777777" w:rsidR="00D67FB5" w:rsidRPr="00751529" w:rsidRDefault="00D67FB5" w:rsidP="005F2495">
            <w:pPr>
              <w:spacing w:line="360" w:lineRule="auto"/>
              <w:rPr>
                <w:rFonts w:ascii="Times New Roman" w:hAnsi="Times New Roman" w:cs="Times New Roman"/>
                <w:sz w:val="24"/>
                <w:szCs w:val="24"/>
              </w:rPr>
            </w:pPr>
            <w:proofErr w:type="spellStart"/>
            <w:r w:rsidRPr="00751529">
              <w:rPr>
                <w:rFonts w:ascii="Times New Roman" w:hAnsi="Times New Roman" w:cs="Times New Roman"/>
                <w:sz w:val="24"/>
                <w:szCs w:val="24"/>
              </w:rPr>
              <w:t>Benjet</w:t>
            </w:r>
            <w:proofErr w:type="spellEnd"/>
            <w:r w:rsidRPr="00751529">
              <w:rPr>
                <w:rFonts w:ascii="Times New Roman" w:hAnsi="Times New Roman" w:cs="Times New Roman"/>
                <w:sz w:val="24"/>
                <w:szCs w:val="24"/>
              </w:rPr>
              <w:t xml:space="preserve"> et al. (2020)</w:t>
            </w:r>
          </w:p>
        </w:tc>
        <w:tc>
          <w:tcPr>
            <w:tcW w:w="3543" w:type="dxa"/>
            <w:hideMark/>
          </w:tcPr>
          <w:p w14:paraId="43466C3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Prospective longitudinal cohort study – diagnostic assessment carried out at baseline and 8 years later</w:t>
            </w:r>
          </w:p>
        </w:tc>
        <w:tc>
          <w:tcPr>
            <w:tcW w:w="709" w:type="dxa"/>
            <w:noWrap/>
            <w:hideMark/>
          </w:tcPr>
          <w:p w14:paraId="7FB230C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72052D7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4BAED21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noWrap/>
            <w:hideMark/>
          </w:tcPr>
          <w:p w14:paraId="0CBE0FA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726A361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6FAA808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7B108E7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4536F8B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68F19F2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103A2089" w14:textId="77777777" w:rsidTr="005F2495">
        <w:trPr>
          <w:trHeight w:val="308"/>
        </w:trPr>
        <w:tc>
          <w:tcPr>
            <w:tcW w:w="2553" w:type="dxa"/>
            <w:hideMark/>
          </w:tcPr>
          <w:p w14:paraId="2F26551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 xml:space="preserve">De </w:t>
            </w:r>
            <w:proofErr w:type="spellStart"/>
            <w:r w:rsidRPr="00751529">
              <w:rPr>
                <w:rFonts w:ascii="Times New Roman" w:hAnsi="Times New Roman" w:cs="Times New Roman"/>
                <w:sz w:val="24"/>
                <w:szCs w:val="24"/>
              </w:rPr>
              <w:t>Jonge</w:t>
            </w:r>
            <w:proofErr w:type="spellEnd"/>
            <w:r w:rsidRPr="00751529">
              <w:rPr>
                <w:rFonts w:ascii="Times New Roman" w:hAnsi="Times New Roman" w:cs="Times New Roman"/>
                <w:sz w:val="24"/>
                <w:szCs w:val="24"/>
              </w:rPr>
              <w:t xml:space="preserve"> et al. (2018)</w:t>
            </w:r>
          </w:p>
        </w:tc>
        <w:tc>
          <w:tcPr>
            <w:tcW w:w="3543" w:type="dxa"/>
            <w:hideMark/>
          </w:tcPr>
          <w:p w14:paraId="6C9AA77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Cross-sectional quantitative</w:t>
            </w:r>
          </w:p>
        </w:tc>
        <w:tc>
          <w:tcPr>
            <w:tcW w:w="709" w:type="dxa"/>
            <w:noWrap/>
            <w:hideMark/>
          </w:tcPr>
          <w:p w14:paraId="0416AFB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755E9C5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49A1D38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noWrap/>
            <w:hideMark/>
          </w:tcPr>
          <w:p w14:paraId="603C0AC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7A75507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019E15C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28B6D7C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097FB3C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03207BCD"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0D664E44" w14:textId="77777777" w:rsidTr="005F2495">
        <w:trPr>
          <w:trHeight w:val="308"/>
        </w:trPr>
        <w:tc>
          <w:tcPr>
            <w:tcW w:w="2553" w:type="dxa"/>
            <w:hideMark/>
          </w:tcPr>
          <w:p w14:paraId="20FED45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Delgadillo et al. (2018)</w:t>
            </w:r>
          </w:p>
        </w:tc>
        <w:tc>
          <w:tcPr>
            <w:tcW w:w="3543" w:type="dxa"/>
            <w:hideMark/>
          </w:tcPr>
          <w:p w14:paraId="6B24048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Prospective longitudinal cohort study</w:t>
            </w:r>
          </w:p>
        </w:tc>
        <w:tc>
          <w:tcPr>
            <w:tcW w:w="709" w:type="dxa"/>
            <w:noWrap/>
            <w:hideMark/>
          </w:tcPr>
          <w:p w14:paraId="5FCE69B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0CBBBD8D"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196372B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noWrap/>
            <w:hideMark/>
          </w:tcPr>
          <w:p w14:paraId="173380B7"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N/R</w:t>
            </w:r>
          </w:p>
        </w:tc>
        <w:tc>
          <w:tcPr>
            <w:tcW w:w="1123" w:type="dxa"/>
            <w:noWrap/>
            <w:hideMark/>
          </w:tcPr>
          <w:p w14:paraId="2DDD977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29097A4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6BA5479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3EB85C7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41C0681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40</w:t>
            </w:r>
          </w:p>
        </w:tc>
      </w:tr>
      <w:tr w:rsidR="00D67FB5" w:rsidRPr="00751529" w14:paraId="40215B04" w14:textId="77777777" w:rsidTr="005F2495">
        <w:trPr>
          <w:trHeight w:val="924"/>
        </w:trPr>
        <w:tc>
          <w:tcPr>
            <w:tcW w:w="2553" w:type="dxa"/>
            <w:hideMark/>
          </w:tcPr>
          <w:p w14:paraId="28D54F9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Duffy et al. (2021)</w:t>
            </w:r>
          </w:p>
        </w:tc>
        <w:tc>
          <w:tcPr>
            <w:tcW w:w="3543" w:type="dxa"/>
            <w:hideMark/>
          </w:tcPr>
          <w:p w14:paraId="1A5BE36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Randomised controlled trial assessing the effectiveness of antidepressants, with follow-up at 6, 12, 26, 39 and 52 weeks</w:t>
            </w:r>
          </w:p>
        </w:tc>
        <w:tc>
          <w:tcPr>
            <w:tcW w:w="709" w:type="dxa"/>
            <w:noWrap/>
            <w:hideMark/>
          </w:tcPr>
          <w:p w14:paraId="522F7DB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02F6E87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5541EBC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2</w:t>
            </w:r>
          </w:p>
        </w:tc>
        <w:tc>
          <w:tcPr>
            <w:tcW w:w="1150" w:type="dxa"/>
            <w:noWrap/>
            <w:hideMark/>
          </w:tcPr>
          <w:p w14:paraId="5CFF58D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4AFFD9E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5457CD7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4772E1F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1D53AB5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2DE187B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362B0B79" w14:textId="77777777" w:rsidTr="005F2495">
        <w:trPr>
          <w:trHeight w:val="660"/>
        </w:trPr>
        <w:tc>
          <w:tcPr>
            <w:tcW w:w="2553" w:type="dxa"/>
            <w:hideMark/>
          </w:tcPr>
          <w:p w14:paraId="5AAD7DD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Elgersma et al. (2019)</w:t>
            </w:r>
          </w:p>
        </w:tc>
        <w:tc>
          <w:tcPr>
            <w:tcW w:w="3543" w:type="dxa"/>
            <w:hideMark/>
          </w:tcPr>
          <w:p w14:paraId="4CC2B08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Data from a 4-year longitudinal study; attentional bias was only measured at baseline</w:t>
            </w:r>
          </w:p>
        </w:tc>
        <w:tc>
          <w:tcPr>
            <w:tcW w:w="709" w:type="dxa"/>
            <w:noWrap/>
            <w:hideMark/>
          </w:tcPr>
          <w:p w14:paraId="63FBD13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4E95E31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6736382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26153CF6"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N/R</w:t>
            </w:r>
          </w:p>
        </w:tc>
        <w:tc>
          <w:tcPr>
            <w:tcW w:w="1123" w:type="dxa"/>
            <w:noWrap/>
            <w:hideMark/>
          </w:tcPr>
          <w:p w14:paraId="17D0687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31442819"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150" w:type="dxa"/>
            <w:noWrap/>
            <w:hideMark/>
          </w:tcPr>
          <w:p w14:paraId="1EC3078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3B045B4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312D693D"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80</w:t>
            </w:r>
          </w:p>
        </w:tc>
      </w:tr>
      <w:tr w:rsidR="00D67FB5" w:rsidRPr="00751529" w14:paraId="2DCB5F8B" w14:textId="77777777" w:rsidTr="005F2495">
        <w:trPr>
          <w:trHeight w:val="308"/>
        </w:trPr>
        <w:tc>
          <w:tcPr>
            <w:tcW w:w="2553" w:type="dxa"/>
            <w:hideMark/>
          </w:tcPr>
          <w:p w14:paraId="2C63F14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Freeman et al. (2018)</w:t>
            </w:r>
          </w:p>
        </w:tc>
        <w:tc>
          <w:tcPr>
            <w:tcW w:w="3543" w:type="dxa"/>
            <w:hideMark/>
          </w:tcPr>
          <w:p w14:paraId="112C263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Prospective observational study over 6 months</w:t>
            </w:r>
          </w:p>
        </w:tc>
        <w:tc>
          <w:tcPr>
            <w:tcW w:w="709" w:type="dxa"/>
            <w:noWrap/>
            <w:hideMark/>
          </w:tcPr>
          <w:p w14:paraId="65C28AE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7358B7D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2D914B6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noWrap/>
            <w:hideMark/>
          </w:tcPr>
          <w:p w14:paraId="3A05C2B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0A0CF28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2DC1EAE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035D9E6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399279E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435BA4B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60</w:t>
            </w:r>
          </w:p>
        </w:tc>
      </w:tr>
      <w:tr w:rsidR="00D67FB5" w:rsidRPr="00751529" w14:paraId="7E6E7AD0" w14:textId="77777777" w:rsidTr="005F2495">
        <w:trPr>
          <w:trHeight w:val="308"/>
        </w:trPr>
        <w:tc>
          <w:tcPr>
            <w:tcW w:w="2553" w:type="dxa"/>
            <w:hideMark/>
          </w:tcPr>
          <w:p w14:paraId="6E1D278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lastRenderedPageBreak/>
              <w:t>Gloger et al. (2021)</w:t>
            </w:r>
          </w:p>
        </w:tc>
        <w:tc>
          <w:tcPr>
            <w:tcW w:w="3543" w:type="dxa"/>
            <w:hideMark/>
          </w:tcPr>
          <w:p w14:paraId="6F81F2D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Cross-sectional examination of existing data</w:t>
            </w:r>
          </w:p>
        </w:tc>
        <w:tc>
          <w:tcPr>
            <w:tcW w:w="709" w:type="dxa"/>
            <w:noWrap/>
            <w:hideMark/>
          </w:tcPr>
          <w:p w14:paraId="674E97C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4D2237A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34BE445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noWrap/>
            <w:hideMark/>
          </w:tcPr>
          <w:p w14:paraId="025046F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5CBF8CF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3B9060D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2CDEDE0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7CF9BEC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14182C7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14352549" w14:textId="77777777" w:rsidTr="005F2495">
        <w:trPr>
          <w:trHeight w:val="352"/>
        </w:trPr>
        <w:tc>
          <w:tcPr>
            <w:tcW w:w="2553" w:type="dxa"/>
            <w:hideMark/>
          </w:tcPr>
          <w:p w14:paraId="6F6A767F" w14:textId="77777777" w:rsidR="00D67FB5" w:rsidRPr="00751529" w:rsidRDefault="00D67FB5" w:rsidP="005F2495">
            <w:pPr>
              <w:spacing w:line="360" w:lineRule="auto"/>
              <w:rPr>
                <w:rFonts w:ascii="Times New Roman" w:hAnsi="Times New Roman" w:cs="Times New Roman"/>
                <w:sz w:val="24"/>
                <w:szCs w:val="24"/>
              </w:rPr>
            </w:pPr>
            <w:proofErr w:type="spellStart"/>
            <w:r w:rsidRPr="00751529">
              <w:rPr>
                <w:rFonts w:ascii="Times New Roman" w:hAnsi="Times New Roman" w:cs="Times New Roman"/>
                <w:sz w:val="24"/>
                <w:szCs w:val="24"/>
              </w:rPr>
              <w:t>Halonen</w:t>
            </w:r>
            <w:proofErr w:type="spellEnd"/>
            <w:r w:rsidRPr="00751529">
              <w:rPr>
                <w:rFonts w:ascii="Times New Roman" w:hAnsi="Times New Roman" w:cs="Times New Roman"/>
                <w:sz w:val="24"/>
                <w:szCs w:val="24"/>
              </w:rPr>
              <w:t xml:space="preserve"> et al. (2022)</w:t>
            </w:r>
          </w:p>
        </w:tc>
        <w:tc>
          <w:tcPr>
            <w:tcW w:w="3543" w:type="dxa"/>
            <w:hideMark/>
          </w:tcPr>
          <w:p w14:paraId="6250C69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Part of a clinical follow-up study</w:t>
            </w:r>
          </w:p>
        </w:tc>
        <w:tc>
          <w:tcPr>
            <w:tcW w:w="709" w:type="dxa"/>
            <w:noWrap/>
            <w:hideMark/>
          </w:tcPr>
          <w:p w14:paraId="4FDEA03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2AB4206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5B4C473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noWrap/>
            <w:hideMark/>
          </w:tcPr>
          <w:p w14:paraId="1854F87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0ECD1E9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6E1B382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2546444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13B71BD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72B4913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5879722A" w14:textId="77777777" w:rsidTr="005F2495">
        <w:trPr>
          <w:trHeight w:val="616"/>
        </w:trPr>
        <w:tc>
          <w:tcPr>
            <w:tcW w:w="2553" w:type="dxa"/>
            <w:hideMark/>
          </w:tcPr>
          <w:p w14:paraId="55E41DB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Jannat-</w:t>
            </w:r>
            <w:proofErr w:type="spellStart"/>
            <w:r w:rsidRPr="00751529">
              <w:rPr>
                <w:rFonts w:ascii="Times New Roman" w:hAnsi="Times New Roman" w:cs="Times New Roman"/>
                <w:sz w:val="24"/>
                <w:szCs w:val="24"/>
              </w:rPr>
              <w:t>Khah</w:t>
            </w:r>
            <w:proofErr w:type="spellEnd"/>
            <w:r w:rsidRPr="00751529">
              <w:rPr>
                <w:rFonts w:ascii="Times New Roman" w:hAnsi="Times New Roman" w:cs="Times New Roman"/>
                <w:sz w:val="24"/>
                <w:szCs w:val="24"/>
              </w:rPr>
              <w:t xml:space="preserve"> et al. (2020)</w:t>
            </w:r>
          </w:p>
        </w:tc>
        <w:tc>
          <w:tcPr>
            <w:tcW w:w="3543" w:type="dxa"/>
            <w:hideMark/>
          </w:tcPr>
          <w:p w14:paraId="2B53BD4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Prospective cohort study</w:t>
            </w:r>
          </w:p>
        </w:tc>
        <w:tc>
          <w:tcPr>
            <w:tcW w:w="709" w:type="dxa"/>
            <w:noWrap/>
            <w:hideMark/>
          </w:tcPr>
          <w:p w14:paraId="4692476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74CA341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0C3DA2B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noWrap/>
            <w:hideMark/>
          </w:tcPr>
          <w:p w14:paraId="3396FA4D"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420D36F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10015C4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1F3E918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3E627BB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63308C0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60</w:t>
            </w:r>
          </w:p>
        </w:tc>
      </w:tr>
      <w:tr w:rsidR="00D67FB5" w:rsidRPr="00751529" w14:paraId="632E62A7" w14:textId="77777777" w:rsidTr="005F2495">
        <w:trPr>
          <w:trHeight w:val="616"/>
        </w:trPr>
        <w:tc>
          <w:tcPr>
            <w:tcW w:w="2553" w:type="dxa"/>
            <w:hideMark/>
          </w:tcPr>
          <w:p w14:paraId="461D8BE0" w14:textId="77777777" w:rsidR="00D67FB5" w:rsidRPr="00751529" w:rsidRDefault="00D67FB5" w:rsidP="005F2495">
            <w:pPr>
              <w:spacing w:line="360" w:lineRule="auto"/>
              <w:rPr>
                <w:rFonts w:ascii="Times New Roman" w:hAnsi="Times New Roman" w:cs="Times New Roman"/>
                <w:sz w:val="24"/>
                <w:szCs w:val="24"/>
              </w:rPr>
            </w:pPr>
            <w:proofErr w:type="spellStart"/>
            <w:r w:rsidRPr="00751529">
              <w:rPr>
                <w:rFonts w:ascii="Times New Roman" w:hAnsi="Times New Roman" w:cs="Times New Roman"/>
                <w:sz w:val="24"/>
                <w:szCs w:val="24"/>
              </w:rPr>
              <w:t>Jeuring</w:t>
            </w:r>
            <w:proofErr w:type="spellEnd"/>
            <w:r w:rsidRPr="00751529">
              <w:rPr>
                <w:rFonts w:ascii="Times New Roman" w:hAnsi="Times New Roman" w:cs="Times New Roman"/>
                <w:sz w:val="24"/>
                <w:szCs w:val="24"/>
              </w:rPr>
              <w:t xml:space="preserve"> et al. (2018)</w:t>
            </w:r>
          </w:p>
        </w:tc>
        <w:tc>
          <w:tcPr>
            <w:tcW w:w="3543" w:type="dxa"/>
            <w:hideMark/>
          </w:tcPr>
          <w:p w14:paraId="768BE95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 xml:space="preserve">Longitudinal study with assessments at baseline, after two years, and after six ears </w:t>
            </w:r>
          </w:p>
        </w:tc>
        <w:tc>
          <w:tcPr>
            <w:tcW w:w="709" w:type="dxa"/>
            <w:noWrap/>
            <w:hideMark/>
          </w:tcPr>
          <w:p w14:paraId="7082933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5C56168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6DAAC40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4B3041D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155A157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3BF7547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1A6F72C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4094171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0C458C9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60</w:t>
            </w:r>
          </w:p>
        </w:tc>
      </w:tr>
      <w:tr w:rsidR="00D67FB5" w:rsidRPr="00751529" w14:paraId="77B17468" w14:textId="77777777" w:rsidTr="005F2495">
        <w:trPr>
          <w:trHeight w:val="308"/>
        </w:trPr>
        <w:tc>
          <w:tcPr>
            <w:tcW w:w="2553" w:type="dxa"/>
            <w:hideMark/>
          </w:tcPr>
          <w:p w14:paraId="058B818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Lye et al. (2020)</w:t>
            </w:r>
          </w:p>
        </w:tc>
        <w:tc>
          <w:tcPr>
            <w:tcW w:w="3543" w:type="dxa"/>
            <w:hideMark/>
          </w:tcPr>
          <w:p w14:paraId="53F5D2B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 xml:space="preserve">5-year follow-up study </w:t>
            </w:r>
          </w:p>
        </w:tc>
        <w:tc>
          <w:tcPr>
            <w:tcW w:w="709" w:type="dxa"/>
            <w:noWrap/>
            <w:hideMark/>
          </w:tcPr>
          <w:p w14:paraId="18A298A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30C7A33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75CCB58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495C689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79242D7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7BF0D6D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616EE15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75C72AA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74BC526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53BAC7BC" w14:textId="77777777" w:rsidTr="005F2495">
        <w:trPr>
          <w:trHeight w:val="308"/>
        </w:trPr>
        <w:tc>
          <w:tcPr>
            <w:tcW w:w="2553" w:type="dxa"/>
            <w:hideMark/>
          </w:tcPr>
          <w:p w14:paraId="6DCBAEE4" w14:textId="77777777" w:rsidR="00D67FB5" w:rsidRPr="00751529" w:rsidRDefault="00D67FB5" w:rsidP="005F2495">
            <w:pPr>
              <w:spacing w:line="360" w:lineRule="auto"/>
              <w:rPr>
                <w:rFonts w:ascii="Times New Roman" w:hAnsi="Times New Roman" w:cs="Times New Roman"/>
                <w:sz w:val="24"/>
                <w:szCs w:val="24"/>
              </w:rPr>
            </w:pPr>
            <w:proofErr w:type="spellStart"/>
            <w:r w:rsidRPr="00751529">
              <w:rPr>
                <w:rFonts w:ascii="Times New Roman" w:hAnsi="Times New Roman" w:cs="Times New Roman"/>
                <w:sz w:val="24"/>
                <w:szCs w:val="24"/>
              </w:rPr>
              <w:t>Musliner</w:t>
            </w:r>
            <w:proofErr w:type="spellEnd"/>
            <w:r w:rsidRPr="00751529">
              <w:rPr>
                <w:rFonts w:ascii="Times New Roman" w:hAnsi="Times New Roman" w:cs="Times New Roman"/>
                <w:sz w:val="24"/>
                <w:szCs w:val="24"/>
              </w:rPr>
              <w:t xml:space="preserve"> et al. (2021)</w:t>
            </w:r>
          </w:p>
        </w:tc>
        <w:tc>
          <w:tcPr>
            <w:tcW w:w="3543" w:type="dxa"/>
            <w:hideMark/>
          </w:tcPr>
          <w:p w14:paraId="3A015D6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Follow-up study over 21 years</w:t>
            </w:r>
          </w:p>
        </w:tc>
        <w:tc>
          <w:tcPr>
            <w:tcW w:w="709" w:type="dxa"/>
            <w:noWrap/>
            <w:hideMark/>
          </w:tcPr>
          <w:p w14:paraId="616A47D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4553A94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3591C0E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33A2ACB9"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N/R</w:t>
            </w:r>
          </w:p>
        </w:tc>
        <w:tc>
          <w:tcPr>
            <w:tcW w:w="1123" w:type="dxa"/>
            <w:noWrap/>
            <w:hideMark/>
          </w:tcPr>
          <w:p w14:paraId="02C8F54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72763D8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3D22EEE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0034381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6E587CD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60</w:t>
            </w:r>
          </w:p>
        </w:tc>
      </w:tr>
      <w:tr w:rsidR="00D67FB5" w:rsidRPr="00751529" w14:paraId="64A7FC46" w14:textId="77777777" w:rsidTr="005F2495">
        <w:trPr>
          <w:trHeight w:val="616"/>
        </w:trPr>
        <w:tc>
          <w:tcPr>
            <w:tcW w:w="2553" w:type="dxa"/>
            <w:hideMark/>
          </w:tcPr>
          <w:p w14:paraId="3F8D47F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 xml:space="preserve">Newman et al. (2019) </w:t>
            </w:r>
          </w:p>
        </w:tc>
        <w:tc>
          <w:tcPr>
            <w:tcW w:w="3543" w:type="dxa"/>
            <w:hideMark/>
          </w:tcPr>
          <w:p w14:paraId="2A0FCD2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Prospective longitudinal study, following participants for 6 months</w:t>
            </w:r>
          </w:p>
        </w:tc>
        <w:tc>
          <w:tcPr>
            <w:tcW w:w="709" w:type="dxa"/>
            <w:noWrap/>
            <w:hideMark/>
          </w:tcPr>
          <w:p w14:paraId="3B3EA1B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6CCDF08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3391FE4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noWrap/>
            <w:hideMark/>
          </w:tcPr>
          <w:p w14:paraId="02D3E3E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15DAB1B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01DFA38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7B92374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3360986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1BC4B6DD"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257E92CB" w14:textId="77777777" w:rsidTr="005F2495">
        <w:trPr>
          <w:trHeight w:val="308"/>
        </w:trPr>
        <w:tc>
          <w:tcPr>
            <w:tcW w:w="2553" w:type="dxa"/>
            <w:hideMark/>
          </w:tcPr>
          <w:p w14:paraId="1B85E7EB" w14:textId="77777777" w:rsidR="00D67FB5" w:rsidRPr="00751529" w:rsidRDefault="00D67FB5" w:rsidP="005F2495">
            <w:pPr>
              <w:spacing w:line="360" w:lineRule="auto"/>
              <w:rPr>
                <w:rFonts w:ascii="Times New Roman" w:hAnsi="Times New Roman" w:cs="Times New Roman"/>
                <w:sz w:val="24"/>
                <w:szCs w:val="24"/>
              </w:rPr>
            </w:pPr>
            <w:proofErr w:type="spellStart"/>
            <w:r w:rsidRPr="00751529">
              <w:rPr>
                <w:rFonts w:ascii="Times New Roman" w:hAnsi="Times New Roman" w:cs="Times New Roman"/>
                <w:sz w:val="24"/>
                <w:szCs w:val="24"/>
              </w:rPr>
              <w:t>Nobbelin</w:t>
            </w:r>
            <w:proofErr w:type="spellEnd"/>
            <w:r w:rsidRPr="00751529">
              <w:rPr>
                <w:rFonts w:ascii="Times New Roman" w:hAnsi="Times New Roman" w:cs="Times New Roman"/>
                <w:sz w:val="24"/>
                <w:szCs w:val="24"/>
              </w:rPr>
              <w:t xml:space="preserve"> et al., (2018)</w:t>
            </w:r>
          </w:p>
        </w:tc>
        <w:tc>
          <w:tcPr>
            <w:tcW w:w="3543" w:type="dxa"/>
            <w:hideMark/>
          </w:tcPr>
          <w:p w14:paraId="7B1ED7B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Longitudinal cohort study, 1947-1997</w:t>
            </w:r>
          </w:p>
        </w:tc>
        <w:tc>
          <w:tcPr>
            <w:tcW w:w="709" w:type="dxa"/>
            <w:noWrap/>
            <w:hideMark/>
          </w:tcPr>
          <w:p w14:paraId="6946944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53B3009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152AA5C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2026A5F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05BA23C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50FAD5AB"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150" w:type="dxa"/>
            <w:noWrap/>
            <w:hideMark/>
          </w:tcPr>
          <w:p w14:paraId="41E3D53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5C768AF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4ABF3C71"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8</w:t>
            </w:r>
            <w:r w:rsidRPr="00751529">
              <w:rPr>
                <w:rFonts w:ascii="Times New Roman" w:hAnsi="Times New Roman" w:cs="Times New Roman"/>
                <w:sz w:val="24"/>
                <w:szCs w:val="24"/>
              </w:rPr>
              <w:t>0</w:t>
            </w:r>
          </w:p>
        </w:tc>
      </w:tr>
      <w:tr w:rsidR="00D67FB5" w:rsidRPr="00751529" w14:paraId="1B5C7E2A" w14:textId="77777777" w:rsidTr="005F2495">
        <w:trPr>
          <w:trHeight w:val="616"/>
        </w:trPr>
        <w:tc>
          <w:tcPr>
            <w:tcW w:w="2553" w:type="dxa"/>
            <w:hideMark/>
          </w:tcPr>
          <w:p w14:paraId="03D24420" w14:textId="77777777" w:rsidR="00D67FB5" w:rsidRPr="00751529" w:rsidRDefault="00D67FB5" w:rsidP="005F2495">
            <w:pPr>
              <w:spacing w:line="360" w:lineRule="auto"/>
              <w:rPr>
                <w:rFonts w:ascii="Times New Roman" w:hAnsi="Times New Roman" w:cs="Times New Roman"/>
                <w:sz w:val="24"/>
                <w:szCs w:val="24"/>
              </w:rPr>
            </w:pPr>
            <w:proofErr w:type="spellStart"/>
            <w:r w:rsidRPr="00751529">
              <w:rPr>
                <w:rFonts w:ascii="Times New Roman" w:hAnsi="Times New Roman" w:cs="Times New Roman"/>
                <w:sz w:val="24"/>
                <w:szCs w:val="24"/>
              </w:rPr>
              <w:t>Nuggerud-Galeas</w:t>
            </w:r>
            <w:proofErr w:type="spellEnd"/>
            <w:r w:rsidRPr="00751529">
              <w:rPr>
                <w:rFonts w:ascii="Times New Roman" w:hAnsi="Times New Roman" w:cs="Times New Roman"/>
                <w:sz w:val="24"/>
                <w:szCs w:val="24"/>
              </w:rPr>
              <w:t xml:space="preserve"> et al. (2020)</w:t>
            </w:r>
          </w:p>
        </w:tc>
        <w:tc>
          <w:tcPr>
            <w:tcW w:w="3543" w:type="dxa"/>
            <w:hideMark/>
          </w:tcPr>
          <w:p w14:paraId="348C32F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 xml:space="preserve">Retrospective case-control study </w:t>
            </w:r>
          </w:p>
        </w:tc>
        <w:tc>
          <w:tcPr>
            <w:tcW w:w="709" w:type="dxa"/>
            <w:noWrap/>
            <w:hideMark/>
          </w:tcPr>
          <w:p w14:paraId="018B7E6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5F7C0A8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34ABEAB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4257D9A7"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N/R</w:t>
            </w:r>
          </w:p>
        </w:tc>
        <w:tc>
          <w:tcPr>
            <w:tcW w:w="1123" w:type="dxa"/>
            <w:noWrap/>
            <w:hideMark/>
          </w:tcPr>
          <w:p w14:paraId="3F45A27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6D76EEB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06B1F9B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74C5C3B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61F1FBF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28DD4E97" w14:textId="77777777" w:rsidTr="005F2495">
        <w:trPr>
          <w:trHeight w:val="308"/>
        </w:trPr>
        <w:tc>
          <w:tcPr>
            <w:tcW w:w="2553" w:type="dxa"/>
            <w:hideMark/>
          </w:tcPr>
          <w:p w14:paraId="4660CAA7" w14:textId="77777777" w:rsidR="00D67FB5" w:rsidRPr="00751529" w:rsidRDefault="00D67FB5" w:rsidP="005F2495">
            <w:pPr>
              <w:spacing w:line="360" w:lineRule="auto"/>
              <w:rPr>
                <w:rFonts w:ascii="Times New Roman" w:hAnsi="Times New Roman" w:cs="Times New Roman"/>
                <w:sz w:val="24"/>
                <w:szCs w:val="24"/>
              </w:rPr>
            </w:pPr>
            <w:proofErr w:type="spellStart"/>
            <w:r w:rsidRPr="00751529">
              <w:rPr>
                <w:rFonts w:ascii="Times New Roman" w:hAnsi="Times New Roman" w:cs="Times New Roman"/>
                <w:sz w:val="24"/>
                <w:szCs w:val="24"/>
              </w:rPr>
              <w:t>Obinata</w:t>
            </w:r>
            <w:proofErr w:type="spellEnd"/>
            <w:r w:rsidRPr="00751529">
              <w:rPr>
                <w:rFonts w:ascii="Times New Roman" w:hAnsi="Times New Roman" w:cs="Times New Roman"/>
                <w:sz w:val="24"/>
                <w:szCs w:val="24"/>
              </w:rPr>
              <w:t xml:space="preserve"> et al. (2021)</w:t>
            </w:r>
          </w:p>
        </w:tc>
        <w:tc>
          <w:tcPr>
            <w:tcW w:w="3543" w:type="dxa"/>
            <w:hideMark/>
          </w:tcPr>
          <w:p w14:paraId="0A4B47C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Participants followed up between 2004-2016</w:t>
            </w:r>
          </w:p>
        </w:tc>
        <w:tc>
          <w:tcPr>
            <w:tcW w:w="709" w:type="dxa"/>
            <w:noWrap/>
            <w:hideMark/>
          </w:tcPr>
          <w:p w14:paraId="050C7DD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4B44B34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259F065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60C2CCA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2C324AC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206CB1C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04EC08B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6E161E0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618AE76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1BBF5CA2" w14:textId="77777777" w:rsidTr="005F2495">
        <w:trPr>
          <w:trHeight w:val="616"/>
        </w:trPr>
        <w:tc>
          <w:tcPr>
            <w:tcW w:w="2553" w:type="dxa"/>
            <w:hideMark/>
          </w:tcPr>
          <w:p w14:paraId="4D1CB25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lastRenderedPageBreak/>
              <w:t>Omori et al. (2019)</w:t>
            </w:r>
          </w:p>
        </w:tc>
        <w:tc>
          <w:tcPr>
            <w:tcW w:w="3543" w:type="dxa"/>
            <w:hideMark/>
          </w:tcPr>
          <w:p w14:paraId="60F2E2B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Retrospective study exploring 1-year outcomes following electroconvulsive therapy</w:t>
            </w:r>
          </w:p>
        </w:tc>
        <w:tc>
          <w:tcPr>
            <w:tcW w:w="709" w:type="dxa"/>
            <w:noWrap/>
            <w:hideMark/>
          </w:tcPr>
          <w:p w14:paraId="60F04CE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7DC37CF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4F9D959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6B8008D5"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N/R</w:t>
            </w:r>
          </w:p>
        </w:tc>
        <w:tc>
          <w:tcPr>
            <w:tcW w:w="1123" w:type="dxa"/>
            <w:noWrap/>
            <w:hideMark/>
          </w:tcPr>
          <w:p w14:paraId="29DFCAD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09747C1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54C9086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3F53F19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1267309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60</w:t>
            </w:r>
          </w:p>
        </w:tc>
      </w:tr>
      <w:tr w:rsidR="00D67FB5" w:rsidRPr="00751529" w14:paraId="5CF217CD" w14:textId="77777777" w:rsidTr="005F2495">
        <w:trPr>
          <w:trHeight w:val="308"/>
        </w:trPr>
        <w:tc>
          <w:tcPr>
            <w:tcW w:w="2553" w:type="dxa"/>
            <w:hideMark/>
          </w:tcPr>
          <w:p w14:paraId="1751758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Opel et al. (2019)</w:t>
            </w:r>
          </w:p>
        </w:tc>
        <w:tc>
          <w:tcPr>
            <w:tcW w:w="3543" w:type="dxa"/>
            <w:hideMark/>
          </w:tcPr>
          <w:p w14:paraId="2B16FBF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2-year longitudinal study</w:t>
            </w:r>
          </w:p>
        </w:tc>
        <w:tc>
          <w:tcPr>
            <w:tcW w:w="709" w:type="dxa"/>
            <w:noWrap/>
            <w:hideMark/>
          </w:tcPr>
          <w:p w14:paraId="2BCBE0A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4775746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7FFF6D2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050C6EC8"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N/R</w:t>
            </w:r>
          </w:p>
        </w:tc>
        <w:tc>
          <w:tcPr>
            <w:tcW w:w="1123" w:type="dxa"/>
            <w:noWrap/>
            <w:hideMark/>
          </w:tcPr>
          <w:p w14:paraId="4902A5E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05A27D9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45B7A21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30D2A06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1B606AE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6E1E8CF5" w14:textId="77777777" w:rsidTr="005F2495">
        <w:trPr>
          <w:trHeight w:val="616"/>
        </w:trPr>
        <w:tc>
          <w:tcPr>
            <w:tcW w:w="2553" w:type="dxa"/>
            <w:hideMark/>
          </w:tcPr>
          <w:p w14:paraId="4E88054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Recchia et al. (2020)</w:t>
            </w:r>
          </w:p>
        </w:tc>
        <w:tc>
          <w:tcPr>
            <w:tcW w:w="3543" w:type="dxa"/>
            <w:hideMark/>
          </w:tcPr>
          <w:p w14:paraId="533FBE5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Prospective cohort study followed up every five years over a 13-year period</w:t>
            </w:r>
          </w:p>
        </w:tc>
        <w:tc>
          <w:tcPr>
            <w:tcW w:w="709" w:type="dxa"/>
            <w:noWrap/>
            <w:hideMark/>
          </w:tcPr>
          <w:p w14:paraId="4F764DB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088F9F0D"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08D5731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7FAD0A2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2C6A667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08EA7C7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26B4A2E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7ADAB6C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33A222D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706C7F7C" w14:textId="77777777" w:rsidTr="005F2495">
        <w:trPr>
          <w:trHeight w:val="616"/>
        </w:trPr>
        <w:tc>
          <w:tcPr>
            <w:tcW w:w="2553" w:type="dxa"/>
            <w:hideMark/>
          </w:tcPr>
          <w:p w14:paraId="2512757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Reddy et al. (2022)</w:t>
            </w:r>
          </w:p>
        </w:tc>
        <w:tc>
          <w:tcPr>
            <w:tcW w:w="3543" w:type="dxa"/>
            <w:hideMark/>
          </w:tcPr>
          <w:p w14:paraId="5030FD6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 xml:space="preserve">Cohort study from 2006 – 2017. </w:t>
            </w:r>
          </w:p>
        </w:tc>
        <w:tc>
          <w:tcPr>
            <w:tcW w:w="709" w:type="dxa"/>
            <w:noWrap/>
            <w:hideMark/>
          </w:tcPr>
          <w:p w14:paraId="0276CBA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226EF6E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160372E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1D5B2CF5"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N/R</w:t>
            </w:r>
          </w:p>
        </w:tc>
        <w:tc>
          <w:tcPr>
            <w:tcW w:w="1123" w:type="dxa"/>
            <w:noWrap/>
            <w:hideMark/>
          </w:tcPr>
          <w:p w14:paraId="4DD8793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04AEEE0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hideMark/>
          </w:tcPr>
          <w:p w14:paraId="45EE3B1D"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N/R</w:t>
            </w:r>
          </w:p>
        </w:tc>
        <w:tc>
          <w:tcPr>
            <w:tcW w:w="1124" w:type="dxa"/>
            <w:noWrap/>
            <w:hideMark/>
          </w:tcPr>
          <w:p w14:paraId="5F5EA6B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4D2DC85D"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60</w:t>
            </w:r>
          </w:p>
        </w:tc>
      </w:tr>
      <w:tr w:rsidR="00D67FB5" w:rsidRPr="00751529" w14:paraId="4EF160C5" w14:textId="77777777" w:rsidTr="005F2495">
        <w:trPr>
          <w:trHeight w:val="616"/>
        </w:trPr>
        <w:tc>
          <w:tcPr>
            <w:tcW w:w="2553" w:type="dxa"/>
            <w:hideMark/>
          </w:tcPr>
          <w:p w14:paraId="0D63A0E0" w14:textId="77777777" w:rsidR="00D67FB5" w:rsidRPr="00751529" w:rsidRDefault="00D67FB5" w:rsidP="005F2495">
            <w:pPr>
              <w:spacing w:line="360" w:lineRule="auto"/>
              <w:rPr>
                <w:rFonts w:ascii="Times New Roman" w:hAnsi="Times New Roman" w:cs="Times New Roman"/>
                <w:sz w:val="24"/>
                <w:szCs w:val="24"/>
              </w:rPr>
            </w:pPr>
            <w:proofErr w:type="spellStart"/>
            <w:r w:rsidRPr="00751529">
              <w:rPr>
                <w:rFonts w:ascii="Times New Roman" w:hAnsi="Times New Roman" w:cs="Times New Roman"/>
                <w:sz w:val="24"/>
                <w:szCs w:val="24"/>
              </w:rPr>
              <w:t>Rottenberg</w:t>
            </w:r>
            <w:proofErr w:type="spellEnd"/>
            <w:r w:rsidRPr="00751529">
              <w:rPr>
                <w:rFonts w:ascii="Times New Roman" w:hAnsi="Times New Roman" w:cs="Times New Roman"/>
                <w:sz w:val="24"/>
                <w:szCs w:val="24"/>
              </w:rPr>
              <w:t xml:space="preserve"> et al. (2019)</w:t>
            </w:r>
          </w:p>
        </w:tc>
        <w:tc>
          <w:tcPr>
            <w:tcW w:w="3543" w:type="dxa"/>
            <w:hideMark/>
          </w:tcPr>
          <w:p w14:paraId="421F695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Wave 1 and Wave 2 of a longitudinal cohort study (1995-1996, and 2004-2006)</w:t>
            </w:r>
          </w:p>
        </w:tc>
        <w:tc>
          <w:tcPr>
            <w:tcW w:w="709" w:type="dxa"/>
            <w:noWrap/>
            <w:hideMark/>
          </w:tcPr>
          <w:p w14:paraId="4A19491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47167F7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4525500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437BD4D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00A0193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18F40AC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654F40AD"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2C7108E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076F2BD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349AA880" w14:textId="77777777" w:rsidTr="005F2495">
        <w:trPr>
          <w:trHeight w:val="308"/>
        </w:trPr>
        <w:tc>
          <w:tcPr>
            <w:tcW w:w="2553" w:type="dxa"/>
            <w:hideMark/>
          </w:tcPr>
          <w:p w14:paraId="1D1A4FF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Serafini et al. (2019)</w:t>
            </w:r>
          </w:p>
        </w:tc>
        <w:tc>
          <w:tcPr>
            <w:tcW w:w="3543" w:type="dxa"/>
            <w:hideMark/>
          </w:tcPr>
          <w:p w14:paraId="157A8DE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Cohort study</w:t>
            </w:r>
          </w:p>
        </w:tc>
        <w:tc>
          <w:tcPr>
            <w:tcW w:w="709" w:type="dxa"/>
            <w:noWrap/>
            <w:hideMark/>
          </w:tcPr>
          <w:p w14:paraId="19A1875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64D2F57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0C1ED72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1630CA9D"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68D99B8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7F30C0F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0C66C62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5DCC8F8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0BAADAD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60</w:t>
            </w:r>
          </w:p>
        </w:tc>
      </w:tr>
      <w:tr w:rsidR="00D67FB5" w:rsidRPr="00751529" w14:paraId="70E35F99" w14:textId="77777777" w:rsidTr="005F2495">
        <w:trPr>
          <w:trHeight w:val="616"/>
        </w:trPr>
        <w:tc>
          <w:tcPr>
            <w:tcW w:w="2553" w:type="dxa"/>
            <w:hideMark/>
          </w:tcPr>
          <w:p w14:paraId="2C3EFF08" w14:textId="77777777" w:rsidR="00D67FB5" w:rsidRPr="00751529" w:rsidRDefault="00D67FB5" w:rsidP="005F2495">
            <w:pPr>
              <w:spacing w:line="360" w:lineRule="auto"/>
              <w:rPr>
                <w:rFonts w:ascii="Times New Roman" w:hAnsi="Times New Roman" w:cs="Times New Roman"/>
                <w:sz w:val="24"/>
                <w:szCs w:val="24"/>
              </w:rPr>
            </w:pPr>
            <w:proofErr w:type="spellStart"/>
            <w:r w:rsidRPr="00751529">
              <w:rPr>
                <w:rFonts w:ascii="Times New Roman" w:hAnsi="Times New Roman" w:cs="Times New Roman"/>
                <w:sz w:val="24"/>
                <w:szCs w:val="24"/>
              </w:rPr>
              <w:t>Spinhoven</w:t>
            </w:r>
            <w:proofErr w:type="spellEnd"/>
            <w:r w:rsidRPr="00751529">
              <w:rPr>
                <w:rFonts w:ascii="Times New Roman" w:hAnsi="Times New Roman" w:cs="Times New Roman"/>
                <w:sz w:val="24"/>
                <w:szCs w:val="24"/>
              </w:rPr>
              <w:t xml:space="preserve"> et al. (2018)</w:t>
            </w:r>
          </w:p>
        </w:tc>
        <w:tc>
          <w:tcPr>
            <w:tcW w:w="3543" w:type="dxa"/>
            <w:hideMark/>
          </w:tcPr>
          <w:p w14:paraId="07CAA92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Prospective cohort study, followed up over 3 years</w:t>
            </w:r>
          </w:p>
        </w:tc>
        <w:tc>
          <w:tcPr>
            <w:tcW w:w="709" w:type="dxa"/>
            <w:noWrap/>
            <w:hideMark/>
          </w:tcPr>
          <w:p w14:paraId="04C80F7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0A05267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02A1507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01999A2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hideMark/>
          </w:tcPr>
          <w:p w14:paraId="7CBBED1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50826B4D"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150" w:type="dxa"/>
            <w:hideMark/>
          </w:tcPr>
          <w:p w14:paraId="365B56B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hideMark/>
          </w:tcPr>
          <w:p w14:paraId="691B94D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6229991A"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100</w:t>
            </w:r>
          </w:p>
        </w:tc>
      </w:tr>
      <w:tr w:rsidR="00D67FB5" w:rsidRPr="00751529" w14:paraId="3CA82729" w14:textId="77777777" w:rsidTr="005F2495">
        <w:trPr>
          <w:trHeight w:val="924"/>
        </w:trPr>
        <w:tc>
          <w:tcPr>
            <w:tcW w:w="2553" w:type="dxa"/>
            <w:hideMark/>
          </w:tcPr>
          <w:p w14:paraId="5DD752A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Sun et al. (2018)</w:t>
            </w:r>
          </w:p>
        </w:tc>
        <w:tc>
          <w:tcPr>
            <w:tcW w:w="3543" w:type="dxa"/>
            <w:hideMark/>
          </w:tcPr>
          <w:p w14:paraId="288B14C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Longitudinal study: Baseline (W1, wave 1), W2 (2 years later) and W3 (4 years after baseline)</w:t>
            </w:r>
          </w:p>
        </w:tc>
        <w:tc>
          <w:tcPr>
            <w:tcW w:w="709" w:type="dxa"/>
            <w:noWrap/>
            <w:hideMark/>
          </w:tcPr>
          <w:p w14:paraId="7AA8178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1D9AEFE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5BF25FB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7C4FA1E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16044A9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3DADFA3D"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150" w:type="dxa"/>
            <w:noWrap/>
            <w:hideMark/>
          </w:tcPr>
          <w:p w14:paraId="5665D44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1B8D3A4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140270A5"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100</w:t>
            </w:r>
          </w:p>
        </w:tc>
      </w:tr>
      <w:tr w:rsidR="00D67FB5" w:rsidRPr="00751529" w14:paraId="2822AAFE" w14:textId="77777777" w:rsidTr="005F2495">
        <w:trPr>
          <w:trHeight w:val="308"/>
        </w:trPr>
        <w:tc>
          <w:tcPr>
            <w:tcW w:w="2553" w:type="dxa"/>
            <w:hideMark/>
          </w:tcPr>
          <w:p w14:paraId="19F312B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Ten Have et al. (2018)</w:t>
            </w:r>
          </w:p>
        </w:tc>
        <w:tc>
          <w:tcPr>
            <w:tcW w:w="3543" w:type="dxa"/>
            <w:hideMark/>
          </w:tcPr>
          <w:p w14:paraId="1D226AAD"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Longitudinal cohort study over 6 years</w:t>
            </w:r>
          </w:p>
        </w:tc>
        <w:tc>
          <w:tcPr>
            <w:tcW w:w="709" w:type="dxa"/>
            <w:noWrap/>
            <w:hideMark/>
          </w:tcPr>
          <w:p w14:paraId="4C63210D"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11F7BE0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6841BEE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3D456BC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hideMark/>
          </w:tcPr>
          <w:p w14:paraId="2B446C3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hideMark/>
          </w:tcPr>
          <w:p w14:paraId="7AF73E6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hideMark/>
          </w:tcPr>
          <w:p w14:paraId="7A230FB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hideMark/>
          </w:tcPr>
          <w:p w14:paraId="2E1F1F8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7B09202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100</w:t>
            </w:r>
          </w:p>
        </w:tc>
      </w:tr>
      <w:tr w:rsidR="00D67FB5" w:rsidRPr="00751529" w14:paraId="39EAD640" w14:textId="77777777" w:rsidTr="005F2495">
        <w:trPr>
          <w:trHeight w:val="308"/>
        </w:trPr>
        <w:tc>
          <w:tcPr>
            <w:tcW w:w="2553" w:type="dxa"/>
            <w:hideMark/>
          </w:tcPr>
          <w:p w14:paraId="5506A8D1" w14:textId="77777777" w:rsidR="00D67FB5" w:rsidRPr="00751529" w:rsidRDefault="00D67FB5" w:rsidP="005F2495">
            <w:pPr>
              <w:spacing w:line="360" w:lineRule="auto"/>
              <w:rPr>
                <w:rFonts w:ascii="Times New Roman" w:hAnsi="Times New Roman" w:cs="Times New Roman"/>
                <w:sz w:val="24"/>
                <w:szCs w:val="24"/>
              </w:rPr>
            </w:pPr>
            <w:proofErr w:type="spellStart"/>
            <w:r w:rsidRPr="00751529">
              <w:rPr>
                <w:rFonts w:ascii="Times New Roman" w:hAnsi="Times New Roman" w:cs="Times New Roman"/>
                <w:sz w:val="24"/>
                <w:szCs w:val="24"/>
              </w:rPr>
              <w:t>Tibubos</w:t>
            </w:r>
            <w:proofErr w:type="spellEnd"/>
            <w:r w:rsidRPr="00751529">
              <w:rPr>
                <w:rFonts w:ascii="Times New Roman" w:hAnsi="Times New Roman" w:cs="Times New Roman"/>
                <w:sz w:val="24"/>
                <w:szCs w:val="24"/>
              </w:rPr>
              <w:t xml:space="preserve"> et al. (2019)</w:t>
            </w:r>
          </w:p>
        </w:tc>
        <w:tc>
          <w:tcPr>
            <w:tcW w:w="3543" w:type="dxa"/>
            <w:hideMark/>
          </w:tcPr>
          <w:p w14:paraId="7B872BE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 xml:space="preserve">Data measured at 2 time points within 5 years </w:t>
            </w:r>
          </w:p>
        </w:tc>
        <w:tc>
          <w:tcPr>
            <w:tcW w:w="709" w:type="dxa"/>
            <w:noWrap/>
            <w:hideMark/>
          </w:tcPr>
          <w:p w14:paraId="0BABE57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5C8E775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6084590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505781D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481DB07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36085D8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79F93E7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69DE321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0C33CA7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100</w:t>
            </w:r>
          </w:p>
        </w:tc>
      </w:tr>
      <w:tr w:rsidR="00D67FB5" w:rsidRPr="00751529" w14:paraId="20EC241B" w14:textId="77777777" w:rsidTr="005F2495">
        <w:trPr>
          <w:trHeight w:val="616"/>
        </w:trPr>
        <w:tc>
          <w:tcPr>
            <w:tcW w:w="2553" w:type="dxa"/>
            <w:hideMark/>
          </w:tcPr>
          <w:p w14:paraId="012A36B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lastRenderedPageBreak/>
              <w:t>Van Loo et al. (2018)</w:t>
            </w:r>
          </w:p>
        </w:tc>
        <w:tc>
          <w:tcPr>
            <w:tcW w:w="3543" w:type="dxa"/>
            <w:hideMark/>
          </w:tcPr>
          <w:p w14:paraId="4B8289D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Prospective data from a population sample; 1-year follow-up</w:t>
            </w:r>
          </w:p>
        </w:tc>
        <w:tc>
          <w:tcPr>
            <w:tcW w:w="709" w:type="dxa"/>
            <w:noWrap/>
            <w:hideMark/>
          </w:tcPr>
          <w:p w14:paraId="69EEB1C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05271F3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48E49D5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0574630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5D07D04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0FCDC0E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636E55F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1AE44B0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431F402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0FEED6A7" w14:textId="77777777" w:rsidTr="005F2495">
        <w:trPr>
          <w:trHeight w:val="924"/>
        </w:trPr>
        <w:tc>
          <w:tcPr>
            <w:tcW w:w="2553" w:type="dxa"/>
            <w:hideMark/>
          </w:tcPr>
          <w:p w14:paraId="1E31EBC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Van Loo et al. (2020)</w:t>
            </w:r>
          </w:p>
        </w:tc>
        <w:tc>
          <w:tcPr>
            <w:tcW w:w="3543" w:type="dxa"/>
            <w:hideMark/>
          </w:tcPr>
          <w:p w14:paraId="7C2F5EE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 xml:space="preserve">Prediction model using baseline characteristics to predict future episodes of MD, </w:t>
            </w:r>
            <w:proofErr w:type="gramStart"/>
            <w:r w:rsidRPr="00751529">
              <w:rPr>
                <w:rFonts w:ascii="Times New Roman" w:hAnsi="Times New Roman" w:cs="Times New Roman"/>
                <w:sz w:val="24"/>
                <w:szCs w:val="24"/>
              </w:rPr>
              <w:t>anxiety</w:t>
            </w:r>
            <w:proofErr w:type="gramEnd"/>
            <w:r w:rsidRPr="00751529">
              <w:rPr>
                <w:rFonts w:ascii="Times New Roman" w:hAnsi="Times New Roman" w:cs="Times New Roman"/>
                <w:sz w:val="24"/>
                <w:szCs w:val="24"/>
              </w:rPr>
              <w:t xml:space="preserve"> and disability 1-9 years after baseline</w:t>
            </w:r>
          </w:p>
        </w:tc>
        <w:tc>
          <w:tcPr>
            <w:tcW w:w="709" w:type="dxa"/>
            <w:noWrap/>
            <w:hideMark/>
          </w:tcPr>
          <w:p w14:paraId="4058987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21DCD65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301745F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07E3A1FF"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N/R</w:t>
            </w:r>
          </w:p>
        </w:tc>
        <w:tc>
          <w:tcPr>
            <w:tcW w:w="1123" w:type="dxa"/>
            <w:noWrap/>
            <w:hideMark/>
          </w:tcPr>
          <w:p w14:paraId="42CA6CE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6ABFEB3F"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150" w:type="dxa"/>
            <w:noWrap/>
            <w:hideMark/>
          </w:tcPr>
          <w:p w14:paraId="5FB0C53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1B8B06C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3F8FEFC9"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8</w:t>
            </w:r>
            <w:r w:rsidRPr="00751529">
              <w:rPr>
                <w:rFonts w:ascii="Times New Roman" w:hAnsi="Times New Roman" w:cs="Times New Roman"/>
                <w:sz w:val="24"/>
                <w:szCs w:val="24"/>
              </w:rPr>
              <w:t>0</w:t>
            </w:r>
          </w:p>
        </w:tc>
      </w:tr>
      <w:tr w:rsidR="00D67FB5" w:rsidRPr="00751529" w14:paraId="11BFA9F6" w14:textId="77777777" w:rsidTr="005F2495">
        <w:trPr>
          <w:trHeight w:val="924"/>
        </w:trPr>
        <w:tc>
          <w:tcPr>
            <w:tcW w:w="2553" w:type="dxa"/>
            <w:hideMark/>
          </w:tcPr>
          <w:p w14:paraId="58AD75F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 xml:space="preserve">Van </w:t>
            </w:r>
            <w:proofErr w:type="spellStart"/>
            <w:r w:rsidRPr="00751529">
              <w:rPr>
                <w:rFonts w:ascii="Times New Roman" w:hAnsi="Times New Roman" w:cs="Times New Roman"/>
                <w:sz w:val="24"/>
                <w:szCs w:val="24"/>
              </w:rPr>
              <w:t>Tuijl</w:t>
            </w:r>
            <w:proofErr w:type="spellEnd"/>
            <w:r w:rsidRPr="00751529">
              <w:rPr>
                <w:rFonts w:ascii="Times New Roman" w:hAnsi="Times New Roman" w:cs="Times New Roman"/>
                <w:sz w:val="24"/>
                <w:szCs w:val="24"/>
              </w:rPr>
              <w:t xml:space="preserve"> et al. (2020)</w:t>
            </w:r>
          </w:p>
        </w:tc>
        <w:tc>
          <w:tcPr>
            <w:tcW w:w="3543" w:type="dxa"/>
            <w:hideMark/>
          </w:tcPr>
          <w:p w14:paraId="119398D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 xml:space="preserve">Longitudinal cohort </w:t>
            </w:r>
            <w:proofErr w:type="gramStart"/>
            <w:r w:rsidRPr="00751529">
              <w:rPr>
                <w:rFonts w:ascii="Times New Roman" w:hAnsi="Times New Roman" w:cs="Times New Roman"/>
                <w:sz w:val="24"/>
                <w:szCs w:val="24"/>
              </w:rPr>
              <w:t>study;</w:t>
            </w:r>
            <w:proofErr w:type="gramEnd"/>
            <w:r w:rsidRPr="00751529">
              <w:rPr>
                <w:rFonts w:ascii="Times New Roman" w:hAnsi="Times New Roman" w:cs="Times New Roman"/>
                <w:sz w:val="24"/>
                <w:szCs w:val="24"/>
              </w:rPr>
              <w:t xml:space="preserve"> data for this paper come from baseline+6 years and baseline+9 years</w:t>
            </w:r>
          </w:p>
        </w:tc>
        <w:tc>
          <w:tcPr>
            <w:tcW w:w="709" w:type="dxa"/>
            <w:noWrap/>
            <w:hideMark/>
          </w:tcPr>
          <w:p w14:paraId="665C341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7A47667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2031E235"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34BFC71F"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N/R</w:t>
            </w:r>
          </w:p>
        </w:tc>
        <w:tc>
          <w:tcPr>
            <w:tcW w:w="1123" w:type="dxa"/>
            <w:noWrap/>
            <w:hideMark/>
          </w:tcPr>
          <w:p w14:paraId="3C46CF1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0384B075"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150" w:type="dxa"/>
            <w:noWrap/>
            <w:hideMark/>
          </w:tcPr>
          <w:p w14:paraId="147223F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79DA7BB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4DC821A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2C1A7035" w14:textId="77777777" w:rsidTr="005F2495">
        <w:trPr>
          <w:trHeight w:val="924"/>
        </w:trPr>
        <w:tc>
          <w:tcPr>
            <w:tcW w:w="2553" w:type="dxa"/>
            <w:hideMark/>
          </w:tcPr>
          <w:p w14:paraId="00E7EEE1" w14:textId="77777777" w:rsidR="00D67FB5" w:rsidRPr="00751529" w:rsidRDefault="00D67FB5" w:rsidP="005F2495">
            <w:pPr>
              <w:spacing w:line="360" w:lineRule="auto"/>
              <w:rPr>
                <w:rFonts w:ascii="Times New Roman" w:hAnsi="Times New Roman" w:cs="Times New Roman"/>
                <w:sz w:val="24"/>
                <w:szCs w:val="24"/>
              </w:rPr>
            </w:pPr>
            <w:proofErr w:type="spellStart"/>
            <w:r w:rsidRPr="00751529">
              <w:rPr>
                <w:rFonts w:ascii="Times New Roman" w:hAnsi="Times New Roman" w:cs="Times New Roman"/>
                <w:sz w:val="24"/>
                <w:szCs w:val="24"/>
              </w:rPr>
              <w:t>Vittengl</w:t>
            </w:r>
            <w:proofErr w:type="spellEnd"/>
            <w:r w:rsidRPr="00751529">
              <w:rPr>
                <w:rFonts w:ascii="Times New Roman" w:hAnsi="Times New Roman" w:cs="Times New Roman"/>
                <w:sz w:val="24"/>
                <w:szCs w:val="24"/>
              </w:rPr>
              <w:t xml:space="preserve"> et al. (2020)</w:t>
            </w:r>
          </w:p>
        </w:tc>
        <w:tc>
          <w:tcPr>
            <w:tcW w:w="3543" w:type="dxa"/>
            <w:hideMark/>
          </w:tcPr>
          <w:p w14:paraId="5CC3DD2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Data from a multi-phase RCT examining the effectiveness of cognitive therapy; 24-month follow-up</w:t>
            </w:r>
          </w:p>
        </w:tc>
        <w:tc>
          <w:tcPr>
            <w:tcW w:w="709" w:type="dxa"/>
            <w:noWrap/>
            <w:hideMark/>
          </w:tcPr>
          <w:p w14:paraId="610893A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2114B16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31E77AF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186428F3"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N/R</w:t>
            </w:r>
          </w:p>
        </w:tc>
        <w:tc>
          <w:tcPr>
            <w:tcW w:w="1123" w:type="dxa"/>
            <w:noWrap/>
            <w:hideMark/>
          </w:tcPr>
          <w:p w14:paraId="5583AAF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3743E5B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42D122C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6C2F2E9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691A2C1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60</w:t>
            </w:r>
          </w:p>
        </w:tc>
      </w:tr>
      <w:tr w:rsidR="00D67FB5" w:rsidRPr="00751529" w14:paraId="0EB767E6" w14:textId="77777777" w:rsidTr="005F2495">
        <w:trPr>
          <w:trHeight w:val="616"/>
        </w:trPr>
        <w:tc>
          <w:tcPr>
            <w:tcW w:w="2553" w:type="dxa"/>
            <w:hideMark/>
          </w:tcPr>
          <w:p w14:paraId="0D4F72C8" w14:textId="77777777" w:rsidR="00D67FB5" w:rsidRPr="00751529" w:rsidRDefault="00D67FB5" w:rsidP="005F2495">
            <w:pPr>
              <w:spacing w:line="360" w:lineRule="auto"/>
              <w:rPr>
                <w:rFonts w:ascii="Times New Roman" w:hAnsi="Times New Roman" w:cs="Times New Roman"/>
                <w:sz w:val="24"/>
                <w:szCs w:val="24"/>
              </w:rPr>
            </w:pPr>
            <w:proofErr w:type="spellStart"/>
            <w:r w:rsidRPr="00751529">
              <w:rPr>
                <w:rFonts w:ascii="Times New Roman" w:hAnsi="Times New Roman" w:cs="Times New Roman"/>
                <w:sz w:val="24"/>
                <w:szCs w:val="24"/>
              </w:rPr>
              <w:t>Wagenmakers</w:t>
            </w:r>
            <w:proofErr w:type="spellEnd"/>
            <w:r w:rsidRPr="00751529">
              <w:rPr>
                <w:rFonts w:ascii="Times New Roman" w:hAnsi="Times New Roman" w:cs="Times New Roman"/>
                <w:sz w:val="24"/>
                <w:szCs w:val="24"/>
              </w:rPr>
              <w:t xml:space="preserve"> et al. (2020)</w:t>
            </w:r>
          </w:p>
        </w:tc>
        <w:tc>
          <w:tcPr>
            <w:tcW w:w="3543" w:type="dxa"/>
            <w:hideMark/>
          </w:tcPr>
          <w:p w14:paraId="3BF307B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 xml:space="preserve">Prospective follow-up study over six months </w:t>
            </w:r>
          </w:p>
        </w:tc>
        <w:tc>
          <w:tcPr>
            <w:tcW w:w="709" w:type="dxa"/>
            <w:noWrap/>
            <w:hideMark/>
          </w:tcPr>
          <w:p w14:paraId="757D00D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57969C9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4801136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6C52677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3058A65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53F20430"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150" w:type="dxa"/>
            <w:noWrap/>
            <w:hideMark/>
          </w:tcPr>
          <w:p w14:paraId="0697823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7D6AB36B"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0172085C"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8</w:t>
            </w:r>
            <w:r w:rsidRPr="00751529">
              <w:rPr>
                <w:rFonts w:ascii="Times New Roman" w:hAnsi="Times New Roman" w:cs="Times New Roman"/>
                <w:sz w:val="24"/>
                <w:szCs w:val="24"/>
              </w:rPr>
              <w:t>0</w:t>
            </w:r>
          </w:p>
        </w:tc>
      </w:tr>
      <w:tr w:rsidR="00D67FB5" w:rsidRPr="00751529" w14:paraId="013FC383" w14:textId="77777777" w:rsidTr="005F2495">
        <w:trPr>
          <w:trHeight w:val="308"/>
        </w:trPr>
        <w:tc>
          <w:tcPr>
            <w:tcW w:w="2553" w:type="dxa"/>
            <w:hideMark/>
          </w:tcPr>
          <w:p w14:paraId="2D19980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Wagner et al. (2018)</w:t>
            </w:r>
          </w:p>
        </w:tc>
        <w:tc>
          <w:tcPr>
            <w:tcW w:w="3543" w:type="dxa"/>
            <w:hideMark/>
          </w:tcPr>
          <w:p w14:paraId="49EB2A9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Retrospective cohort study</w:t>
            </w:r>
          </w:p>
        </w:tc>
        <w:tc>
          <w:tcPr>
            <w:tcW w:w="709" w:type="dxa"/>
            <w:noWrap/>
            <w:hideMark/>
          </w:tcPr>
          <w:p w14:paraId="5DCDA85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35C05D6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2FCC616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4EC0B71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523C693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729DFD0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32002A3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4B615162"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6F7BF3A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60</w:t>
            </w:r>
          </w:p>
        </w:tc>
      </w:tr>
      <w:tr w:rsidR="00D67FB5" w:rsidRPr="00751529" w14:paraId="613A6A79" w14:textId="77777777" w:rsidTr="005F2495">
        <w:trPr>
          <w:trHeight w:val="308"/>
        </w:trPr>
        <w:tc>
          <w:tcPr>
            <w:tcW w:w="2553" w:type="dxa"/>
            <w:hideMark/>
          </w:tcPr>
          <w:p w14:paraId="063C2AB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Wang et al. (2019)</w:t>
            </w:r>
          </w:p>
        </w:tc>
        <w:tc>
          <w:tcPr>
            <w:tcW w:w="3543" w:type="dxa"/>
            <w:hideMark/>
          </w:tcPr>
          <w:p w14:paraId="4D3F9C2D"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 xml:space="preserve">6-month follow-up study </w:t>
            </w:r>
          </w:p>
        </w:tc>
        <w:tc>
          <w:tcPr>
            <w:tcW w:w="709" w:type="dxa"/>
            <w:noWrap/>
            <w:hideMark/>
          </w:tcPr>
          <w:p w14:paraId="1C574CB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5C25CA7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30D4F87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754DDBA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46EF91D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6FBBDE84"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15546B3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62A2AB3F"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1590708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60</w:t>
            </w:r>
          </w:p>
        </w:tc>
      </w:tr>
      <w:tr w:rsidR="00D67FB5" w:rsidRPr="00751529" w14:paraId="330F1C77" w14:textId="77777777" w:rsidTr="005F2495">
        <w:trPr>
          <w:trHeight w:val="308"/>
        </w:trPr>
        <w:tc>
          <w:tcPr>
            <w:tcW w:w="2553" w:type="dxa"/>
            <w:hideMark/>
          </w:tcPr>
          <w:p w14:paraId="191385F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Yang et al. (2020)</w:t>
            </w:r>
          </w:p>
        </w:tc>
        <w:tc>
          <w:tcPr>
            <w:tcW w:w="3543" w:type="dxa"/>
            <w:hideMark/>
          </w:tcPr>
          <w:p w14:paraId="1D071EB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 xml:space="preserve">12-week follow-up study </w:t>
            </w:r>
          </w:p>
        </w:tc>
        <w:tc>
          <w:tcPr>
            <w:tcW w:w="709" w:type="dxa"/>
            <w:noWrap/>
            <w:hideMark/>
          </w:tcPr>
          <w:p w14:paraId="3531042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347836B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02D6C97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04FBB7A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47C1E20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74082AC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50" w:type="dxa"/>
            <w:noWrap/>
            <w:hideMark/>
          </w:tcPr>
          <w:p w14:paraId="785CF5F7"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21550C6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56CA89A3"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80</w:t>
            </w:r>
          </w:p>
        </w:tc>
      </w:tr>
      <w:tr w:rsidR="00D67FB5" w:rsidRPr="00751529" w14:paraId="06218628" w14:textId="77777777" w:rsidTr="005F2495">
        <w:trPr>
          <w:trHeight w:val="308"/>
        </w:trPr>
        <w:tc>
          <w:tcPr>
            <w:tcW w:w="2553" w:type="dxa"/>
            <w:hideMark/>
          </w:tcPr>
          <w:p w14:paraId="65C3CA6F" w14:textId="77777777" w:rsidR="00D67FB5" w:rsidRPr="00751529" w:rsidRDefault="00D67FB5" w:rsidP="005F2495">
            <w:pPr>
              <w:spacing w:line="360" w:lineRule="auto"/>
              <w:rPr>
                <w:rFonts w:ascii="Times New Roman" w:hAnsi="Times New Roman" w:cs="Times New Roman"/>
                <w:sz w:val="24"/>
                <w:szCs w:val="24"/>
              </w:rPr>
            </w:pPr>
            <w:proofErr w:type="spellStart"/>
            <w:r w:rsidRPr="00751529">
              <w:rPr>
                <w:rFonts w:ascii="Times New Roman" w:hAnsi="Times New Roman" w:cs="Times New Roman"/>
                <w:sz w:val="24"/>
                <w:szCs w:val="24"/>
              </w:rPr>
              <w:t>Zanarini</w:t>
            </w:r>
            <w:proofErr w:type="spellEnd"/>
            <w:r w:rsidRPr="00751529">
              <w:rPr>
                <w:rFonts w:ascii="Times New Roman" w:hAnsi="Times New Roman" w:cs="Times New Roman"/>
                <w:sz w:val="24"/>
                <w:szCs w:val="24"/>
              </w:rPr>
              <w:t xml:space="preserve"> et al. (2019)</w:t>
            </w:r>
          </w:p>
        </w:tc>
        <w:tc>
          <w:tcPr>
            <w:tcW w:w="3543" w:type="dxa"/>
            <w:hideMark/>
          </w:tcPr>
          <w:p w14:paraId="2339EFEC"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Longitudinal study over two years</w:t>
            </w:r>
          </w:p>
        </w:tc>
        <w:tc>
          <w:tcPr>
            <w:tcW w:w="709" w:type="dxa"/>
            <w:noWrap/>
            <w:hideMark/>
          </w:tcPr>
          <w:p w14:paraId="00B60449"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709" w:type="dxa"/>
            <w:noWrap/>
            <w:hideMark/>
          </w:tcPr>
          <w:p w14:paraId="61CF05F0"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Yes</w:t>
            </w:r>
          </w:p>
        </w:tc>
        <w:tc>
          <w:tcPr>
            <w:tcW w:w="1610" w:type="dxa"/>
            <w:noWrap/>
            <w:hideMark/>
          </w:tcPr>
          <w:p w14:paraId="5E23A27A"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3</w:t>
            </w:r>
          </w:p>
        </w:tc>
        <w:tc>
          <w:tcPr>
            <w:tcW w:w="1150" w:type="dxa"/>
            <w:hideMark/>
          </w:tcPr>
          <w:p w14:paraId="181D02E8"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3" w:type="dxa"/>
            <w:noWrap/>
            <w:hideMark/>
          </w:tcPr>
          <w:p w14:paraId="2C0536EE"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086" w:type="dxa"/>
            <w:noWrap/>
            <w:hideMark/>
          </w:tcPr>
          <w:p w14:paraId="5F190839"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150" w:type="dxa"/>
            <w:noWrap/>
            <w:hideMark/>
          </w:tcPr>
          <w:p w14:paraId="5E5D62A6"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1124" w:type="dxa"/>
            <w:noWrap/>
            <w:hideMark/>
          </w:tcPr>
          <w:p w14:paraId="3F9E6261" w14:textId="77777777" w:rsidR="00D67FB5" w:rsidRPr="00751529" w:rsidRDefault="00D67FB5" w:rsidP="005F2495">
            <w:pPr>
              <w:spacing w:line="360" w:lineRule="auto"/>
              <w:rPr>
                <w:rFonts w:ascii="Times New Roman" w:hAnsi="Times New Roman" w:cs="Times New Roman"/>
                <w:sz w:val="24"/>
                <w:szCs w:val="24"/>
              </w:rPr>
            </w:pPr>
            <w:r w:rsidRPr="00751529">
              <w:rPr>
                <w:rFonts w:ascii="Times New Roman" w:hAnsi="Times New Roman" w:cs="Times New Roman"/>
                <w:sz w:val="24"/>
                <w:szCs w:val="24"/>
              </w:rPr>
              <w:t>+</w:t>
            </w:r>
          </w:p>
        </w:tc>
        <w:tc>
          <w:tcPr>
            <w:tcW w:w="894" w:type="dxa"/>
            <w:noWrap/>
            <w:hideMark/>
          </w:tcPr>
          <w:p w14:paraId="3A31088B" w14:textId="77777777" w:rsidR="00D67FB5" w:rsidRPr="00751529" w:rsidRDefault="00D67FB5" w:rsidP="005F2495">
            <w:pPr>
              <w:spacing w:line="360" w:lineRule="auto"/>
              <w:rPr>
                <w:rFonts w:ascii="Times New Roman" w:hAnsi="Times New Roman" w:cs="Times New Roman"/>
                <w:sz w:val="24"/>
                <w:szCs w:val="24"/>
              </w:rPr>
            </w:pPr>
            <w:r>
              <w:rPr>
                <w:rFonts w:ascii="Times New Roman" w:hAnsi="Times New Roman" w:cs="Times New Roman"/>
                <w:sz w:val="24"/>
                <w:szCs w:val="24"/>
              </w:rPr>
              <w:t>80</w:t>
            </w:r>
          </w:p>
        </w:tc>
      </w:tr>
    </w:tbl>
    <w:p w14:paraId="4F244ED9" w14:textId="77777777" w:rsidR="00D67FB5" w:rsidRPr="00283B39" w:rsidRDefault="00D67FB5" w:rsidP="00D67FB5">
      <w:pPr>
        <w:spacing w:line="360" w:lineRule="auto"/>
        <w:rPr>
          <w:rFonts w:ascii="Times New Roman" w:hAnsi="Times New Roman" w:cs="Times New Roman"/>
          <w:b/>
          <w:bCs/>
          <w:sz w:val="24"/>
          <w:szCs w:val="24"/>
        </w:rPr>
      </w:pPr>
      <w:r w:rsidRPr="00ED156A">
        <w:rPr>
          <w:rFonts w:ascii="Times New Roman" w:hAnsi="Times New Roman" w:cs="Times New Roman"/>
          <w:b/>
          <w:bCs/>
          <w:sz w:val="24"/>
          <w:szCs w:val="24"/>
        </w:rPr>
        <w:lastRenderedPageBreak/>
        <w:t xml:space="preserve"> </w:t>
      </w:r>
      <w:r>
        <w:rPr>
          <w:rFonts w:ascii="Times New Roman" w:hAnsi="Times New Roman" w:cs="Times New Roman"/>
          <w:b/>
          <w:bCs/>
          <w:sz w:val="24"/>
          <w:szCs w:val="24"/>
        </w:rPr>
        <w:t xml:space="preserve">Note. </w:t>
      </w:r>
      <w:r w:rsidRPr="00580642">
        <w:rPr>
          <w:rFonts w:ascii="Times New Roman" w:hAnsi="Times New Roman" w:cs="Times New Roman"/>
          <w:sz w:val="24"/>
          <w:szCs w:val="24"/>
        </w:rPr>
        <w:t xml:space="preserve">Category of study design 2 results in the following questions: 1) Is randomization appropriately </w:t>
      </w:r>
      <w:proofErr w:type="gramStart"/>
      <w:r w:rsidRPr="00580642">
        <w:rPr>
          <w:rFonts w:ascii="Times New Roman" w:hAnsi="Times New Roman" w:cs="Times New Roman"/>
          <w:sz w:val="24"/>
          <w:szCs w:val="24"/>
        </w:rPr>
        <w:t>performed?;</w:t>
      </w:r>
      <w:proofErr w:type="gramEnd"/>
      <w:r w:rsidRPr="00580642">
        <w:rPr>
          <w:rFonts w:ascii="Times New Roman" w:hAnsi="Times New Roman" w:cs="Times New Roman"/>
          <w:sz w:val="24"/>
          <w:szCs w:val="24"/>
        </w:rPr>
        <w:t xml:space="preserve"> 2) Are the groups comparable at baseline?; 3) Are there complete outcome data?; 4)</w:t>
      </w:r>
      <w:r w:rsidRPr="00580642">
        <w:t xml:space="preserve"> </w:t>
      </w:r>
      <w:r w:rsidRPr="00580642">
        <w:rPr>
          <w:rFonts w:ascii="Times New Roman" w:hAnsi="Times New Roman" w:cs="Times New Roman"/>
          <w:sz w:val="24"/>
          <w:szCs w:val="24"/>
        </w:rPr>
        <w:t xml:space="preserve">Are outcome assessors blinded to the intervention provided?; 5) Did the participants adhere to the assigned intervention? Category of study design 3 results in the following questions: 1) Are the participants representative of the target </w:t>
      </w:r>
      <w:proofErr w:type="gramStart"/>
      <w:r w:rsidRPr="00580642">
        <w:rPr>
          <w:rFonts w:ascii="Times New Roman" w:hAnsi="Times New Roman" w:cs="Times New Roman"/>
          <w:sz w:val="24"/>
          <w:szCs w:val="24"/>
        </w:rPr>
        <w:t>population?;</w:t>
      </w:r>
      <w:proofErr w:type="gramEnd"/>
      <w:r w:rsidRPr="00580642">
        <w:rPr>
          <w:rFonts w:ascii="Times New Roman" w:hAnsi="Times New Roman" w:cs="Times New Roman"/>
          <w:sz w:val="24"/>
          <w:szCs w:val="24"/>
        </w:rPr>
        <w:t xml:space="preserve"> 2) Are measurements appropriate regarding both the outcome and intervention (or exposure)?; 3) Are there complete outcome data?; 4) Are the confounders accounted for in the design and analysis?; 5) During the study period, is the intervention administered (or exposure occurred) as intended? N/R represents not reported; </w:t>
      </w:r>
      <w:r w:rsidRPr="00580642">
        <w:rPr>
          <w:rFonts w:ascii="Times New Roman" w:hAnsi="Times New Roman" w:cs="Times New Roman"/>
          <w:sz w:val="24"/>
          <w:szCs w:val="24"/>
          <w:lang w:val="en-US"/>
        </w:rPr>
        <w:t>a 20% cut off for withdrawal/dropout was used (question 3).</w:t>
      </w:r>
    </w:p>
    <w:p w14:paraId="3EF1BC04" w14:textId="77777777" w:rsidR="00D67FB5" w:rsidRDefault="00D67FB5" w:rsidP="00D67FB5">
      <w:pPr>
        <w:spacing w:line="360" w:lineRule="auto"/>
        <w:rPr>
          <w:rFonts w:ascii="Times New Roman" w:hAnsi="Times New Roman" w:cs="Times New Roman"/>
          <w:b/>
          <w:bCs/>
          <w:sz w:val="24"/>
          <w:szCs w:val="24"/>
          <w:lang w:val="en-US"/>
        </w:rPr>
      </w:pPr>
    </w:p>
    <w:p w14:paraId="5AC6AF7B" w14:textId="77777777" w:rsidR="00D67FB5" w:rsidRDefault="00D67FB5" w:rsidP="00D67FB5">
      <w:pPr>
        <w:spacing w:line="360" w:lineRule="auto"/>
        <w:rPr>
          <w:rFonts w:ascii="Times New Roman" w:hAnsi="Times New Roman" w:cs="Times New Roman"/>
          <w:b/>
          <w:bCs/>
          <w:sz w:val="24"/>
          <w:szCs w:val="24"/>
          <w:lang w:val="en-US"/>
        </w:rPr>
      </w:pPr>
    </w:p>
    <w:p w14:paraId="1346ED35" w14:textId="77777777" w:rsidR="00D67FB5" w:rsidRDefault="00D67FB5" w:rsidP="00D67FB5"/>
    <w:p w14:paraId="37F82EB6" w14:textId="2306D6D5" w:rsidR="009C1E48" w:rsidRDefault="00D67FB5"/>
    <w:p w14:paraId="586C7548" w14:textId="53DC2512" w:rsidR="00D67FB5" w:rsidRDefault="00D67FB5"/>
    <w:p w14:paraId="3F86FC2E" w14:textId="388545FB" w:rsidR="00D67FB5" w:rsidRDefault="00D67FB5"/>
    <w:p w14:paraId="6BDA7CC8" w14:textId="37F1F340" w:rsidR="00D67FB5" w:rsidRDefault="00D67FB5"/>
    <w:p w14:paraId="580DBBFC" w14:textId="21F1954E" w:rsidR="00D67FB5" w:rsidRDefault="00D67FB5"/>
    <w:p w14:paraId="4BF9943F" w14:textId="40B91698" w:rsidR="00D67FB5" w:rsidRDefault="00D67FB5"/>
    <w:p w14:paraId="17A499AA" w14:textId="20A7DD6F" w:rsidR="00D67FB5" w:rsidRDefault="00D67FB5"/>
    <w:p w14:paraId="62E6BA86" w14:textId="488E804B" w:rsidR="00D67FB5" w:rsidRDefault="00D67FB5"/>
    <w:p w14:paraId="1DDCA061" w14:textId="340168A1" w:rsidR="00D67FB5" w:rsidRDefault="00D67FB5"/>
    <w:p w14:paraId="3517B597" w14:textId="699E382C" w:rsidR="00D67FB5" w:rsidRDefault="00D67FB5"/>
    <w:p w14:paraId="75DDD369" w14:textId="5A0464C5" w:rsidR="00D67FB5" w:rsidRDefault="00D67FB5"/>
    <w:p w14:paraId="39E9F65B" w14:textId="77777777" w:rsidR="00D67FB5" w:rsidRPr="00ED156A" w:rsidRDefault="00D67FB5" w:rsidP="00D67FB5">
      <w:pPr>
        <w:spacing w:line="360" w:lineRule="auto"/>
        <w:rPr>
          <w:rFonts w:ascii="Times New Roman" w:hAnsi="Times New Roman" w:cs="Times New Roman"/>
          <w:sz w:val="24"/>
          <w:szCs w:val="24"/>
          <w:lang w:val="en-US"/>
        </w:rPr>
      </w:pPr>
      <w:r w:rsidRPr="00ED156A">
        <w:rPr>
          <w:rFonts w:ascii="Times New Roman" w:hAnsi="Times New Roman" w:cs="Times New Roman"/>
          <w:b/>
          <w:bCs/>
          <w:sz w:val="24"/>
          <w:szCs w:val="24"/>
          <w:lang w:val="en-US"/>
        </w:rPr>
        <w:lastRenderedPageBreak/>
        <w:t xml:space="preserve">Table </w:t>
      </w:r>
      <w:r>
        <w:rPr>
          <w:rFonts w:ascii="Times New Roman" w:hAnsi="Times New Roman" w:cs="Times New Roman"/>
          <w:b/>
          <w:bCs/>
          <w:sz w:val="24"/>
          <w:szCs w:val="24"/>
          <w:lang w:val="en-US"/>
        </w:rPr>
        <w:t>S3</w:t>
      </w:r>
      <w:r w:rsidRPr="00ED156A">
        <w:rPr>
          <w:rFonts w:ascii="Times New Roman" w:hAnsi="Times New Roman" w:cs="Times New Roman"/>
          <w:b/>
          <w:bCs/>
          <w:sz w:val="24"/>
          <w:szCs w:val="24"/>
          <w:lang w:val="en-US"/>
        </w:rPr>
        <w:t>. Recurrence rates</w:t>
      </w:r>
    </w:p>
    <w:tbl>
      <w:tblPr>
        <w:tblStyle w:val="TableGrid"/>
        <w:tblW w:w="16019" w:type="dxa"/>
        <w:tblInd w:w="-998" w:type="dxa"/>
        <w:tblLook w:val="04A0" w:firstRow="1" w:lastRow="0" w:firstColumn="1" w:lastColumn="0" w:noHBand="0" w:noVBand="1"/>
      </w:tblPr>
      <w:tblGrid>
        <w:gridCol w:w="2694"/>
        <w:gridCol w:w="13325"/>
      </w:tblGrid>
      <w:tr w:rsidR="00D67FB5" w:rsidRPr="00ED156A" w14:paraId="6B7FBBC6" w14:textId="77777777" w:rsidTr="005F2495">
        <w:tc>
          <w:tcPr>
            <w:tcW w:w="2694" w:type="dxa"/>
          </w:tcPr>
          <w:p w14:paraId="5F9CDECB" w14:textId="77777777" w:rsidR="00D67FB5" w:rsidRPr="00ED156A" w:rsidRDefault="00D67FB5" w:rsidP="005F2495">
            <w:pPr>
              <w:spacing w:line="360" w:lineRule="auto"/>
              <w:rPr>
                <w:rFonts w:ascii="Times New Roman" w:hAnsi="Times New Roman" w:cs="Times New Roman"/>
                <w:b/>
                <w:bCs/>
                <w:sz w:val="24"/>
                <w:szCs w:val="24"/>
                <w:lang w:val="en-US"/>
              </w:rPr>
            </w:pPr>
            <w:r w:rsidRPr="00ED156A">
              <w:rPr>
                <w:rFonts w:ascii="Times New Roman" w:hAnsi="Times New Roman" w:cs="Times New Roman"/>
                <w:b/>
                <w:bCs/>
                <w:sz w:val="24"/>
                <w:szCs w:val="24"/>
                <w:lang w:val="en-US"/>
              </w:rPr>
              <w:t>Authors (year)</w:t>
            </w:r>
          </w:p>
        </w:tc>
        <w:tc>
          <w:tcPr>
            <w:tcW w:w="13325" w:type="dxa"/>
          </w:tcPr>
          <w:p w14:paraId="201BF481" w14:textId="77777777" w:rsidR="00D67FB5" w:rsidRPr="00ED156A" w:rsidRDefault="00D67FB5" w:rsidP="005F2495">
            <w:pPr>
              <w:spacing w:line="360" w:lineRule="auto"/>
              <w:rPr>
                <w:rFonts w:ascii="Times New Roman" w:hAnsi="Times New Roman" w:cs="Times New Roman"/>
                <w:b/>
                <w:bCs/>
                <w:sz w:val="24"/>
                <w:szCs w:val="24"/>
                <w:lang w:val="en-US"/>
              </w:rPr>
            </w:pPr>
            <w:r w:rsidRPr="00ED156A">
              <w:rPr>
                <w:rFonts w:ascii="Times New Roman" w:hAnsi="Times New Roman" w:cs="Times New Roman"/>
                <w:b/>
                <w:bCs/>
                <w:sz w:val="24"/>
                <w:szCs w:val="24"/>
                <w:lang w:val="en-US"/>
              </w:rPr>
              <w:t>Prevalence rates</w:t>
            </w:r>
          </w:p>
        </w:tc>
      </w:tr>
      <w:tr w:rsidR="00D67FB5" w:rsidRPr="00ED156A" w14:paraId="756D1B11" w14:textId="77777777" w:rsidTr="005F2495">
        <w:tc>
          <w:tcPr>
            <w:tcW w:w="2694" w:type="dxa"/>
          </w:tcPr>
          <w:p w14:paraId="1E537CA3" w14:textId="77777777" w:rsidR="00D67FB5" w:rsidRPr="00ED156A" w:rsidRDefault="00D67FB5"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lang w:val="en-US"/>
              </w:rPr>
              <w:t>Benjet</w:t>
            </w:r>
            <w:proofErr w:type="spellEnd"/>
            <w:r w:rsidRPr="00ED156A">
              <w:rPr>
                <w:rFonts w:ascii="Times New Roman" w:hAnsi="Times New Roman" w:cs="Times New Roman"/>
                <w:sz w:val="24"/>
                <w:szCs w:val="24"/>
                <w:lang w:val="en-US"/>
              </w:rPr>
              <w:t xml:space="preserve"> et al. (2020)</w:t>
            </w:r>
          </w:p>
        </w:tc>
        <w:tc>
          <w:tcPr>
            <w:tcW w:w="13325" w:type="dxa"/>
          </w:tcPr>
          <w:p w14:paraId="03E14DAA"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107 had depression at Wave 1; 46.1% had a recurrent episode at some point in the next 8 years</w:t>
            </w:r>
          </w:p>
        </w:tc>
      </w:tr>
      <w:tr w:rsidR="00D67FB5" w:rsidRPr="00ED156A" w14:paraId="4F3A0C81" w14:textId="77777777" w:rsidTr="005F2495">
        <w:tc>
          <w:tcPr>
            <w:tcW w:w="2694" w:type="dxa"/>
          </w:tcPr>
          <w:p w14:paraId="75B450BC"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Delgadillo et al. (2018)</w:t>
            </w:r>
          </w:p>
        </w:tc>
        <w:tc>
          <w:tcPr>
            <w:tcW w:w="13325" w:type="dxa"/>
          </w:tcPr>
          <w:p w14:paraId="218A3C5A"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65.8% of 439 patients met the criteria for a ‘risk event’ (clinically significant deterioration of symptoms) within the 2-year follow-up period. </w:t>
            </w:r>
          </w:p>
        </w:tc>
      </w:tr>
      <w:tr w:rsidR="00D67FB5" w:rsidRPr="00ED156A" w14:paraId="03985487" w14:textId="77777777" w:rsidTr="005F2495">
        <w:tc>
          <w:tcPr>
            <w:tcW w:w="2694" w:type="dxa"/>
          </w:tcPr>
          <w:p w14:paraId="00FE9978"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Duffy et al. (2021)</w:t>
            </w:r>
          </w:p>
        </w:tc>
        <w:tc>
          <w:tcPr>
            <w:tcW w:w="13325" w:type="dxa"/>
          </w:tcPr>
          <w:p w14:paraId="42523396"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Relapse was experienced by 92/238 (39%) of participants in the maintenance group and 135/240 (56%) in the discontinuation group. </w:t>
            </w:r>
          </w:p>
          <w:p w14:paraId="6691D4A9"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Overall: 227/478 had recurrence (47.5%).</w:t>
            </w:r>
          </w:p>
        </w:tc>
      </w:tr>
      <w:tr w:rsidR="00D67FB5" w:rsidRPr="00ED156A" w14:paraId="5C56B27C" w14:textId="77777777" w:rsidTr="005F2495">
        <w:tc>
          <w:tcPr>
            <w:tcW w:w="2694" w:type="dxa"/>
          </w:tcPr>
          <w:p w14:paraId="05EF7F8F"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Elgersma et al. (2019)</w:t>
            </w:r>
          </w:p>
        </w:tc>
        <w:tc>
          <w:tcPr>
            <w:tcW w:w="13325" w:type="dxa"/>
          </w:tcPr>
          <w:p w14:paraId="4FFD537C"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All participants in remission at baseline. </w:t>
            </w:r>
          </w:p>
          <w:p w14:paraId="4478A146"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21.4% (184/858) fulfilled criteria for diagnosis of depressive disorder at 2-year follow-up.</w:t>
            </w:r>
          </w:p>
          <w:p w14:paraId="62CFE37A"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35.1% (281/801) had such a diagnosis at 4-year. </w:t>
            </w:r>
          </w:p>
        </w:tc>
      </w:tr>
      <w:tr w:rsidR="00D67FB5" w:rsidRPr="00ED156A" w14:paraId="4F1325EF" w14:textId="77777777" w:rsidTr="005F2495">
        <w:tc>
          <w:tcPr>
            <w:tcW w:w="2694" w:type="dxa"/>
          </w:tcPr>
          <w:p w14:paraId="050A1FDC"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Freeman et al. (2018)</w:t>
            </w:r>
          </w:p>
        </w:tc>
        <w:tc>
          <w:tcPr>
            <w:tcW w:w="13325" w:type="dxa"/>
          </w:tcPr>
          <w:p w14:paraId="7074E21B"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Of the 25 participants with MDD, 44% had a depressive relapse within 6 months.</w:t>
            </w:r>
          </w:p>
        </w:tc>
      </w:tr>
      <w:tr w:rsidR="00D67FB5" w:rsidRPr="00ED156A" w14:paraId="28F8D53D" w14:textId="77777777" w:rsidTr="005F2495">
        <w:tc>
          <w:tcPr>
            <w:tcW w:w="2694" w:type="dxa"/>
          </w:tcPr>
          <w:p w14:paraId="2CA3330B"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Gloger et al. (2021)</w:t>
            </w:r>
          </w:p>
        </w:tc>
        <w:tc>
          <w:tcPr>
            <w:tcW w:w="13325" w:type="dxa"/>
          </w:tcPr>
          <w:p w14:paraId="0BE9F215"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533/1001 (53.3%) had experienced recurrent depression </w:t>
            </w:r>
          </w:p>
        </w:tc>
      </w:tr>
      <w:tr w:rsidR="00D67FB5" w:rsidRPr="00ED156A" w14:paraId="2CDAF446" w14:textId="77777777" w:rsidTr="005F2495">
        <w:tc>
          <w:tcPr>
            <w:tcW w:w="2694" w:type="dxa"/>
          </w:tcPr>
          <w:p w14:paraId="6D19552E" w14:textId="77777777" w:rsidR="00D67FB5" w:rsidRPr="00ED156A" w:rsidRDefault="00D67FB5"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lang w:val="en-US"/>
              </w:rPr>
              <w:t>Halonen</w:t>
            </w:r>
            <w:proofErr w:type="spellEnd"/>
            <w:r w:rsidRPr="00ED156A">
              <w:rPr>
                <w:rFonts w:ascii="Times New Roman" w:hAnsi="Times New Roman" w:cs="Times New Roman"/>
                <w:sz w:val="24"/>
                <w:szCs w:val="24"/>
                <w:lang w:val="en-US"/>
              </w:rPr>
              <w:t xml:space="preserve"> et al. (2022)</w:t>
            </w:r>
          </w:p>
        </w:tc>
        <w:tc>
          <w:tcPr>
            <w:tcW w:w="13325" w:type="dxa"/>
          </w:tcPr>
          <w:p w14:paraId="7FE5C59C"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Of the 237 patients, 35.4% (84) had a recurrent episode in the 10-15 years after their inpatient admission. </w:t>
            </w:r>
          </w:p>
        </w:tc>
      </w:tr>
      <w:tr w:rsidR="00D67FB5" w:rsidRPr="00ED156A" w14:paraId="76DB655A" w14:textId="77777777" w:rsidTr="005F2495">
        <w:tc>
          <w:tcPr>
            <w:tcW w:w="2694" w:type="dxa"/>
          </w:tcPr>
          <w:p w14:paraId="66D9EBFB"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Lye et al. (2020)</w:t>
            </w:r>
          </w:p>
        </w:tc>
        <w:tc>
          <w:tcPr>
            <w:tcW w:w="13325" w:type="dxa"/>
          </w:tcPr>
          <w:p w14:paraId="513EF21F"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41 (20.9%) had recurrence, 155 had no recurrence. </w:t>
            </w:r>
          </w:p>
        </w:tc>
      </w:tr>
      <w:tr w:rsidR="00D67FB5" w:rsidRPr="00ED156A" w14:paraId="45948279" w14:textId="77777777" w:rsidTr="005F2495">
        <w:tc>
          <w:tcPr>
            <w:tcW w:w="2694" w:type="dxa"/>
          </w:tcPr>
          <w:p w14:paraId="59CC2295" w14:textId="77777777" w:rsidR="00D67FB5" w:rsidRPr="00ED156A" w:rsidRDefault="00D67FB5"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t>Musliner</w:t>
            </w:r>
            <w:proofErr w:type="spellEnd"/>
            <w:r w:rsidRPr="00ED156A">
              <w:rPr>
                <w:rFonts w:ascii="Times New Roman" w:hAnsi="Times New Roman" w:cs="Times New Roman"/>
                <w:sz w:val="24"/>
                <w:szCs w:val="24"/>
              </w:rPr>
              <w:t xml:space="preserve"> et al. (2021)</w:t>
            </w:r>
          </w:p>
        </w:tc>
        <w:tc>
          <w:tcPr>
            <w:tcW w:w="13325" w:type="dxa"/>
          </w:tcPr>
          <w:p w14:paraId="075795C2"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4,466/16,180 (27.6%) had a recurrent episode. </w:t>
            </w:r>
          </w:p>
          <w:p w14:paraId="4618EEF8"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Probabilities of recurrence at 2, 5, 10, 15 and 20 years after first diagnosis were 16.5%, 24%, 31.7%, 35.8% and 37.9% respectively. </w:t>
            </w:r>
          </w:p>
        </w:tc>
      </w:tr>
      <w:tr w:rsidR="00D67FB5" w:rsidRPr="00ED156A" w14:paraId="5D4F0C75" w14:textId="77777777" w:rsidTr="005F2495">
        <w:tc>
          <w:tcPr>
            <w:tcW w:w="2694" w:type="dxa"/>
          </w:tcPr>
          <w:p w14:paraId="6D5E48C0"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Newman et al. (2019)</w:t>
            </w:r>
          </w:p>
        </w:tc>
        <w:tc>
          <w:tcPr>
            <w:tcW w:w="13325" w:type="dxa"/>
          </w:tcPr>
          <w:p w14:paraId="5519E410"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14/121 relapsed (11.6%).</w:t>
            </w:r>
          </w:p>
        </w:tc>
      </w:tr>
      <w:tr w:rsidR="00D67FB5" w:rsidRPr="00ED156A" w14:paraId="3A1A0266" w14:textId="77777777" w:rsidTr="005F2495">
        <w:tc>
          <w:tcPr>
            <w:tcW w:w="2694" w:type="dxa"/>
          </w:tcPr>
          <w:p w14:paraId="3C9DCBC1" w14:textId="77777777" w:rsidR="00D67FB5" w:rsidRPr="00ED156A" w:rsidRDefault="00D67FB5"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t>Nobbelin</w:t>
            </w:r>
            <w:proofErr w:type="spellEnd"/>
            <w:r w:rsidRPr="00ED156A">
              <w:rPr>
                <w:rFonts w:ascii="Times New Roman" w:hAnsi="Times New Roman" w:cs="Times New Roman"/>
                <w:sz w:val="24"/>
                <w:szCs w:val="24"/>
              </w:rPr>
              <w:t xml:space="preserve"> et al., (2018)</w:t>
            </w:r>
          </w:p>
        </w:tc>
        <w:tc>
          <w:tcPr>
            <w:tcW w:w="13325" w:type="dxa"/>
          </w:tcPr>
          <w:p w14:paraId="0C9E907F"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172/508 with depression had a recurrence (33.9%). </w:t>
            </w:r>
          </w:p>
        </w:tc>
      </w:tr>
      <w:tr w:rsidR="00D67FB5" w:rsidRPr="00ED156A" w14:paraId="551C7A90" w14:textId="77777777" w:rsidTr="005F2495">
        <w:tc>
          <w:tcPr>
            <w:tcW w:w="2694" w:type="dxa"/>
          </w:tcPr>
          <w:p w14:paraId="12DAC79E" w14:textId="77777777" w:rsidR="00D67FB5" w:rsidRPr="00ED156A" w:rsidRDefault="00D67FB5"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t>Obinata</w:t>
            </w:r>
            <w:proofErr w:type="spellEnd"/>
            <w:r w:rsidRPr="00ED156A">
              <w:rPr>
                <w:rFonts w:ascii="Times New Roman" w:hAnsi="Times New Roman" w:cs="Times New Roman"/>
                <w:sz w:val="24"/>
                <w:szCs w:val="24"/>
              </w:rPr>
              <w:t xml:space="preserve"> et al. (2021)</w:t>
            </w:r>
          </w:p>
        </w:tc>
        <w:tc>
          <w:tcPr>
            <w:tcW w:w="13325" w:type="dxa"/>
          </w:tcPr>
          <w:p w14:paraId="6E28B397"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Recurrence occurred in 15/23 (65.22%) of carriers of APOE4 and 45/112 (40.18%) of non-carriers. </w:t>
            </w:r>
          </w:p>
          <w:p w14:paraId="2A7E94BA"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Overall, the recurrence rate was 60/135 (44.4%). </w:t>
            </w:r>
          </w:p>
        </w:tc>
      </w:tr>
      <w:tr w:rsidR="00D67FB5" w:rsidRPr="00ED156A" w14:paraId="0DECCEF3" w14:textId="77777777" w:rsidTr="005F2495">
        <w:tc>
          <w:tcPr>
            <w:tcW w:w="2694" w:type="dxa"/>
          </w:tcPr>
          <w:p w14:paraId="4096BBBB"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Omori et al. (2019)</w:t>
            </w:r>
          </w:p>
        </w:tc>
        <w:tc>
          <w:tcPr>
            <w:tcW w:w="13325" w:type="dxa"/>
          </w:tcPr>
          <w:p w14:paraId="71ACD178"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44.9% relapsed. </w:t>
            </w:r>
          </w:p>
        </w:tc>
      </w:tr>
      <w:tr w:rsidR="00D67FB5" w:rsidRPr="00ED156A" w14:paraId="0C85E56A" w14:textId="77777777" w:rsidTr="005F2495">
        <w:tc>
          <w:tcPr>
            <w:tcW w:w="2694" w:type="dxa"/>
          </w:tcPr>
          <w:p w14:paraId="50CBF88C"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Opel et al. (2019)</w:t>
            </w:r>
          </w:p>
        </w:tc>
        <w:tc>
          <w:tcPr>
            <w:tcW w:w="13325" w:type="dxa"/>
          </w:tcPr>
          <w:p w14:paraId="3C0AFC82"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75/110 had a relapse (68.2%). </w:t>
            </w:r>
          </w:p>
        </w:tc>
      </w:tr>
      <w:tr w:rsidR="00D67FB5" w:rsidRPr="00ED156A" w14:paraId="38ED14B2" w14:textId="77777777" w:rsidTr="005F2495">
        <w:tc>
          <w:tcPr>
            <w:tcW w:w="2694" w:type="dxa"/>
          </w:tcPr>
          <w:p w14:paraId="07BED35A"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Recchia et al. (2020)</w:t>
            </w:r>
          </w:p>
        </w:tc>
        <w:tc>
          <w:tcPr>
            <w:tcW w:w="13325" w:type="dxa"/>
          </w:tcPr>
          <w:p w14:paraId="3EBECDE1"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658/731 with a depressive episode had a recurrent episode (90%). </w:t>
            </w:r>
          </w:p>
        </w:tc>
      </w:tr>
      <w:tr w:rsidR="00D67FB5" w:rsidRPr="00ED156A" w14:paraId="171B9843" w14:textId="77777777" w:rsidTr="005F2495">
        <w:tc>
          <w:tcPr>
            <w:tcW w:w="2694" w:type="dxa"/>
          </w:tcPr>
          <w:p w14:paraId="7A3FAFFA"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Reddy et al. (2022)</w:t>
            </w:r>
          </w:p>
        </w:tc>
        <w:tc>
          <w:tcPr>
            <w:tcW w:w="13325" w:type="dxa"/>
          </w:tcPr>
          <w:p w14:paraId="784EF650"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Comorbid OSA group: 77.1% recurrent depression</w:t>
            </w:r>
          </w:p>
          <w:p w14:paraId="084C5BDE"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No comorbid OSA: 68.9% recurrent depression </w:t>
            </w:r>
          </w:p>
          <w:p w14:paraId="746D106A"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Therefore, approximately 73% overall had a recurrent episode.</w:t>
            </w:r>
          </w:p>
        </w:tc>
      </w:tr>
      <w:tr w:rsidR="00D67FB5" w:rsidRPr="00ED156A" w14:paraId="11AA255D" w14:textId="77777777" w:rsidTr="005F2495">
        <w:tc>
          <w:tcPr>
            <w:tcW w:w="2694" w:type="dxa"/>
          </w:tcPr>
          <w:p w14:paraId="18AD0F98" w14:textId="77777777" w:rsidR="00D67FB5" w:rsidRPr="00ED156A" w:rsidRDefault="00D67FB5"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rPr>
              <w:t>Rottenberg</w:t>
            </w:r>
            <w:proofErr w:type="spellEnd"/>
            <w:r w:rsidRPr="00ED156A">
              <w:rPr>
                <w:rFonts w:ascii="Times New Roman" w:hAnsi="Times New Roman" w:cs="Times New Roman"/>
                <w:sz w:val="24"/>
                <w:szCs w:val="24"/>
              </w:rPr>
              <w:t xml:space="preserve"> et al. (2019)</w:t>
            </w:r>
          </w:p>
        </w:tc>
        <w:tc>
          <w:tcPr>
            <w:tcW w:w="13325" w:type="dxa"/>
          </w:tcPr>
          <w:p w14:paraId="423BF81C"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Recurrence of a major depressive episode in past year: 85/239, 35.6%. </w:t>
            </w:r>
          </w:p>
        </w:tc>
      </w:tr>
      <w:tr w:rsidR="00D67FB5" w:rsidRPr="00ED156A" w14:paraId="2878EB4F" w14:textId="77777777" w:rsidTr="005F2495">
        <w:tc>
          <w:tcPr>
            <w:tcW w:w="2694" w:type="dxa"/>
          </w:tcPr>
          <w:p w14:paraId="4768166F"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Sun et al. (2018)</w:t>
            </w:r>
          </w:p>
        </w:tc>
        <w:tc>
          <w:tcPr>
            <w:tcW w:w="13325" w:type="dxa"/>
          </w:tcPr>
          <w:p w14:paraId="7F317C42"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Incidence rate of recurrent depression after 4 years was 50.95% (1506/2956).</w:t>
            </w:r>
          </w:p>
        </w:tc>
      </w:tr>
      <w:tr w:rsidR="00D67FB5" w:rsidRPr="00ED156A" w14:paraId="4044531A" w14:textId="77777777" w:rsidTr="005F2495">
        <w:tc>
          <w:tcPr>
            <w:tcW w:w="2694" w:type="dxa"/>
          </w:tcPr>
          <w:p w14:paraId="41E80EF0"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Ten Have et al. (2018)</w:t>
            </w:r>
          </w:p>
        </w:tc>
        <w:tc>
          <w:tcPr>
            <w:tcW w:w="13325" w:type="dxa"/>
          </w:tcPr>
          <w:p w14:paraId="7E91F3D6"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Of the 746 in remission from MDD at baseline, 152 (20.4%) relapsed.</w:t>
            </w:r>
          </w:p>
        </w:tc>
      </w:tr>
      <w:tr w:rsidR="00D67FB5" w:rsidRPr="00ED156A" w14:paraId="117C0268" w14:textId="77777777" w:rsidTr="005F2495">
        <w:tc>
          <w:tcPr>
            <w:tcW w:w="2694" w:type="dxa"/>
          </w:tcPr>
          <w:p w14:paraId="1834D7C0"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Van Loo et al. (2018)</w:t>
            </w:r>
          </w:p>
        </w:tc>
        <w:tc>
          <w:tcPr>
            <w:tcW w:w="13325" w:type="dxa"/>
          </w:tcPr>
          <w:p w14:paraId="3E45A948"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61% of the 653 depression patients reported a history of MD prior to their index episode. During the follow-up, risk estimates for recurrence were 23% after 1 year, 38% after 2 years and 47% after 3 years.</w:t>
            </w:r>
          </w:p>
        </w:tc>
      </w:tr>
      <w:tr w:rsidR="00D67FB5" w:rsidRPr="00ED156A" w14:paraId="0E4C376A" w14:textId="77777777" w:rsidTr="005F2495">
        <w:tc>
          <w:tcPr>
            <w:tcW w:w="2694" w:type="dxa"/>
          </w:tcPr>
          <w:p w14:paraId="5D74FBB0"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 xml:space="preserve">Van </w:t>
            </w:r>
            <w:proofErr w:type="spellStart"/>
            <w:r w:rsidRPr="00ED156A">
              <w:rPr>
                <w:rFonts w:ascii="Times New Roman" w:hAnsi="Times New Roman" w:cs="Times New Roman"/>
                <w:sz w:val="24"/>
                <w:szCs w:val="24"/>
              </w:rPr>
              <w:t>Tuijl</w:t>
            </w:r>
            <w:proofErr w:type="spellEnd"/>
            <w:r w:rsidRPr="00ED156A">
              <w:rPr>
                <w:rFonts w:ascii="Times New Roman" w:hAnsi="Times New Roman" w:cs="Times New Roman"/>
                <w:sz w:val="24"/>
                <w:szCs w:val="24"/>
              </w:rPr>
              <w:t xml:space="preserve"> et al. (2020)</w:t>
            </w:r>
          </w:p>
        </w:tc>
        <w:tc>
          <w:tcPr>
            <w:tcW w:w="13325" w:type="dxa"/>
          </w:tcPr>
          <w:p w14:paraId="6BE879B5"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85/559 (15%) had a recurrence of depressive disorder, 34/559 had recurrence of both depressive and anxiety disorder, and 440/559 (79%) did not have a recurrence.</w:t>
            </w:r>
          </w:p>
          <w:p w14:paraId="50920EBD"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Comparison group: 70/458 (15.3%) had recurrence of an anxiety disorder, 34/458 (7.4%) had recurrence of both depressive and anxiety disorders, 354 (77.3%) had no anxiety recurrence.</w:t>
            </w:r>
          </w:p>
        </w:tc>
      </w:tr>
      <w:tr w:rsidR="00D67FB5" w:rsidRPr="00ED156A" w14:paraId="19002A18" w14:textId="77777777" w:rsidTr="005F2495">
        <w:tc>
          <w:tcPr>
            <w:tcW w:w="2694" w:type="dxa"/>
          </w:tcPr>
          <w:p w14:paraId="1CF68D51" w14:textId="77777777" w:rsidR="00D67FB5" w:rsidRPr="00ED156A" w:rsidRDefault="00D67FB5"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rPr>
              <w:t>Vittengl</w:t>
            </w:r>
            <w:proofErr w:type="spellEnd"/>
            <w:r w:rsidRPr="00ED156A">
              <w:rPr>
                <w:rFonts w:ascii="Times New Roman" w:hAnsi="Times New Roman" w:cs="Times New Roman"/>
                <w:sz w:val="24"/>
                <w:szCs w:val="24"/>
              </w:rPr>
              <w:t xml:space="preserve"> et al. (2020)</w:t>
            </w:r>
          </w:p>
        </w:tc>
        <w:tc>
          <w:tcPr>
            <w:tcW w:w="13325" w:type="dxa"/>
          </w:tcPr>
          <w:p w14:paraId="39980B8E"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49/152 who completed and responded to acute-phase cognitive therapy (32%) experienced relapse/recurrence within 32 months </w:t>
            </w:r>
          </w:p>
        </w:tc>
      </w:tr>
      <w:tr w:rsidR="00D67FB5" w:rsidRPr="00ED156A" w14:paraId="6BCE6FE2" w14:textId="77777777" w:rsidTr="005F2495">
        <w:tc>
          <w:tcPr>
            <w:tcW w:w="2694" w:type="dxa"/>
          </w:tcPr>
          <w:p w14:paraId="365B9696" w14:textId="77777777" w:rsidR="00D67FB5" w:rsidRPr="00ED156A" w:rsidRDefault="00D67FB5"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rPr>
              <w:t>Wagenmakers</w:t>
            </w:r>
            <w:proofErr w:type="spellEnd"/>
            <w:r w:rsidRPr="00ED156A">
              <w:rPr>
                <w:rFonts w:ascii="Times New Roman" w:hAnsi="Times New Roman" w:cs="Times New Roman"/>
                <w:sz w:val="24"/>
                <w:szCs w:val="24"/>
              </w:rPr>
              <w:t xml:space="preserve"> et al. (2020)</w:t>
            </w:r>
          </w:p>
        </w:tc>
        <w:tc>
          <w:tcPr>
            <w:tcW w:w="13325" w:type="dxa"/>
          </w:tcPr>
          <w:p w14:paraId="72ACD759"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22/67 participants (32.8%) experienced a relapse within six months. </w:t>
            </w:r>
          </w:p>
        </w:tc>
      </w:tr>
      <w:tr w:rsidR="00D67FB5" w:rsidRPr="00ED156A" w14:paraId="5F8DE093" w14:textId="77777777" w:rsidTr="005F2495">
        <w:tc>
          <w:tcPr>
            <w:tcW w:w="2694" w:type="dxa"/>
          </w:tcPr>
          <w:p w14:paraId="69A7295C"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Wagner et al. (2018)</w:t>
            </w:r>
          </w:p>
        </w:tc>
        <w:tc>
          <w:tcPr>
            <w:tcW w:w="13325" w:type="dxa"/>
          </w:tcPr>
          <w:p w14:paraId="4CEA9CCA"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5,223/23,229 (22.5%) had a diagnosis of recurrent depression within quarter 1-4</w:t>
            </w:r>
          </w:p>
        </w:tc>
      </w:tr>
      <w:tr w:rsidR="00D67FB5" w:rsidRPr="00ED156A" w14:paraId="52A70580" w14:textId="77777777" w:rsidTr="005F2495">
        <w:tc>
          <w:tcPr>
            <w:tcW w:w="2694" w:type="dxa"/>
          </w:tcPr>
          <w:p w14:paraId="60ED5685"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Yang et al. (2020)</w:t>
            </w:r>
          </w:p>
        </w:tc>
        <w:tc>
          <w:tcPr>
            <w:tcW w:w="13325" w:type="dxa"/>
          </w:tcPr>
          <w:p w14:paraId="0C1D1478"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During the 84-day follow-up period, 35/60 (58.3%) relapsed. </w:t>
            </w:r>
          </w:p>
        </w:tc>
      </w:tr>
      <w:tr w:rsidR="00D67FB5" w:rsidRPr="00ED156A" w14:paraId="403ED309" w14:textId="77777777" w:rsidTr="005F2495">
        <w:tc>
          <w:tcPr>
            <w:tcW w:w="2694" w:type="dxa"/>
          </w:tcPr>
          <w:p w14:paraId="6C8AEB65" w14:textId="77777777" w:rsidR="00D67FB5" w:rsidRPr="00ED156A" w:rsidRDefault="00D67FB5"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rPr>
              <w:t>Zanarini</w:t>
            </w:r>
            <w:proofErr w:type="spellEnd"/>
            <w:r w:rsidRPr="00ED156A">
              <w:rPr>
                <w:rFonts w:ascii="Times New Roman" w:hAnsi="Times New Roman" w:cs="Times New Roman"/>
                <w:sz w:val="24"/>
                <w:szCs w:val="24"/>
              </w:rPr>
              <w:t xml:space="preserve"> et al. (2019)</w:t>
            </w:r>
          </w:p>
        </w:tc>
        <w:tc>
          <w:tcPr>
            <w:tcW w:w="13325" w:type="dxa"/>
          </w:tcPr>
          <w:p w14:paraId="2875711D"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90% of borderline patients with depression at baseline (n=251) and 100% of personality-disordered comparison subjects with depression at baseline n=55) experienced a recurrence of major depression in the two-year follow-up period.</w:t>
            </w:r>
          </w:p>
          <w:p w14:paraId="3C811CE8"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lastRenderedPageBreak/>
              <w:t xml:space="preserve">Overall: 91.8% had recurrence. </w:t>
            </w:r>
          </w:p>
        </w:tc>
      </w:tr>
    </w:tbl>
    <w:p w14:paraId="4532E98B" w14:textId="77777777" w:rsidR="00D67FB5" w:rsidRPr="00ED156A" w:rsidRDefault="00D67FB5" w:rsidP="00D67FB5">
      <w:pPr>
        <w:spacing w:line="360" w:lineRule="auto"/>
        <w:rPr>
          <w:rFonts w:ascii="Times New Roman" w:hAnsi="Times New Roman" w:cs="Times New Roman"/>
          <w:sz w:val="24"/>
          <w:szCs w:val="24"/>
        </w:rPr>
      </w:pPr>
    </w:p>
    <w:p w14:paraId="4D365B34" w14:textId="77777777" w:rsidR="00D67FB5" w:rsidRPr="00ED156A" w:rsidRDefault="00D67FB5" w:rsidP="00D67FB5">
      <w:pPr>
        <w:spacing w:line="360" w:lineRule="auto"/>
        <w:rPr>
          <w:rFonts w:ascii="Times New Roman" w:eastAsia="Times New Roman" w:hAnsi="Times New Roman" w:cs="Times New Roman"/>
          <w:color w:val="000000"/>
          <w:sz w:val="24"/>
          <w:szCs w:val="24"/>
          <w:lang w:val="nl-NL" w:eastAsia="en-GB"/>
        </w:rPr>
      </w:pPr>
      <w:r w:rsidRPr="00ED156A">
        <w:rPr>
          <w:rFonts w:ascii="Times New Roman" w:eastAsia="Times New Roman" w:hAnsi="Times New Roman" w:cs="Times New Roman"/>
          <w:color w:val="000000"/>
          <w:sz w:val="24"/>
          <w:szCs w:val="24"/>
          <w:lang w:val="nl-NL" w:eastAsia="en-GB"/>
        </w:rPr>
        <w:br w:type="page"/>
      </w:r>
    </w:p>
    <w:p w14:paraId="2145C3E7" w14:textId="77777777" w:rsidR="00D67FB5" w:rsidRPr="00ED156A" w:rsidRDefault="00D67FB5" w:rsidP="00D67FB5">
      <w:pPr>
        <w:spacing w:line="360" w:lineRule="auto"/>
        <w:rPr>
          <w:rFonts w:ascii="Times New Roman" w:hAnsi="Times New Roman" w:cs="Times New Roman"/>
          <w:b/>
          <w:bCs/>
          <w:sz w:val="24"/>
          <w:szCs w:val="24"/>
        </w:rPr>
      </w:pPr>
      <w:r w:rsidRPr="00ED156A">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S4</w:t>
      </w:r>
      <w:r w:rsidRPr="00ED156A">
        <w:rPr>
          <w:rFonts w:ascii="Times New Roman" w:hAnsi="Times New Roman" w:cs="Times New Roman"/>
          <w:b/>
          <w:bCs/>
          <w:sz w:val="24"/>
          <w:szCs w:val="24"/>
        </w:rPr>
        <w:t xml:space="preserve">. Findings related to recurrence risk factors </w:t>
      </w:r>
    </w:p>
    <w:tbl>
      <w:tblPr>
        <w:tblStyle w:val="TableGrid"/>
        <w:tblW w:w="16019" w:type="dxa"/>
        <w:tblInd w:w="-998" w:type="dxa"/>
        <w:tblLook w:val="04A0" w:firstRow="1" w:lastRow="0" w:firstColumn="1" w:lastColumn="0" w:noHBand="0" w:noVBand="1"/>
      </w:tblPr>
      <w:tblGrid>
        <w:gridCol w:w="1844"/>
        <w:gridCol w:w="14175"/>
      </w:tblGrid>
      <w:tr w:rsidR="00D67FB5" w:rsidRPr="00ED156A" w14:paraId="7A5A814F" w14:textId="77777777" w:rsidTr="005F2495">
        <w:tc>
          <w:tcPr>
            <w:tcW w:w="1844" w:type="dxa"/>
          </w:tcPr>
          <w:p w14:paraId="0C7940F9" w14:textId="77777777" w:rsidR="00D67FB5" w:rsidRPr="00ED156A" w:rsidRDefault="00D67FB5" w:rsidP="005F2495">
            <w:pPr>
              <w:spacing w:line="360" w:lineRule="auto"/>
              <w:rPr>
                <w:rFonts w:ascii="Times New Roman" w:hAnsi="Times New Roman" w:cs="Times New Roman"/>
                <w:b/>
                <w:bCs/>
                <w:sz w:val="24"/>
                <w:szCs w:val="24"/>
                <w:lang w:val="en-US"/>
              </w:rPr>
            </w:pPr>
            <w:r w:rsidRPr="00ED156A">
              <w:rPr>
                <w:rFonts w:ascii="Times New Roman" w:hAnsi="Times New Roman" w:cs="Times New Roman"/>
                <w:b/>
                <w:bCs/>
                <w:sz w:val="24"/>
                <w:szCs w:val="24"/>
                <w:lang w:val="en-US"/>
              </w:rPr>
              <w:t>Authors (year)</w:t>
            </w:r>
          </w:p>
        </w:tc>
        <w:tc>
          <w:tcPr>
            <w:tcW w:w="14175" w:type="dxa"/>
          </w:tcPr>
          <w:p w14:paraId="22BE51F2" w14:textId="77777777" w:rsidR="00D67FB5" w:rsidRPr="00ED156A" w:rsidRDefault="00D67FB5" w:rsidP="005F2495">
            <w:pPr>
              <w:spacing w:line="360" w:lineRule="auto"/>
              <w:rPr>
                <w:rFonts w:ascii="Times New Roman" w:hAnsi="Times New Roman" w:cs="Times New Roman"/>
                <w:b/>
                <w:bCs/>
                <w:sz w:val="24"/>
                <w:szCs w:val="24"/>
                <w:lang w:val="en-US"/>
              </w:rPr>
            </w:pPr>
            <w:r w:rsidRPr="00ED156A">
              <w:rPr>
                <w:rFonts w:ascii="Times New Roman" w:hAnsi="Times New Roman" w:cs="Times New Roman"/>
                <w:b/>
                <w:bCs/>
                <w:sz w:val="24"/>
                <w:szCs w:val="24"/>
                <w:lang w:val="en-US"/>
              </w:rPr>
              <w:t>Key findings</w:t>
            </w:r>
          </w:p>
        </w:tc>
      </w:tr>
      <w:tr w:rsidR="00D67FB5" w:rsidRPr="00ED156A" w14:paraId="3D33A15C" w14:textId="77777777" w:rsidTr="005F2495">
        <w:tc>
          <w:tcPr>
            <w:tcW w:w="1844" w:type="dxa"/>
          </w:tcPr>
          <w:p w14:paraId="7D1FB014"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Barbuti et al. (2019)</w:t>
            </w:r>
          </w:p>
        </w:tc>
        <w:tc>
          <w:tcPr>
            <w:tcW w:w="14175" w:type="dxa"/>
          </w:tcPr>
          <w:p w14:paraId="43B2DD2F"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High recurrence (2 or more episodes) was associated with family history of BD, history of suicide attempts, diagnosis of bipolarity, manic/hypomanic switches, treatment resistance with antidepressants, comorbid BPD, melancholic features, female gender</w:t>
            </w:r>
          </w:p>
          <w:p w14:paraId="3FDC3FE5" w14:textId="77777777" w:rsidR="00D67FB5" w:rsidRPr="00ED156A" w:rsidRDefault="00D67FB5" w:rsidP="005F2495">
            <w:pPr>
              <w:spacing w:line="360" w:lineRule="auto"/>
              <w:rPr>
                <w:rFonts w:ascii="Times New Roman" w:hAnsi="Times New Roman" w:cs="Times New Roman"/>
                <w:sz w:val="24"/>
                <w:szCs w:val="24"/>
                <w:lang w:val="en-US"/>
              </w:rPr>
            </w:pPr>
          </w:p>
          <w:p w14:paraId="7F8C1CA3"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For those with 2 or more episodes, greater frequency of episodes in the past year was associated with family history of BD, presence of psychotic features, history of suicide attempts, higher rates of manic/hypomanic switches, higher treatment resistance, diagnosis of bipolarity, comorbid disorders (anxiety, eating disorders, alcohol/substance use disorders, ADHD, BPD). Remaining significant in multivariate logistic regression: manic/hypomanic switches, treatment resistance with antidepressants, bipolarity, alcohol/substance use disorders, BPD, ADHD</w:t>
            </w:r>
          </w:p>
        </w:tc>
      </w:tr>
      <w:tr w:rsidR="00D67FB5" w:rsidRPr="00ED156A" w14:paraId="51CE3F61" w14:textId="77777777" w:rsidTr="005F2495">
        <w:tc>
          <w:tcPr>
            <w:tcW w:w="1844" w:type="dxa"/>
          </w:tcPr>
          <w:p w14:paraId="00C221EA" w14:textId="77777777" w:rsidR="00D67FB5" w:rsidRPr="00ED156A" w:rsidRDefault="00D67FB5"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lang w:val="en-US"/>
              </w:rPr>
              <w:t>Benjet</w:t>
            </w:r>
            <w:proofErr w:type="spellEnd"/>
            <w:r w:rsidRPr="00ED156A">
              <w:rPr>
                <w:rFonts w:ascii="Times New Roman" w:hAnsi="Times New Roman" w:cs="Times New Roman"/>
                <w:sz w:val="24"/>
                <w:szCs w:val="24"/>
                <w:lang w:val="en-US"/>
              </w:rPr>
              <w:t xml:space="preserve"> et al. (2020)</w:t>
            </w:r>
          </w:p>
        </w:tc>
        <w:tc>
          <w:tcPr>
            <w:tcW w:w="14175" w:type="dxa"/>
          </w:tcPr>
          <w:p w14:paraId="329BB92B"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Of those with recurrent depression: 81.5% had a parent with depression; 60.3% were male; 61.7% had childhood onset of depression; 63.9% had experienced sexual abuse; 59.9% had experienced domestic violence; 74% had experienced a disaster; 68.4% had experienced an accident or illness; 50.3% had experienced death or trauma of a loved one; 59.2% had witnessed death or trauma of someone else (these are all the ones with more than 50%)</w:t>
            </w:r>
          </w:p>
          <w:p w14:paraId="1B1B7214" w14:textId="77777777" w:rsidR="00D67FB5" w:rsidRPr="00ED156A" w:rsidRDefault="00D67FB5" w:rsidP="005F2495">
            <w:pPr>
              <w:spacing w:line="360" w:lineRule="auto"/>
              <w:rPr>
                <w:rFonts w:ascii="Times New Roman" w:hAnsi="Times New Roman" w:cs="Times New Roman"/>
                <w:sz w:val="24"/>
                <w:szCs w:val="24"/>
                <w:lang w:val="en-US"/>
              </w:rPr>
            </w:pPr>
          </w:p>
          <w:p w14:paraId="06F424E0"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Model 1 (results of 20 bivariate logistic regression equations) showed having a parent with depression, experienced sexual abuse, and experience of illness or accident significantly increased risk of recurrence whilst being female reduced risk of recurrence.</w:t>
            </w:r>
          </w:p>
          <w:p w14:paraId="5F3758A9" w14:textId="77777777" w:rsidR="00D67FB5" w:rsidRPr="00ED156A" w:rsidRDefault="00D67FB5" w:rsidP="005F2495">
            <w:pPr>
              <w:spacing w:line="360" w:lineRule="auto"/>
              <w:rPr>
                <w:rFonts w:ascii="Times New Roman" w:hAnsi="Times New Roman" w:cs="Times New Roman"/>
                <w:sz w:val="24"/>
                <w:szCs w:val="24"/>
                <w:lang w:val="en-US"/>
              </w:rPr>
            </w:pPr>
          </w:p>
          <w:p w14:paraId="69514530"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Adjusted Model 2 (including socio-demographics, childhood onset, parental depression, suicidal </w:t>
            </w:r>
            <w:proofErr w:type="spellStart"/>
            <w:r w:rsidRPr="00ED156A">
              <w:rPr>
                <w:rFonts w:ascii="Times New Roman" w:hAnsi="Times New Roman" w:cs="Times New Roman"/>
                <w:sz w:val="24"/>
                <w:szCs w:val="24"/>
                <w:lang w:val="en-US"/>
              </w:rPr>
              <w:t>behaviour</w:t>
            </w:r>
            <w:proofErr w:type="spellEnd"/>
            <w:r w:rsidRPr="00ED156A">
              <w:rPr>
                <w:rFonts w:ascii="Times New Roman" w:hAnsi="Times New Roman" w:cs="Times New Roman"/>
                <w:sz w:val="24"/>
                <w:szCs w:val="24"/>
                <w:lang w:val="en-US"/>
              </w:rPr>
              <w:t xml:space="preserve"> and comorbid disorders or trauma) found having a parent with depression was the only risk factor for recurrence. </w:t>
            </w:r>
          </w:p>
          <w:p w14:paraId="6DD83945" w14:textId="77777777" w:rsidR="00D67FB5" w:rsidRPr="00ED156A" w:rsidRDefault="00D67FB5" w:rsidP="005F2495">
            <w:pPr>
              <w:spacing w:line="360" w:lineRule="auto"/>
              <w:rPr>
                <w:rFonts w:ascii="Times New Roman" w:hAnsi="Times New Roman" w:cs="Times New Roman"/>
                <w:sz w:val="24"/>
                <w:szCs w:val="24"/>
                <w:lang w:val="en-US"/>
              </w:rPr>
            </w:pPr>
          </w:p>
          <w:p w14:paraId="1B1A0F6B"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lastRenderedPageBreak/>
              <w:t>Model 3 (multivariate logistic regression) found having a parent with depression, childhood onset of depression (rather than adolescence), and having experienced domestic violence predicted recurrence. Sexual abuse was attenuated and only marginally significant.</w:t>
            </w:r>
          </w:p>
        </w:tc>
      </w:tr>
      <w:tr w:rsidR="00D67FB5" w:rsidRPr="00ED156A" w14:paraId="3F437E6B" w14:textId="77777777" w:rsidTr="005F2495">
        <w:tc>
          <w:tcPr>
            <w:tcW w:w="1844" w:type="dxa"/>
          </w:tcPr>
          <w:p w14:paraId="70625F53"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lastRenderedPageBreak/>
              <w:t xml:space="preserve">De </w:t>
            </w:r>
            <w:proofErr w:type="spellStart"/>
            <w:r w:rsidRPr="00ED156A">
              <w:rPr>
                <w:rFonts w:ascii="Times New Roman" w:hAnsi="Times New Roman" w:cs="Times New Roman"/>
                <w:sz w:val="24"/>
                <w:szCs w:val="24"/>
                <w:lang w:val="en-US"/>
              </w:rPr>
              <w:t>Jonge</w:t>
            </w:r>
            <w:proofErr w:type="spellEnd"/>
            <w:r w:rsidRPr="00ED156A">
              <w:rPr>
                <w:rFonts w:ascii="Times New Roman" w:hAnsi="Times New Roman" w:cs="Times New Roman"/>
                <w:sz w:val="24"/>
                <w:szCs w:val="24"/>
                <w:lang w:val="en-US"/>
              </w:rPr>
              <w:t xml:space="preserve"> et al. (2018)</w:t>
            </w:r>
          </w:p>
        </w:tc>
        <w:tc>
          <w:tcPr>
            <w:tcW w:w="14175" w:type="dxa"/>
          </w:tcPr>
          <w:p w14:paraId="08EFF35C"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Significant positive correlation between number of depressive episodes and interpersonal problems; frequency and intensity of daily stress; and sense of mastery. </w:t>
            </w:r>
          </w:p>
          <w:p w14:paraId="7857BBCD"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In a linear regression, having more interpersonal problems was most strongly associated with more previous episodes. After controlling for residual symptoms, age of onset and time since onset, interpersonal problems remained most strongly associated. </w:t>
            </w:r>
          </w:p>
          <w:p w14:paraId="58CCAE31"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Deeper exploration of the sub-scales of the interpersonal problems measure revealed that ‘domineering/controlling’ (</w:t>
            </w:r>
            <w:proofErr w:type="gramStart"/>
            <w:r w:rsidRPr="00ED156A">
              <w:rPr>
                <w:rFonts w:ascii="Times New Roman" w:hAnsi="Times New Roman" w:cs="Times New Roman"/>
                <w:sz w:val="24"/>
                <w:szCs w:val="24"/>
                <w:lang w:val="en-US"/>
              </w:rPr>
              <w:t>i.e.</w:t>
            </w:r>
            <w:proofErr w:type="gramEnd"/>
            <w:r w:rsidRPr="00ED156A">
              <w:rPr>
                <w:rFonts w:ascii="Times New Roman" w:hAnsi="Times New Roman" w:cs="Times New Roman"/>
                <w:sz w:val="24"/>
                <w:szCs w:val="24"/>
                <w:lang w:val="en-US"/>
              </w:rPr>
              <w:t xml:space="preserve"> difficulty relinquishing control), ‘vindictive/</w:t>
            </w:r>
            <w:proofErr w:type="spellStart"/>
            <w:r w:rsidRPr="00ED156A">
              <w:rPr>
                <w:rFonts w:ascii="Times New Roman" w:hAnsi="Times New Roman" w:cs="Times New Roman"/>
                <w:sz w:val="24"/>
                <w:szCs w:val="24"/>
                <w:lang w:val="en-US"/>
              </w:rPr>
              <w:t>self-centred</w:t>
            </w:r>
            <w:proofErr w:type="spellEnd"/>
            <w:r w:rsidRPr="00ED156A">
              <w:rPr>
                <w:rFonts w:ascii="Times New Roman" w:hAnsi="Times New Roman" w:cs="Times New Roman"/>
                <w:sz w:val="24"/>
                <w:szCs w:val="24"/>
                <w:lang w:val="en-US"/>
              </w:rPr>
              <w:t>’ (hostile dominance and tendency to fight with others), ‘socially inhibited’ (tendency to feel anxious and avoidant in others’ presence) and ‘self-sacrificing’ (tendency to affiliate excessively) were most strongly associated with number of previous episodes. Those with more previous episodes scored highly on domineering/controlling, socially inhibited and self-sacrificing and low on vindictive/</w:t>
            </w:r>
            <w:proofErr w:type="spellStart"/>
            <w:r w:rsidRPr="00ED156A">
              <w:rPr>
                <w:rFonts w:ascii="Times New Roman" w:hAnsi="Times New Roman" w:cs="Times New Roman"/>
                <w:sz w:val="24"/>
                <w:szCs w:val="24"/>
                <w:lang w:val="en-US"/>
              </w:rPr>
              <w:t>self-centred</w:t>
            </w:r>
            <w:proofErr w:type="spellEnd"/>
            <w:r w:rsidRPr="00ED156A">
              <w:rPr>
                <w:rFonts w:ascii="Times New Roman" w:hAnsi="Times New Roman" w:cs="Times New Roman"/>
                <w:sz w:val="24"/>
                <w:szCs w:val="24"/>
                <w:lang w:val="en-US"/>
              </w:rPr>
              <w:t xml:space="preserve">. </w:t>
            </w:r>
          </w:p>
        </w:tc>
      </w:tr>
      <w:tr w:rsidR="00D67FB5" w:rsidRPr="00ED156A" w14:paraId="42419F72" w14:textId="77777777" w:rsidTr="005F2495">
        <w:tc>
          <w:tcPr>
            <w:tcW w:w="1844" w:type="dxa"/>
          </w:tcPr>
          <w:p w14:paraId="1B55A8F0"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Elgersma et al. (2019)</w:t>
            </w:r>
          </w:p>
        </w:tc>
        <w:tc>
          <w:tcPr>
            <w:tcW w:w="14175" w:type="dxa"/>
          </w:tcPr>
          <w:p w14:paraId="403EBF67"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Attentional bias for positive or negative stimuli were not associated with recurrence of depression. </w:t>
            </w:r>
          </w:p>
        </w:tc>
      </w:tr>
      <w:tr w:rsidR="00D67FB5" w:rsidRPr="00ED156A" w14:paraId="1010A290" w14:textId="77777777" w:rsidTr="005F2495">
        <w:tc>
          <w:tcPr>
            <w:tcW w:w="1844" w:type="dxa"/>
          </w:tcPr>
          <w:p w14:paraId="6A8EA7C3"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Freeman et al. (2018)</w:t>
            </w:r>
          </w:p>
        </w:tc>
        <w:tc>
          <w:tcPr>
            <w:tcW w:w="14175" w:type="dxa"/>
          </w:tcPr>
          <w:p w14:paraId="7DC6CB63"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Not predictive of relapse: past number of episodes, lifetime duration of time previously depressed, history of </w:t>
            </w:r>
            <w:proofErr w:type="spellStart"/>
            <w:r w:rsidRPr="00ED156A">
              <w:rPr>
                <w:rFonts w:ascii="Times New Roman" w:hAnsi="Times New Roman" w:cs="Times New Roman"/>
                <w:sz w:val="24"/>
                <w:szCs w:val="24"/>
                <w:lang w:val="en-US"/>
              </w:rPr>
              <w:t>hospitalisations</w:t>
            </w:r>
            <w:proofErr w:type="spellEnd"/>
            <w:r w:rsidRPr="00ED156A">
              <w:rPr>
                <w:rFonts w:ascii="Times New Roman" w:hAnsi="Times New Roman" w:cs="Times New Roman"/>
                <w:sz w:val="24"/>
                <w:szCs w:val="24"/>
                <w:lang w:val="en-US"/>
              </w:rPr>
              <w:t xml:space="preserve">, history of suicide attempts, quality of relationships, current therapy. </w:t>
            </w:r>
          </w:p>
          <w:p w14:paraId="4E759637"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Perceived stress was associated with depressive relapse. </w:t>
            </w:r>
          </w:p>
        </w:tc>
      </w:tr>
      <w:tr w:rsidR="00D67FB5" w:rsidRPr="00ED156A" w14:paraId="204F7B2D" w14:textId="77777777" w:rsidTr="005F2495">
        <w:tc>
          <w:tcPr>
            <w:tcW w:w="1844" w:type="dxa"/>
          </w:tcPr>
          <w:p w14:paraId="693914F9"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Gloger et al. (2021)</w:t>
            </w:r>
          </w:p>
        </w:tc>
        <w:tc>
          <w:tcPr>
            <w:tcW w:w="14175" w:type="dxa"/>
          </w:tcPr>
          <w:p w14:paraId="4DE68A2B"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Exposure to at least one adverse childhood experience increased the likelihood of having recurrent depression by 57%. </w:t>
            </w:r>
          </w:p>
        </w:tc>
      </w:tr>
      <w:tr w:rsidR="00D67FB5" w:rsidRPr="00ED156A" w14:paraId="3EA7F509" w14:textId="77777777" w:rsidTr="005F2495">
        <w:tc>
          <w:tcPr>
            <w:tcW w:w="1844" w:type="dxa"/>
          </w:tcPr>
          <w:p w14:paraId="243521E0" w14:textId="77777777" w:rsidR="00D67FB5" w:rsidRPr="00ED156A" w:rsidRDefault="00D67FB5"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lang w:val="en-US"/>
              </w:rPr>
              <w:t>Halonen</w:t>
            </w:r>
            <w:proofErr w:type="spellEnd"/>
            <w:r w:rsidRPr="00ED156A">
              <w:rPr>
                <w:rFonts w:ascii="Times New Roman" w:hAnsi="Times New Roman" w:cs="Times New Roman"/>
                <w:sz w:val="24"/>
                <w:szCs w:val="24"/>
                <w:lang w:val="en-US"/>
              </w:rPr>
              <w:t xml:space="preserve"> et al. (2021)</w:t>
            </w:r>
          </w:p>
        </w:tc>
        <w:tc>
          <w:tcPr>
            <w:tcW w:w="14175" w:type="dxa"/>
          </w:tcPr>
          <w:p w14:paraId="25614E84"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Whilst family adversities were generally emphasized in those suffering from recurrent depression, the only statistical difference in family-related factors was in the family size of female participants: a greater proportion of females with recurrent depression came from large families (5+ children) than those with non-recurrent depression (23% v 7%). </w:t>
            </w:r>
          </w:p>
          <w:p w14:paraId="210DE403"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lastRenderedPageBreak/>
              <w:t xml:space="preserve">Males reporting a distant relationship with their mother were more likely to have recurrent depression, whilst females with fathers or siblings with psychiatric problems were more likely to have recurrent depression. </w:t>
            </w:r>
          </w:p>
          <w:p w14:paraId="2CF11A90"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No difference between recurrent and non-recurrent groups regarding psychiatric disorders (such as affective, substance use, conduct disorders) during adolescence. </w:t>
            </w:r>
          </w:p>
          <w:p w14:paraId="3894C720"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In logistic regression, increased likelihood for recurrent depression was associated with distant relationship with mothers for both males and females; psychiatric problems in fathers or siblings for females; and large family size (5+ children) for females. </w:t>
            </w:r>
          </w:p>
        </w:tc>
      </w:tr>
      <w:tr w:rsidR="00D67FB5" w:rsidRPr="00ED156A" w14:paraId="5296024B" w14:textId="77777777" w:rsidTr="005F2495">
        <w:tc>
          <w:tcPr>
            <w:tcW w:w="1844" w:type="dxa"/>
          </w:tcPr>
          <w:p w14:paraId="4C702F03"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lastRenderedPageBreak/>
              <w:t>Jannat-</w:t>
            </w:r>
            <w:proofErr w:type="spellStart"/>
            <w:r w:rsidRPr="00ED156A">
              <w:rPr>
                <w:rFonts w:ascii="Times New Roman" w:hAnsi="Times New Roman" w:cs="Times New Roman"/>
                <w:sz w:val="24"/>
                <w:szCs w:val="24"/>
              </w:rPr>
              <w:t>Khah</w:t>
            </w:r>
            <w:proofErr w:type="spellEnd"/>
            <w:r w:rsidRPr="00ED156A">
              <w:rPr>
                <w:rFonts w:ascii="Times New Roman" w:hAnsi="Times New Roman" w:cs="Times New Roman"/>
                <w:sz w:val="24"/>
                <w:szCs w:val="24"/>
              </w:rPr>
              <w:t xml:space="preserve"> et al. (2020)</w:t>
            </w:r>
          </w:p>
        </w:tc>
        <w:tc>
          <w:tcPr>
            <w:tcW w:w="14175" w:type="dxa"/>
          </w:tcPr>
          <w:p w14:paraId="06C870A4"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Recurring depression was more common among low-income (19.2%) and black (17.0%) participants. </w:t>
            </w:r>
          </w:p>
        </w:tc>
      </w:tr>
      <w:tr w:rsidR="00D67FB5" w:rsidRPr="00ED156A" w14:paraId="590F28EE" w14:textId="77777777" w:rsidTr="005F2495">
        <w:tc>
          <w:tcPr>
            <w:tcW w:w="1844" w:type="dxa"/>
          </w:tcPr>
          <w:p w14:paraId="5FE2D25B" w14:textId="77777777" w:rsidR="00D67FB5" w:rsidRPr="00ED156A" w:rsidRDefault="00D67FB5"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rPr>
              <w:t>Jeuring</w:t>
            </w:r>
            <w:proofErr w:type="spellEnd"/>
            <w:r w:rsidRPr="00ED156A">
              <w:rPr>
                <w:rFonts w:ascii="Times New Roman" w:hAnsi="Times New Roman" w:cs="Times New Roman"/>
                <w:sz w:val="24"/>
                <w:szCs w:val="24"/>
              </w:rPr>
              <w:t xml:space="preserve"> et al. (2018)</w:t>
            </w:r>
          </w:p>
        </w:tc>
        <w:tc>
          <w:tcPr>
            <w:tcW w:w="14175" w:type="dxa"/>
          </w:tcPr>
          <w:p w14:paraId="1BACE878"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Of the 378 participants depressed at baseline, 177 (46.8%) were lost to follow-up, 60 (15.9%) had recurrent or chronic depression, 93 (24.6%) had partial remission, 48 (12.7%) had full remission at six-year follow-up.</w:t>
            </w:r>
          </w:p>
          <w:p w14:paraId="535EFD4A"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Of the 201 depressed patients who took part for the full six years, 60 (29.9%) had an </w:t>
            </w:r>
            <w:proofErr w:type="spellStart"/>
            <w:r w:rsidRPr="00ED156A">
              <w:rPr>
                <w:rFonts w:ascii="Times New Roman" w:hAnsi="Times New Roman" w:cs="Times New Roman"/>
                <w:sz w:val="24"/>
                <w:szCs w:val="24"/>
                <w:lang w:val="en-US"/>
              </w:rPr>
              <w:t>unfavourable</w:t>
            </w:r>
            <w:proofErr w:type="spellEnd"/>
            <w:r w:rsidRPr="00ED156A">
              <w:rPr>
                <w:rFonts w:ascii="Times New Roman" w:hAnsi="Times New Roman" w:cs="Times New Roman"/>
                <w:sz w:val="24"/>
                <w:szCs w:val="24"/>
                <w:lang w:val="en-US"/>
              </w:rPr>
              <w:t xml:space="preserve"> course type: 8% recurrent, 21.9% chronic; 46.3% had partial remission and 23.9% had full remission.</w:t>
            </w:r>
          </w:p>
          <w:p w14:paraId="7E27D479"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Compared to full remission, bivariate analyses showed that those with </w:t>
            </w:r>
            <w:proofErr w:type="spellStart"/>
            <w:r w:rsidRPr="00ED156A">
              <w:rPr>
                <w:rFonts w:ascii="Times New Roman" w:hAnsi="Times New Roman" w:cs="Times New Roman"/>
                <w:sz w:val="24"/>
                <w:szCs w:val="24"/>
                <w:lang w:val="en-US"/>
              </w:rPr>
              <w:t>unfavourable</w:t>
            </w:r>
            <w:proofErr w:type="spellEnd"/>
            <w:r w:rsidRPr="00ED156A">
              <w:rPr>
                <w:rFonts w:ascii="Times New Roman" w:hAnsi="Times New Roman" w:cs="Times New Roman"/>
                <w:sz w:val="24"/>
                <w:szCs w:val="24"/>
                <w:lang w:val="en-US"/>
              </w:rPr>
              <w:t xml:space="preserve"> course of depression were more likely to have younger age of onset; higher severity of depression; higher severity of anxiety; greater apathy; chronic diseases; functional limitations; chronic pain; neuroticism; and loneliness. </w:t>
            </w:r>
          </w:p>
        </w:tc>
      </w:tr>
      <w:tr w:rsidR="00D67FB5" w:rsidRPr="00ED156A" w14:paraId="431B99E7" w14:textId="77777777" w:rsidTr="005F2495">
        <w:tc>
          <w:tcPr>
            <w:tcW w:w="1844" w:type="dxa"/>
          </w:tcPr>
          <w:p w14:paraId="35A21FC8"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Lye et al. (2020)</w:t>
            </w:r>
          </w:p>
        </w:tc>
        <w:tc>
          <w:tcPr>
            <w:tcW w:w="14175" w:type="dxa"/>
          </w:tcPr>
          <w:p w14:paraId="27AA1606"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Recurrence was predicted by: Severity of first episode, social avoidance. Individuals with severe MDD at first episode had five and a half times higher chance of developing recurrence compared with mild or moderate MDD. Those with higher score of social avoidance had three and a half times higher chance of recurrence. </w:t>
            </w:r>
          </w:p>
        </w:tc>
      </w:tr>
      <w:tr w:rsidR="00D67FB5" w:rsidRPr="00ED156A" w14:paraId="769BD7F6" w14:textId="77777777" w:rsidTr="005F2495">
        <w:tc>
          <w:tcPr>
            <w:tcW w:w="1844" w:type="dxa"/>
          </w:tcPr>
          <w:p w14:paraId="14EC15D4" w14:textId="77777777" w:rsidR="00D67FB5" w:rsidRPr="00ED156A" w:rsidRDefault="00D67FB5"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t>Musliner</w:t>
            </w:r>
            <w:proofErr w:type="spellEnd"/>
            <w:r w:rsidRPr="00ED156A">
              <w:rPr>
                <w:rFonts w:ascii="Times New Roman" w:hAnsi="Times New Roman" w:cs="Times New Roman"/>
                <w:sz w:val="24"/>
                <w:szCs w:val="24"/>
              </w:rPr>
              <w:t xml:space="preserve"> et al. (2021)</w:t>
            </w:r>
          </w:p>
        </w:tc>
        <w:tc>
          <w:tcPr>
            <w:tcW w:w="14175" w:type="dxa"/>
          </w:tcPr>
          <w:p w14:paraId="400E1080"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Significant association between polygenic risk score for major depression and recurrent episodes, but not polygenic risk scores for other disorders. </w:t>
            </w:r>
          </w:p>
        </w:tc>
      </w:tr>
      <w:tr w:rsidR="00D67FB5" w:rsidRPr="00ED156A" w14:paraId="3B76BC28" w14:textId="77777777" w:rsidTr="005F2495">
        <w:tc>
          <w:tcPr>
            <w:tcW w:w="1844" w:type="dxa"/>
          </w:tcPr>
          <w:p w14:paraId="53B8F3EC"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Newman et al. (2019)</w:t>
            </w:r>
          </w:p>
        </w:tc>
        <w:tc>
          <w:tcPr>
            <w:tcW w:w="14175" w:type="dxa"/>
          </w:tcPr>
          <w:p w14:paraId="797292CD"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Relapsed and non-relapsed participants did not differ on any demographic variable. </w:t>
            </w:r>
          </w:p>
        </w:tc>
      </w:tr>
      <w:tr w:rsidR="00D67FB5" w:rsidRPr="00ED156A" w14:paraId="69EDC449" w14:textId="77777777" w:rsidTr="005F2495">
        <w:tc>
          <w:tcPr>
            <w:tcW w:w="1844" w:type="dxa"/>
          </w:tcPr>
          <w:p w14:paraId="551D23C5" w14:textId="77777777" w:rsidR="00D67FB5" w:rsidRPr="00ED156A" w:rsidRDefault="00D67FB5"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t>Nobbelin</w:t>
            </w:r>
            <w:proofErr w:type="spellEnd"/>
            <w:r w:rsidRPr="00ED156A">
              <w:rPr>
                <w:rFonts w:ascii="Times New Roman" w:hAnsi="Times New Roman" w:cs="Times New Roman"/>
                <w:sz w:val="24"/>
                <w:szCs w:val="24"/>
              </w:rPr>
              <w:t xml:space="preserve"> et al., (2018)</w:t>
            </w:r>
          </w:p>
        </w:tc>
        <w:tc>
          <w:tcPr>
            <w:tcW w:w="14175" w:type="dxa"/>
          </w:tcPr>
          <w:p w14:paraId="59F22338"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Melancholia at onset had the greatest impact on the odds of suffering depression a second time. </w:t>
            </w:r>
          </w:p>
          <w:p w14:paraId="393DEF57"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Degree of impairment at onset was not a risk factor for recurrence, nor was heredity. </w:t>
            </w:r>
          </w:p>
          <w:p w14:paraId="1813A7D6"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Odds of recurrence seem to decrease with age of onset, but a significant decrease is only seen when comparing 10-35 age of onset to 66-90 age of onset. </w:t>
            </w:r>
          </w:p>
          <w:p w14:paraId="451A7E4E"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Gender, marital and socioeconomic status did not affect recurrence. </w:t>
            </w:r>
          </w:p>
          <w:p w14:paraId="246C4DB4"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The only personality factor predicting recurrence was nervous/tense. </w:t>
            </w:r>
          </w:p>
        </w:tc>
      </w:tr>
      <w:tr w:rsidR="00D67FB5" w:rsidRPr="00ED156A" w14:paraId="6A681B42" w14:textId="77777777" w:rsidTr="005F2495">
        <w:tc>
          <w:tcPr>
            <w:tcW w:w="1844" w:type="dxa"/>
          </w:tcPr>
          <w:p w14:paraId="619012D0" w14:textId="77777777" w:rsidR="00D67FB5" w:rsidRPr="00ED156A" w:rsidRDefault="00D67FB5"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rPr>
              <w:t>Nuggerud-Galeas</w:t>
            </w:r>
            <w:proofErr w:type="spellEnd"/>
            <w:r w:rsidRPr="00ED156A">
              <w:rPr>
                <w:rFonts w:ascii="Times New Roman" w:hAnsi="Times New Roman" w:cs="Times New Roman"/>
                <w:sz w:val="24"/>
                <w:szCs w:val="24"/>
              </w:rPr>
              <w:t xml:space="preserve"> et al. (2020)</w:t>
            </w:r>
          </w:p>
        </w:tc>
        <w:tc>
          <w:tcPr>
            <w:tcW w:w="14175" w:type="dxa"/>
          </w:tcPr>
          <w:p w14:paraId="6F2E9DC9"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The only differences between the recurrent depression and single-episode depression groups </w:t>
            </w:r>
            <w:proofErr w:type="gramStart"/>
            <w:r w:rsidRPr="00ED156A">
              <w:rPr>
                <w:rFonts w:ascii="Times New Roman" w:hAnsi="Times New Roman" w:cs="Times New Roman"/>
                <w:sz w:val="24"/>
                <w:szCs w:val="24"/>
                <w:lang w:val="en-US"/>
              </w:rPr>
              <w:t>were:</w:t>
            </w:r>
            <w:proofErr w:type="gramEnd"/>
            <w:r w:rsidRPr="00ED156A">
              <w:rPr>
                <w:rFonts w:ascii="Times New Roman" w:hAnsi="Times New Roman" w:cs="Times New Roman"/>
                <w:sz w:val="24"/>
                <w:szCs w:val="24"/>
                <w:lang w:val="en-US"/>
              </w:rPr>
              <w:t xml:space="preserve"> average age of those experiencing recurrent episode(s) is significantly older (5 years), and a higher percentage of those with recurrent episode(s) have a history of anxiety disorders. In a logistic multivariate analysis, the variables that obtained a significant value were age and having suffered from sexual abuse during childhood. </w:t>
            </w:r>
          </w:p>
        </w:tc>
      </w:tr>
      <w:tr w:rsidR="00D67FB5" w:rsidRPr="00ED156A" w14:paraId="3E982D6B" w14:textId="77777777" w:rsidTr="005F2495">
        <w:tc>
          <w:tcPr>
            <w:tcW w:w="1844" w:type="dxa"/>
          </w:tcPr>
          <w:p w14:paraId="36EA9AE7" w14:textId="77777777" w:rsidR="00D67FB5" w:rsidRPr="00ED156A" w:rsidRDefault="00D67FB5"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t>Obinata</w:t>
            </w:r>
            <w:proofErr w:type="spellEnd"/>
            <w:r w:rsidRPr="00ED156A">
              <w:rPr>
                <w:rFonts w:ascii="Times New Roman" w:hAnsi="Times New Roman" w:cs="Times New Roman"/>
                <w:sz w:val="24"/>
                <w:szCs w:val="24"/>
              </w:rPr>
              <w:t xml:space="preserve"> et al. (2021)</w:t>
            </w:r>
          </w:p>
        </w:tc>
        <w:tc>
          <w:tcPr>
            <w:tcW w:w="14175" w:type="dxa"/>
          </w:tcPr>
          <w:p w14:paraId="61456748"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Being a carrier of APOE4 was significantly associated with recurrence of depression. Age, </w:t>
            </w:r>
            <w:proofErr w:type="gramStart"/>
            <w:r w:rsidRPr="00ED156A">
              <w:rPr>
                <w:rFonts w:ascii="Times New Roman" w:hAnsi="Times New Roman" w:cs="Times New Roman"/>
                <w:sz w:val="24"/>
                <w:szCs w:val="24"/>
                <w:lang w:val="en-US"/>
              </w:rPr>
              <w:t>sex</w:t>
            </w:r>
            <w:proofErr w:type="gramEnd"/>
            <w:r w:rsidRPr="00ED156A">
              <w:rPr>
                <w:rFonts w:ascii="Times New Roman" w:hAnsi="Times New Roman" w:cs="Times New Roman"/>
                <w:sz w:val="24"/>
                <w:szCs w:val="24"/>
                <w:lang w:val="en-US"/>
              </w:rPr>
              <w:t xml:space="preserve"> and number of episodes were not associated with recurrence of depression.</w:t>
            </w:r>
          </w:p>
        </w:tc>
      </w:tr>
      <w:tr w:rsidR="00D67FB5" w:rsidRPr="00ED156A" w14:paraId="32F99591" w14:textId="77777777" w:rsidTr="005F2495">
        <w:tc>
          <w:tcPr>
            <w:tcW w:w="1844" w:type="dxa"/>
          </w:tcPr>
          <w:p w14:paraId="6F1329CD"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Opel et al. (2019)</w:t>
            </w:r>
          </w:p>
        </w:tc>
        <w:tc>
          <w:tcPr>
            <w:tcW w:w="14175" w:type="dxa"/>
          </w:tcPr>
          <w:p w14:paraId="4D3785B3"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Childhood maltreatment was associated with increased depression relapse. </w:t>
            </w:r>
          </w:p>
          <w:p w14:paraId="6610F0FA"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Significant association between depression relapse and baseline cortical surface area of the right insular cortex. </w:t>
            </w:r>
          </w:p>
        </w:tc>
      </w:tr>
      <w:tr w:rsidR="00D67FB5" w:rsidRPr="00ED156A" w14:paraId="51072F79" w14:textId="77777777" w:rsidTr="005F2495">
        <w:tc>
          <w:tcPr>
            <w:tcW w:w="1844" w:type="dxa"/>
          </w:tcPr>
          <w:p w14:paraId="2BEBA0FC"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Recchia et al. (2020)</w:t>
            </w:r>
          </w:p>
        </w:tc>
        <w:tc>
          <w:tcPr>
            <w:tcW w:w="14175" w:type="dxa"/>
          </w:tcPr>
          <w:p w14:paraId="098BBE10"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Healthier diet quality was associated with lower odds of recurrent depression. </w:t>
            </w:r>
          </w:p>
        </w:tc>
      </w:tr>
      <w:tr w:rsidR="00D67FB5" w:rsidRPr="00ED156A" w14:paraId="062453D9" w14:textId="77777777" w:rsidTr="005F2495">
        <w:tc>
          <w:tcPr>
            <w:tcW w:w="1844" w:type="dxa"/>
          </w:tcPr>
          <w:p w14:paraId="1BB50F9F"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Reddy et al. (2022)</w:t>
            </w:r>
          </w:p>
        </w:tc>
        <w:tc>
          <w:tcPr>
            <w:tcW w:w="14175" w:type="dxa"/>
          </w:tcPr>
          <w:p w14:paraId="0C25185D"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Those with comorbid obstructive sleep apnea were significantly more likely to have recurrent depression.</w:t>
            </w:r>
          </w:p>
        </w:tc>
      </w:tr>
      <w:tr w:rsidR="00D67FB5" w:rsidRPr="00ED156A" w14:paraId="06677BDF" w14:textId="77777777" w:rsidTr="005F2495">
        <w:tc>
          <w:tcPr>
            <w:tcW w:w="1844" w:type="dxa"/>
          </w:tcPr>
          <w:p w14:paraId="3AB157D1"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lastRenderedPageBreak/>
              <w:t>Serafini et al. (2019)</w:t>
            </w:r>
          </w:p>
        </w:tc>
        <w:tc>
          <w:tcPr>
            <w:tcW w:w="14175" w:type="dxa"/>
          </w:tcPr>
          <w:p w14:paraId="4082B84E"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Recurrent episodes predicted </w:t>
            </w:r>
            <w:proofErr w:type="gramStart"/>
            <w:r w:rsidRPr="00ED156A">
              <w:rPr>
                <w:rFonts w:ascii="Times New Roman" w:hAnsi="Times New Roman" w:cs="Times New Roman"/>
                <w:sz w:val="24"/>
                <w:szCs w:val="24"/>
                <w:lang w:val="en-US"/>
              </w:rPr>
              <w:t>by:</w:t>
            </w:r>
            <w:proofErr w:type="gramEnd"/>
            <w:r w:rsidRPr="00ED156A">
              <w:rPr>
                <w:rFonts w:ascii="Times New Roman" w:hAnsi="Times New Roman" w:cs="Times New Roman"/>
                <w:sz w:val="24"/>
                <w:szCs w:val="24"/>
                <w:lang w:val="en-US"/>
              </w:rPr>
              <w:t xml:space="preserve"> being female; working status; history of psychiatric disorders in the family; depressive illness features at first episode as opposed to anxious features at first episode; current psychotic symptoms; melancholic characteristics; seasonality; older age; younger age at first treatment; longer duration of untreated illness; comorbid cardiological and endocrinological conditions.</w:t>
            </w:r>
          </w:p>
          <w:p w14:paraId="71E557D5"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In a multivariate analysis, predictors of recurrence were older age, younger age at first treatment, being treated with previous psychoactive treatments, longer duration of untreated illness.</w:t>
            </w:r>
          </w:p>
        </w:tc>
      </w:tr>
      <w:tr w:rsidR="00D67FB5" w:rsidRPr="00ED156A" w14:paraId="6346D393" w14:textId="77777777" w:rsidTr="005F2495">
        <w:tc>
          <w:tcPr>
            <w:tcW w:w="1844" w:type="dxa"/>
          </w:tcPr>
          <w:p w14:paraId="4B07C64B" w14:textId="77777777" w:rsidR="00D67FB5" w:rsidRPr="00ED156A" w:rsidRDefault="00D67FB5"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t>Spinhoven</w:t>
            </w:r>
            <w:proofErr w:type="spellEnd"/>
            <w:r w:rsidRPr="00ED156A">
              <w:rPr>
                <w:rFonts w:ascii="Times New Roman" w:hAnsi="Times New Roman" w:cs="Times New Roman"/>
                <w:sz w:val="24"/>
                <w:szCs w:val="24"/>
              </w:rPr>
              <w:t xml:space="preserve"> et al. (2018)</w:t>
            </w:r>
          </w:p>
        </w:tc>
        <w:tc>
          <w:tcPr>
            <w:tcW w:w="14175" w:type="dxa"/>
          </w:tcPr>
          <w:p w14:paraId="044F1280"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Predictors of relapse of depression and anxiety: Perseverative thinking, </w:t>
            </w:r>
            <w:proofErr w:type="gramStart"/>
            <w:r w:rsidRPr="00ED156A">
              <w:rPr>
                <w:rFonts w:ascii="Times New Roman" w:hAnsi="Times New Roman" w:cs="Times New Roman"/>
                <w:sz w:val="24"/>
                <w:szCs w:val="24"/>
                <w:lang w:val="en-US"/>
              </w:rPr>
              <w:t>rumination</w:t>
            </w:r>
            <w:proofErr w:type="gramEnd"/>
            <w:r w:rsidRPr="00ED156A">
              <w:rPr>
                <w:rFonts w:ascii="Times New Roman" w:hAnsi="Times New Roman" w:cs="Times New Roman"/>
                <w:sz w:val="24"/>
                <w:szCs w:val="24"/>
                <w:lang w:val="en-US"/>
              </w:rPr>
              <w:t xml:space="preserve"> and worry.</w:t>
            </w:r>
          </w:p>
          <w:p w14:paraId="68857783"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After controlling for demographic and clinical variables, rumination remained predictive of relapse of both depressive and anxiety disorders; worry remained predictive for relapse of anxiety. General ‘repetitive negative thinking’ factor remained predictive of relapse of anxiety. </w:t>
            </w:r>
          </w:p>
        </w:tc>
      </w:tr>
      <w:tr w:rsidR="00D67FB5" w:rsidRPr="00ED156A" w14:paraId="0CB49AA1" w14:textId="77777777" w:rsidTr="005F2495">
        <w:tc>
          <w:tcPr>
            <w:tcW w:w="1844" w:type="dxa"/>
          </w:tcPr>
          <w:p w14:paraId="2F2F9954"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Sun et al. (2018)</w:t>
            </w:r>
          </w:p>
        </w:tc>
        <w:tc>
          <w:tcPr>
            <w:tcW w:w="14175" w:type="dxa"/>
          </w:tcPr>
          <w:p w14:paraId="5019E6B5"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Individuals with short sleep durations (&lt;5 hours and 5-6hours) had higher recurrent risk of depressive symptoms. Females with sleep duration &lt;5 hours experienced a higher risk compared to normal </w:t>
            </w:r>
            <w:proofErr w:type="gramStart"/>
            <w:r w:rsidRPr="00ED156A">
              <w:rPr>
                <w:rFonts w:ascii="Times New Roman" w:hAnsi="Times New Roman" w:cs="Times New Roman"/>
                <w:sz w:val="24"/>
                <w:szCs w:val="24"/>
                <w:lang w:val="en-US"/>
              </w:rPr>
              <w:t>sleepers;</w:t>
            </w:r>
            <w:proofErr w:type="gramEnd"/>
            <w:r w:rsidRPr="00ED156A">
              <w:rPr>
                <w:rFonts w:ascii="Times New Roman" w:hAnsi="Times New Roman" w:cs="Times New Roman"/>
                <w:sz w:val="24"/>
                <w:szCs w:val="24"/>
                <w:lang w:val="en-US"/>
              </w:rPr>
              <w:t xml:space="preserve"> no effect for males. Individuals under 60 years of age with sleep durations of &lt;5 hours had an increased risk of recurrent depressive symptoms; no effect for those over 60. People living in urban areas were less likely to have recurrent depression than those in rural areas. Individuals who were single had a higher risk of recurrence than married participants. Current drinkers, those with poor self-reported physical health and those with 3 or more types of non-communicable diseases had higher probability of recurrence. </w:t>
            </w:r>
          </w:p>
        </w:tc>
      </w:tr>
      <w:tr w:rsidR="00D67FB5" w:rsidRPr="00ED156A" w14:paraId="34DAD984" w14:textId="77777777" w:rsidTr="005F2495">
        <w:tc>
          <w:tcPr>
            <w:tcW w:w="1844" w:type="dxa"/>
          </w:tcPr>
          <w:p w14:paraId="079CC30C"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Ten Have et al. (2018)</w:t>
            </w:r>
          </w:p>
        </w:tc>
        <w:tc>
          <w:tcPr>
            <w:tcW w:w="14175" w:type="dxa"/>
          </w:tcPr>
          <w:p w14:paraId="23F34B73"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The following variables predicted shorter time to recurrence: younger age, living without a partner, all ‘vulnerability’ variables, having experienced a higher number of chronic physical disorders in the 12 months pre-baseline, higher BMI, worse physical and mental functioning in the month before baseline, ever having experienced 2+ depressive episodes and a severe depression, use of psychotropic medication and general medical care for mental health problems in past year, current anxiety disorder, and remitted substance use disorder at baseline. </w:t>
            </w:r>
          </w:p>
          <w:p w14:paraId="47A23512"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In a regression analysis adjusted for gender and age, four variables predicted shorter time to recurrence: younger age, worse mental functioning, having experienced at least two depressive episodes, remitted substance use disorder at baseline.</w:t>
            </w:r>
          </w:p>
        </w:tc>
      </w:tr>
      <w:tr w:rsidR="00D67FB5" w:rsidRPr="00ED156A" w14:paraId="7E967FBD" w14:textId="77777777" w:rsidTr="005F2495">
        <w:tc>
          <w:tcPr>
            <w:tcW w:w="1844" w:type="dxa"/>
          </w:tcPr>
          <w:p w14:paraId="4AD77EF6" w14:textId="77777777" w:rsidR="00D67FB5" w:rsidRPr="00ED156A" w:rsidRDefault="00D67FB5" w:rsidP="005F2495">
            <w:pPr>
              <w:spacing w:line="360" w:lineRule="auto"/>
              <w:rPr>
                <w:rFonts w:ascii="Times New Roman" w:hAnsi="Times New Roman" w:cs="Times New Roman"/>
                <w:sz w:val="24"/>
                <w:szCs w:val="24"/>
              </w:rPr>
            </w:pPr>
            <w:proofErr w:type="spellStart"/>
            <w:r w:rsidRPr="00ED156A">
              <w:rPr>
                <w:rFonts w:ascii="Times New Roman" w:hAnsi="Times New Roman" w:cs="Times New Roman"/>
                <w:sz w:val="24"/>
                <w:szCs w:val="24"/>
              </w:rPr>
              <w:lastRenderedPageBreak/>
              <w:t>Tibubos</w:t>
            </w:r>
            <w:proofErr w:type="spellEnd"/>
            <w:r w:rsidRPr="00ED156A">
              <w:rPr>
                <w:rFonts w:ascii="Times New Roman" w:hAnsi="Times New Roman" w:cs="Times New Roman"/>
                <w:sz w:val="24"/>
                <w:szCs w:val="24"/>
              </w:rPr>
              <w:t xml:space="preserve"> et al. (2019)</w:t>
            </w:r>
          </w:p>
        </w:tc>
        <w:tc>
          <w:tcPr>
            <w:tcW w:w="14175" w:type="dxa"/>
          </w:tcPr>
          <w:p w14:paraId="482E6D52"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Predictors of recurrent depressive symptoms: Lower socioeconomic status; smoking; less perceived social support; anxiety disorders; Type D personality; loneliness; generalized anxiety; lower social support; social phobia; panic; intake of antidepressants; history of depressive episodes in past (latter variable was excluded from multivariate analysis to avoid tautological reasoning).</w:t>
            </w:r>
          </w:p>
          <w:p w14:paraId="3824C758"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Lower socio-economic status significant in males not females. Smoking significant for females not males. Loneliness and social support only predictors for males. Type D personality, comorbid anxiety disorders, antidepressant use were significant for both sexes. </w:t>
            </w:r>
          </w:p>
          <w:p w14:paraId="76004BAA"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Logistic regression suggested for men, only social support is a protective factor against new onset of depression, whereas for women, smoking and type D personality were predictive risk factors. </w:t>
            </w:r>
          </w:p>
          <w:p w14:paraId="0463AAA7"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When testing the moderating effect of sex, only social support remained as a single predictive factor for recurrence of depressive symptoms. </w:t>
            </w:r>
          </w:p>
        </w:tc>
      </w:tr>
      <w:tr w:rsidR="00D67FB5" w:rsidRPr="00ED156A" w14:paraId="6009A510" w14:textId="77777777" w:rsidTr="005F2495">
        <w:tc>
          <w:tcPr>
            <w:tcW w:w="1844" w:type="dxa"/>
          </w:tcPr>
          <w:p w14:paraId="6EAF62E7"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Van Loo et al. (2018)</w:t>
            </w:r>
          </w:p>
        </w:tc>
        <w:tc>
          <w:tcPr>
            <w:tcW w:w="14175" w:type="dxa"/>
          </w:tcPr>
          <w:p w14:paraId="597231D3"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Predictors of recurrence: Cardio-respiratory panic symptoms; the sum of 9 MD criteria during last depressive episode; current level of internalizing symptoms; psychiatric history with 6+ episodes; early-onset anxiety and a lifetime diagnosis of GAD; history of childhood sexual abuse and 5+ lifetime traumas; maternal MD; problems with relatives; low marital satisfaction. History of GAD had the largest effect size. </w:t>
            </w:r>
          </w:p>
          <w:p w14:paraId="0CEE59E0"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The model for males retained more risk factors concerning characteristics of the recent depressive episode and family history of MD/GAD whereas the model for females favoured more risk factors concerning early and recent adverse life events and socioeconomic indices. </w:t>
            </w:r>
          </w:p>
          <w:p w14:paraId="2EFAA145"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Feeling angry/irritable and 4-5 lifetime episodes of MD were stronger at predicting recurrence in men than women.</w:t>
            </w:r>
          </w:p>
        </w:tc>
      </w:tr>
      <w:tr w:rsidR="00D67FB5" w:rsidRPr="00ED156A" w14:paraId="7745E947" w14:textId="77777777" w:rsidTr="005F2495">
        <w:tc>
          <w:tcPr>
            <w:tcW w:w="1844" w:type="dxa"/>
          </w:tcPr>
          <w:p w14:paraId="6D0E3E36"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Van Loo et al. (2020)</w:t>
            </w:r>
          </w:p>
        </w:tc>
        <w:tc>
          <w:tcPr>
            <w:tcW w:w="14175" w:type="dxa"/>
          </w:tcPr>
          <w:p w14:paraId="567590EE"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Participants with higher risk score for recurrence of depression or anxiety disorders tended to have more first-degree relatives with MD, a higher polygenic risk for MD, earlier age of onset, higher neuroticism, higher number of traumas, and history of childhood sexual abuse.</w:t>
            </w:r>
          </w:p>
        </w:tc>
      </w:tr>
      <w:tr w:rsidR="00D67FB5" w:rsidRPr="00ED156A" w14:paraId="1D59FFAA" w14:textId="77777777" w:rsidTr="005F2495">
        <w:tc>
          <w:tcPr>
            <w:tcW w:w="1844" w:type="dxa"/>
          </w:tcPr>
          <w:p w14:paraId="50133B6F" w14:textId="77777777" w:rsidR="00D67FB5" w:rsidRPr="00ED156A" w:rsidRDefault="00D67FB5" w:rsidP="005F2495">
            <w:pPr>
              <w:spacing w:line="360" w:lineRule="auto"/>
              <w:rPr>
                <w:rFonts w:ascii="Times New Roman" w:hAnsi="Times New Roman" w:cs="Times New Roman"/>
                <w:sz w:val="24"/>
                <w:szCs w:val="24"/>
              </w:rPr>
            </w:pPr>
            <w:r w:rsidRPr="00ED156A">
              <w:rPr>
                <w:rFonts w:ascii="Times New Roman" w:hAnsi="Times New Roman" w:cs="Times New Roman"/>
                <w:sz w:val="24"/>
                <w:szCs w:val="24"/>
              </w:rPr>
              <w:t xml:space="preserve">Van </w:t>
            </w:r>
            <w:proofErr w:type="spellStart"/>
            <w:r w:rsidRPr="00ED156A">
              <w:rPr>
                <w:rFonts w:ascii="Times New Roman" w:hAnsi="Times New Roman" w:cs="Times New Roman"/>
                <w:sz w:val="24"/>
                <w:szCs w:val="24"/>
              </w:rPr>
              <w:t>Tuijl</w:t>
            </w:r>
            <w:proofErr w:type="spellEnd"/>
            <w:r w:rsidRPr="00ED156A">
              <w:rPr>
                <w:rFonts w:ascii="Times New Roman" w:hAnsi="Times New Roman" w:cs="Times New Roman"/>
                <w:sz w:val="24"/>
                <w:szCs w:val="24"/>
              </w:rPr>
              <w:t xml:space="preserve"> et al. (2020)</w:t>
            </w:r>
          </w:p>
        </w:tc>
        <w:tc>
          <w:tcPr>
            <w:tcW w:w="14175" w:type="dxa"/>
          </w:tcPr>
          <w:p w14:paraId="0CDBE7DF"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Univariate model: Implicit and explicit self-esteem and symptoms of depression were significant predictors of depression recurrence for those with history of depression. Multivariate model: Implicit but not explicit self-esteem was a predictor, along with depressive symptoms at baseline and history of anxiety disorder. </w:t>
            </w:r>
          </w:p>
          <w:p w14:paraId="6B5B019E"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Those with lower implicit and explicit self-esteem and relatively more symptoms of anxiety at baseline were more likely to have recurrence of anxiety during follow-up. In a multivariate model, implicit self-esteem remained a significant predictor.</w:t>
            </w:r>
          </w:p>
        </w:tc>
      </w:tr>
      <w:tr w:rsidR="00D67FB5" w:rsidRPr="00ED156A" w14:paraId="42E66CE5" w14:textId="77777777" w:rsidTr="005F2495">
        <w:tc>
          <w:tcPr>
            <w:tcW w:w="1844" w:type="dxa"/>
          </w:tcPr>
          <w:p w14:paraId="20B1DA93" w14:textId="77777777" w:rsidR="00D67FB5" w:rsidRPr="00ED156A" w:rsidRDefault="00D67FB5"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rPr>
              <w:lastRenderedPageBreak/>
              <w:t>Vittengl</w:t>
            </w:r>
            <w:proofErr w:type="spellEnd"/>
            <w:r w:rsidRPr="00ED156A">
              <w:rPr>
                <w:rFonts w:ascii="Times New Roman" w:hAnsi="Times New Roman" w:cs="Times New Roman"/>
                <w:sz w:val="24"/>
                <w:szCs w:val="24"/>
              </w:rPr>
              <w:t xml:space="preserve"> et al. (2020)</w:t>
            </w:r>
          </w:p>
        </w:tc>
        <w:tc>
          <w:tcPr>
            <w:tcW w:w="14175" w:type="dxa"/>
          </w:tcPr>
          <w:p w14:paraId="621B0D9F"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More stressful life events predicted significantly greater risk of relapse/recurrence for patients with poorer cognitive therapy skills, but not for those with better cognitive therapy skills. </w:t>
            </w:r>
          </w:p>
        </w:tc>
      </w:tr>
      <w:tr w:rsidR="00D67FB5" w:rsidRPr="00ED156A" w14:paraId="02CDDDA5" w14:textId="77777777" w:rsidTr="005F2495">
        <w:tc>
          <w:tcPr>
            <w:tcW w:w="1844" w:type="dxa"/>
          </w:tcPr>
          <w:p w14:paraId="1CEC68C2" w14:textId="77777777" w:rsidR="00D67FB5" w:rsidRPr="00ED156A" w:rsidRDefault="00D67FB5" w:rsidP="005F2495">
            <w:pPr>
              <w:spacing w:line="360" w:lineRule="auto"/>
              <w:rPr>
                <w:rFonts w:ascii="Times New Roman" w:hAnsi="Times New Roman" w:cs="Times New Roman"/>
                <w:sz w:val="24"/>
                <w:szCs w:val="24"/>
                <w:lang w:val="en-US"/>
              </w:rPr>
            </w:pPr>
            <w:proofErr w:type="spellStart"/>
            <w:r w:rsidRPr="00ED156A">
              <w:rPr>
                <w:rFonts w:ascii="Times New Roman" w:hAnsi="Times New Roman" w:cs="Times New Roman"/>
                <w:sz w:val="24"/>
                <w:szCs w:val="24"/>
              </w:rPr>
              <w:t>Wagenmakers</w:t>
            </w:r>
            <w:proofErr w:type="spellEnd"/>
            <w:r w:rsidRPr="00ED156A">
              <w:rPr>
                <w:rFonts w:ascii="Times New Roman" w:hAnsi="Times New Roman" w:cs="Times New Roman"/>
                <w:sz w:val="24"/>
                <w:szCs w:val="24"/>
              </w:rPr>
              <w:t xml:space="preserve"> et al. (2020)</w:t>
            </w:r>
          </w:p>
        </w:tc>
        <w:tc>
          <w:tcPr>
            <w:tcW w:w="14175" w:type="dxa"/>
          </w:tcPr>
          <w:p w14:paraId="347B8C9B"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The only variable significantly associated with relapse was type of depression (psychotic or non-psychotic). Those with non-psychotic depression were more likely to relapse within six months of ECT (13/28 or 46.1% vs. 9/39 or 23.1%). </w:t>
            </w:r>
          </w:p>
        </w:tc>
      </w:tr>
      <w:tr w:rsidR="00D67FB5" w:rsidRPr="00ED156A" w14:paraId="50815143" w14:textId="77777777" w:rsidTr="005F2495">
        <w:tc>
          <w:tcPr>
            <w:tcW w:w="1844" w:type="dxa"/>
          </w:tcPr>
          <w:p w14:paraId="2EBCB36C"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Wang et al. (2019)</w:t>
            </w:r>
          </w:p>
        </w:tc>
        <w:tc>
          <w:tcPr>
            <w:tcW w:w="14175" w:type="dxa"/>
          </w:tcPr>
          <w:p w14:paraId="183BFDB9"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 xml:space="preserve">Perceived cognitive deficits predicted relapse, but cognitive performance did not. </w:t>
            </w:r>
          </w:p>
        </w:tc>
      </w:tr>
      <w:tr w:rsidR="00D67FB5" w:rsidRPr="00ED156A" w14:paraId="044B240F" w14:textId="77777777" w:rsidTr="005F2495">
        <w:tc>
          <w:tcPr>
            <w:tcW w:w="1844" w:type="dxa"/>
          </w:tcPr>
          <w:p w14:paraId="0C1753E1"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rPr>
              <w:t>Yang et al. (2020)</w:t>
            </w:r>
          </w:p>
        </w:tc>
        <w:tc>
          <w:tcPr>
            <w:tcW w:w="14175" w:type="dxa"/>
          </w:tcPr>
          <w:p w14:paraId="75F99EB9" w14:textId="77777777" w:rsidR="00D67FB5" w:rsidRPr="00ED156A" w:rsidRDefault="00D67FB5" w:rsidP="005F2495">
            <w:pPr>
              <w:spacing w:line="360" w:lineRule="auto"/>
              <w:rPr>
                <w:rFonts w:ascii="Times New Roman" w:hAnsi="Times New Roman" w:cs="Times New Roman"/>
                <w:sz w:val="24"/>
                <w:szCs w:val="24"/>
                <w:lang w:val="en-US"/>
              </w:rPr>
            </w:pPr>
            <w:r w:rsidRPr="00ED156A">
              <w:rPr>
                <w:rFonts w:ascii="Times New Roman" w:hAnsi="Times New Roman" w:cs="Times New Roman"/>
                <w:sz w:val="24"/>
                <w:szCs w:val="24"/>
                <w:lang w:val="en-US"/>
              </w:rPr>
              <w:t>Greater number of previous major depressive episodes and greater baseline scores on psychosocial functional impairment were significantly associated with shorter time to relapse.</w:t>
            </w:r>
          </w:p>
        </w:tc>
      </w:tr>
    </w:tbl>
    <w:p w14:paraId="51B308DF" w14:textId="77777777" w:rsidR="00D67FB5" w:rsidRDefault="00D67FB5" w:rsidP="00D67FB5">
      <w:pPr>
        <w:spacing w:line="360" w:lineRule="auto"/>
        <w:rPr>
          <w:rFonts w:ascii="Times New Roman" w:hAnsi="Times New Roman" w:cs="Times New Roman"/>
          <w:sz w:val="24"/>
          <w:szCs w:val="24"/>
          <w:lang w:val="en-US"/>
        </w:rPr>
      </w:pPr>
    </w:p>
    <w:p w14:paraId="5C684068" w14:textId="77777777" w:rsidR="00D67FB5" w:rsidRDefault="00D67FB5" w:rsidP="00D67FB5"/>
    <w:p w14:paraId="2F727C20" w14:textId="77777777" w:rsidR="00D67FB5" w:rsidRDefault="00D67FB5"/>
    <w:sectPr w:rsidR="00D67FB5" w:rsidSect="00FD6F3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C9442C"/>
    <w:multiLevelType w:val="hybridMultilevel"/>
    <w:tmpl w:val="2252F562"/>
    <w:lvl w:ilvl="0" w:tplc="4FE6B2F6">
      <w:start w:val="43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F3E"/>
    <w:rsid w:val="00A05168"/>
    <w:rsid w:val="00D67FB5"/>
    <w:rsid w:val="00DB3967"/>
    <w:rsid w:val="00F340BC"/>
    <w:rsid w:val="00FD6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59C26"/>
  <w15:chartTrackingRefBased/>
  <w15:docId w15:val="{E7AB4AEB-ECC0-472B-A583-DDA1E5F81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F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6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6F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30</Pages>
  <Words>5646</Words>
  <Characters>32183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Charlotte.E Hall</dc:creator>
  <cp:keywords/>
  <dc:description/>
  <cp:lastModifiedBy>Charlotte.E Hall</cp:lastModifiedBy>
  <cp:revision>1</cp:revision>
  <dcterms:created xsi:type="dcterms:W3CDTF">2022-11-07T14:16:00Z</dcterms:created>
  <dcterms:modified xsi:type="dcterms:W3CDTF">2022-11-07T15:25:00Z</dcterms:modified>
</cp:coreProperties>
</file>