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FC6767" w14:textId="1C11909F" w:rsidR="00F71119" w:rsidRDefault="00000000">
      <w:pPr>
        <w:pStyle w:val="NormalWeb"/>
        <w:spacing w:before="0" w:beforeAutospacing="0" w:after="0" w:afterAutospacing="0" w:line="480" w:lineRule="auto"/>
        <w:jc w:val="both"/>
        <w:rPr>
          <w:rFonts w:ascii="Times New Roman" w:hAnsi="Times New Roman" w:cs="Times New Roman"/>
          <w:b/>
          <w:lang w:val="en-AU"/>
        </w:rPr>
      </w:pPr>
      <w:r>
        <w:rPr>
          <w:rFonts w:ascii="Times New Roman" w:hAnsi="Times New Roman" w:cs="Times New Roman"/>
          <w:b/>
          <w:lang w:val="en-AU"/>
        </w:rPr>
        <w:t xml:space="preserve">Turning Waste into Wealth: </w:t>
      </w:r>
      <w:r>
        <w:rPr>
          <w:rFonts w:ascii="Times New Roman" w:hAnsi="Times New Roman"/>
          <w:b/>
          <w:lang w:val="en-AU"/>
        </w:rPr>
        <w:t xml:space="preserve">An Efficient Platform for Capturing, Recycling and Reusing </w:t>
      </w:r>
      <w:proofErr w:type="spellStart"/>
      <w:r>
        <w:rPr>
          <w:rFonts w:ascii="Times New Roman" w:hAnsi="Times New Roman"/>
          <w:b/>
          <w:lang w:val="en-AU"/>
        </w:rPr>
        <w:t>Perfluorinated</w:t>
      </w:r>
      <w:proofErr w:type="spellEnd"/>
      <w:r>
        <w:rPr>
          <w:rFonts w:ascii="Times New Roman" w:hAnsi="Times New Roman"/>
          <w:b/>
          <w:lang w:val="en-AU"/>
        </w:rPr>
        <w:t xml:space="preserve"> Compounds</w:t>
      </w:r>
    </w:p>
    <w:p w14:paraId="4E17B275" w14:textId="77777777" w:rsidR="00F71119" w:rsidRDefault="00000000">
      <w:pPr>
        <w:spacing w:after="120" w:line="480" w:lineRule="auto"/>
        <w:rPr>
          <w:rFonts w:ascii="Times New Roman" w:hAnsi="Times New Roman" w:cs="Times New Roman"/>
          <w:sz w:val="24"/>
        </w:rPr>
      </w:pPr>
      <w:proofErr w:type="spellStart"/>
      <w:r>
        <w:rPr>
          <w:rFonts w:ascii="Times New Roman" w:hAnsi="Times New Roman" w:cs="Times New Roman"/>
          <w:sz w:val="24"/>
        </w:rPr>
        <w:t>Zhuojing</w:t>
      </w:r>
      <w:proofErr w:type="spellEnd"/>
      <w:r>
        <w:rPr>
          <w:rFonts w:ascii="Times New Roman" w:hAnsi="Times New Roman" w:cs="Times New Roman"/>
          <w:sz w:val="24"/>
        </w:rPr>
        <w:t xml:space="preserve"> </w:t>
      </w:r>
      <w:proofErr w:type="gramStart"/>
      <w:r>
        <w:rPr>
          <w:rFonts w:ascii="Times New Roman" w:hAnsi="Times New Roman" w:cs="Times New Roman"/>
          <w:sz w:val="24"/>
        </w:rPr>
        <w:t>Yang,</w:t>
      </w:r>
      <w:r>
        <w:rPr>
          <w:rFonts w:ascii="Times New Roman" w:hAnsi="Times New Roman" w:cs="Times New Roman"/>
          <w:sz w:val="24"/>
          <w:vertAlign w:val="superscript"/>
        </w:rPr>
        <w:t>†</w:t>
      </w:r>
      <w:proofErr w:type="gramEnd"/>
      <w:r>
        <w:rPr>
          <w:rFonts w:ascii="Times New Roman" w:hAnsi="Times New Roman" w:cs="Times New Roman"/>
          <w:iCs/>
          <w:sz w:val="24"/>
          <w:vertAlign w:val="superscript"/>
        </w:rPr>
        <w:t>‡</w:t>
      </w:r>
      <w:r>
        <w:rPr>
          <w:rFonts w:ascii="Times New Roman" w:hAnsi="Times New Roman" w:cs="Times New Roman"/>
          <w:sz w:val="24"/>
        </w:rPr>
        <w:t> Yutong Zhu,</w:t>
      </w:r>
      <w:r>
        <w:rPr>
          <w:rFonts w:ascii="Times New Roman" w:hAnsi="Times New Roman" w:cs="Times New Roman"/>
          <w:sz w:val="24"/>
          <w:vertAlign w:val="superscript"/>
        </w:rPr>
        <w:t>†</w:t>
      </w:r>
      <w:r>
        <w:rPr>
          <w:rFonts w:ascii="Times New Roman" w:hAnsi="Times New Roman" w:cs="Times New Roman"/>
          <w:iCs/>
          <w:sz w:val="24"/>
          <w:vertAlign w:val="superscript"/>
        </w:rPr>
        <w:t>‡</w:t>
      </w:r>
      <w:r>
        <w:rPr>
          <w:rFonts w:ascii="Times New Roman" w:hAnsi="Times New Roman" w:cs="Times New Roman"/>
          <w:sz w:val="24"/>
        </w:rPr>
        <w:t xml:space="preserve"> Xiao Tan,</w:t>
      </w:r>
      <w:r>
        <w:rPr>
          <w:rFonts w:ascii="Times New Roman" w:hAnsi="Times New Roman" w:cs="Times New Roman"/>
          <w:sz w:val="24"/>
          <w:vertAlign w:val="superscript"/>
        </w:rPr>
        <w:t>†</w:t>
      </w:r>
      <w:r>
        <w:rPr>
          <w:rFonts w:ascii="Times New Roman" w:hAnsi="Times New Roman" w:cs="Times New Roman"/>
          <w:iCs/>
          <w:sz w:val="24"/>
          <w:vertAlign w:val="superscript"/>
        </w:rPr>
        <w:t>‡</w:t>
      </w:r>
      <w:r>
        <w:rPr>
          <w:rFonts w:ascii="Times New Roman" w:hAnsi="Times New Roman" w:cs="Times New Roman"/>
          <w:sz w:val="24"/>
        </w:rPr>
        <w:t xml:space="preserve"> </w:t>
      </w:r>
      <w:proofErr w:type="spellStart"/>
      <w:r>
        <w:rPr>
          <w:rFonts w:ascii="Times New Roman" w:hAnsi="Times New Roman" w:cs="Times New Roman"/>
          <w:bCs/>
          <w:sz w:val="24"/>
        </w:rPr>
        <w:t>Samruddhi</w:t>
      </w:r>
      <w:proofErr w:type="spellEnd"/>
      <w:r>
        <w:rPr>
          <w:rFonts w:ascii="Times New Roman" w:hAnsi="Times New Roman" w:cs="Times New Roman"/>
          <w:bCs/>
          <w:sz w:val="24"/>
        </w:rPr>
        <w:t xml:space="preserve"> </w:t>
      </w:r>
      <w:proofErr w:type="spellStart"/>
      <w:r>
        <w:rPr>
          <w:rFonts w:ascii="Times New Roman" w:hAnsi="Times New Roman" w:cs="Times New Roman"/>
          <w:bCs/>
          <w:sz w:val="24"/>
        </w:rPr>
        <w:t>Jayendra</w:t>
      </w:r>
      <w:proofErr w:type="spellEnd"/>
      <w:r>
        <w:rPr>
          <w:rFonts w:ascii="Times New Roman" w:hAnsi="Times New Roman" w:cs="Times New Roman"/>
          <w:bCs/>
          <w:sz w:val="24"/>
        </w:rPr>
        <w:t xml:space="preserve"> </w:t>
      </w:r>
      <w:proofErr w:type="spellStart"/>
      <w:r>
        <w:rPr>
          <w:rFonts w:ascii="Times New Roman" w:hAnsi="Times New Roman" w:cs="Times New Roman"/>
          <w:bCs/>
          <w:sz w:val="24"/>
        </w:rPr>
        <w:t>Gunjal</w:t>
      </w:r>
      <w:proofErr w:type="spellEnd"/>
      <w:r>
        <w:rPr>
          <w:rFonts w:ascii="Times New Roman" w:hAnsi="Times New Roman" w:cs="Times New Roman"/>
          <w:sz w:val="24"/>
        </w:rPr>
        <w:t>,</w:t>
      </w:r>
      <w:r>
        <w:rPr>
          <w:rFonts w:ascii="Times New Roman" w:hAnsi="Times New Roman" w:cs="Times New Roman"/>
          <w:sz w:val="24"/>
          <w:vertAlign w:val="superscript"/>
        </w:rPr>
        <w:t>†</w:t>
      </w:r>
      <w:r>
        <w:rPr>
          <w:rFonts w:ascii="Times New Roman" w:hAnsi="Times New Roman" w:cs="Times New Roman"/>
          <w:iCs/>
          <w:sz w:val="24"/>
          <w:vertAlign w:val="superscript"/>
        </w:rPr>
        <w:t>‡</w:t>
      </w:r>
      <w:r>
        <w:rPr>
          <w:rFonts w:ascii="Times New Roman" w:hAnsi="Times New Roman" w:cs="Times New Roman"/>
          <w:sz w:val="24"/>
        </w:rPr>
        <w:t xml:space="preserve"> </w:t>
      </w:r>
      <w:proofErr w:type="spellStart"/>
      <w:r>
        <w:rPr>
          <w:rFonts w:ascii="Times New Roman" w:hAnsi="Times New Roman" w:cs="Times New Roman"/>
          <w:sz w:val="24"/>
        </w:rPr>
        <w:t>Yiqing</w:t>
      </w:r>
      <w:proofErr w:type="spellEnd"/>
      <w:r>
        <w:rPr>
          <w:rFonts w:ascii="Times New Roman" w:hAnsi="Times New Roman" w:cs="Times New Roman"/>
          <w:sz w:val="24"/>
        </w:rPr>
        <w:t xml:space="preserve"> Wang,</w:t>
      </w:r>
      <w:r>
        <w:rPr>
          <w:rFonts w:ascii="Times New Roman" w:hAnsi="Times New Roman" w:cs="Times New Roman"/>
          <w:sz w:val="24"/>
          <w:vertAlign w:val="superscript"/>
        </w:rPr>
        <w:t>†</w:t>
      </w:r>
      <w:r>
        <w:rPr>
          <w:rFonts w:ascii="Times New Roman" w:hAnsi="Times New Roman" w:cs="Times New Roman"/>
          <w:iCs/>
          <w:sz w:val="24"/>
          <w:vertAlign w:val="superscript"/>
        </w:rPr>
        <w:t>‡</w:t>
      </w:r>
      <w:r>
        <w:rPr>
          <w:rFonts w:ascii="Times New Roman" w:hAnsi="Times New Roman" w:cs="Times New Roman"/>
          <w:sz w:val="24"/>
        </w:rPr>
        <w:t xml:space="preserve"> </w:t>
      </w:r>
      <w:proofErr w:type="spellStart"/>
      <w:r>
        <w:rPr>
          <w:rFonts w:ascii="Times New Roman" w:hAnsi="Times New Roman" w:cs="Times New Roman"/>
          <w:sz w:val="24"/>
        </w:rPr>
        <w:t>Ruijing</w:t>
      </w:r>
      <w:proofErr w:type="spellEnd"/>
      <w:r>
        <w:rPr>
          <w:rFonts w:ascii="Times New Roman" w:hAnsi="Times New Roman" w:cs="Times New Roman"/>
          <w:sz w:val="24"/>
        </w:rPr>
        <w:t xml:space="preserve"> Xin,</w:t>
      </w:r>
      <w:r>
        <w:rPr>
          <w:rFonts w:ascii="Times New Roman" w:hAnsi="Times New Roman" w:cs="Times New Roman"/>
          <w:sz w:val="24"/>
          <w:vertAlign w:val="superscript"/>
        </w:rPr>
        <w:t>†</w:t>
      </w:r>
      <w:r>
        <w:rPr>
          <w:rFonts w:ascii="Times New Roman" w:hAnsi="Times New Roman" w:cs="Times New Roman"/>
          <w:sz w:val="24"/>
        </w:rPr>
        <w:t xml:space="preserve"> </w:t>
      </w:r>
      <w:proofErr w:type="spellStart"/>
      <w:r>
        <w:rPr>
          <w:rFonts w:ascii="Times New Roman" w:hAnsi="Times New Roman" w:cs="Times New Roman"/>
          <w:sz w:val="24"/>
        </w:rPr>
        <w:t>Changkui</w:t>
      </w:r>
      <w:proofErr w:type="spellEnd"/>
      <w:r>
        <w:rPr>
          <w:rFonts w:ascii="Times New Roman" w:hAnsi="Times New Roman" w:cs="Times New Roman"/>
          <w:sz w:val="24"/>
        </w:rPr>
        <w:t xml:space="preserve"> Fu,</w:t>
      </w:r>
      <w:r>
        <w:rPr>
          <w:rFonts w:ascii="Times New Roman" w:hAnsi="Times New Roman" w:cs="Times New Roman"/>
          <w:sz w:val="24"/>
          <w:vertAlign w:val="superscript"/>
        </w:rPr>
        <w:t>†</w:t>
      </w:r>
      <w:r>
        <w:rPr>
          <w:rFonts w:ascii="Times New Roman" w:hAnsi="Times New Roman" w:cs="Times New Roman"/>
          <w:sz w:val="24"/>
        </w:rPr>
        <w:t xml:space="preserve"> Katie Macintosh,</w:t>
      </w:r>
      <w:r>
        <w:rPr>
          <w:rFonts w:ascii="Times New Roman" w:hAnsi="Times New Roman" w:cs="Times New Roman"/>
          <w:sz w:val="24"/>
          <w:vertAlign w:val="superscript"/>
        </w:rPr>
        <w:t>#</w:t>
      </w:r>
      <w:r>
        <w:rPr>
          <w:rFonts w:ascii="Times New Roman" w:hAnsi="Times New Roman" w:cs="Times New Roman"/>
          <w:sz w:val="24"/>
        </w:rPr>
        <w:t xml:space="preserve"> Lee G. Sprague,</w:t>
      </w:r>
      <w:r>
        <w:rPr>
          <w:rFonts w:ascii="Times New Roman" w:hAnsi="Times New Roman" w:cs="Times New Roman"/>
          <w:sz w:val="24"/>
          <w:vertAlign w:val="superscript"/>
        </w:rPr>
        <w:sym w:font="Symbol" w:char="F0D1"/>
      </w:r>
      <w:r>
        <w:rPr>
          <w:rFonts w:ascii="Times New Roman" w:hAnsi="Times New Roman" w:cs="Times New Roman"/>
          <w:sz w:val="24"/>
        </w:rPr>
        <w:t xml:space="preserve"> Lam Leung,</w:t>
      </w:r>
      <w:r>
        <w:rPr>
          <w:rFonts w:ascii="Times New Roman" w:hAnsi="Times New Roman" w:cs="Times New Roman"/>
          <w:sz w:val="24"/>
          <w:vertAlign w:val="superscript"/>
        </w:rPr>
        <w:sym w:font="Symbol" w:char="F0D1"/>
      </w:r>
      <w:r>
        <w:rPr>
          <w:rFonts w:ascii="Times New Roman" w:hAnsi="Times New Roman" w:cs="Times New Roman"/>
          <w:sz w:val="24"/>
        </w:rPr>
        <w:t xml:space="preserve"> Timothy E. Hopkins,</w:t>
      </w:r>
      <w:r>
        <w:rPr>
          <w:rFonts w:ascii="Times New Roman" w:hAnsi="Times New Roman" w:cs="Times New Roman"/>
          <w:sz w:val="24"/>
          <w:vertAlign w:val="superscript"/>
        </w:rPr>
        <w:sym w:font="Symbol" w:char="F0D1"/>
      </w:r>
      <w:r>
        <w:rPr>
          <w:rFonts w:ascii="Times New Roman" w:hAnsi="Times New Roman" w:cs="Times New Roman"/>
          <w:sz w:val="24"/>
        </w:rPr>
        <w:t xml:space="preserve"> Andrew K. Whittaker,</w:t>
      </w:r>
      <w:r>
        <w:rPr>
          <w:rFonts w:ascii="Times New Roman" w:hAnsi="Times New Roman" w:cs="Times New Roman"/>
          <w:sz w:val="24"/>
          <w:vertAlign w:val="superscript"/>
        </w:rPr>
        <w:t xml:space="preserve">†% </w:t>
      </w:r>
      <w:r>
        <w:rPr>
          <w:rFonts w:ascii="Times New Roman" w:hAnsi="Times New Roman" w:cs="Times New Roman"/>
          <w:sz w:val="24"/>
        </w:rPr>
        <w:t>and Cheng Zhang*</w:t>
      </w:r>
      <w:r>
        <w:rPr>
          <w:rFonts w:ascii="Times New Roman" w:hAnsi="Times New Roman" w:cs="Times New Roman"/>
          <w:sz w:val="24"/>
          <w:vertAlign w:val="superscript"/>
        </w:rPr>
        <w:t>†</w:t>
      </w:r>
      <w:r>
        <w:rPr>
          <w:rFonts w:ascii="Times New Roman" w:hAnsi="Times New Roman" w:cs="Times New Roman"/>
          <w:iCs/>
          <w:sz w:val="24"/>
          <w:vertAlign w:val="superscript"/>
        </w:rPr>
        <w:t>‡</w:t>
      </w:r>
    </w:p>
    <w:p w14:paraId="7E261CC0" w14:textId="77777777" w:rsidR="00F71119" w:rsidRDefault="00000000">
      <w:pPr>
        <w:spacing w:after="120" w:line="480" w:lineRule="auto"/>
        <w:rPr>
          <w:rFonts w:ascii="Times New Roman" w:hAnsi="Times New Roman" w:cs="Times New Roman"/>
          <w:iCs/>
          <w:sz w:val="24"/>
        </w:rPr>
      </w:pPr>
      <w:r>
        <w:rPr>
          <w:rFonts w:ascii="Times New Roman" w:hAnsi="Times New Roman" w:cs="Times New Roman"/>
          <w:iCs/>
          <w:sz w:val="24"/>
          <w:vertAlign w:val="superscript"/>
        </w:rPr>
        <w:t>†</w:t>
      </w:r>
      <w:r>
        <w:rPr>
          <w:rFonts w:ascii="Times New Roman" w:hAnsi="Times New Roman" w:cs="Times New Roman"/>
          <w:iCs/>
          <w:sz w:val="24"/>
        </w:rPr>
        <w:t>Australian Institute for Bioengineering and Nanotechnology, The University of Queensland, Brisbane, QLD 4072, Australia</w:t>
      </w:r>
    </w:p>
    <w:p w14:paraId="1729E152" w14:textId="77777777" w:rsidR="00F71119" w:rsidRDefault="00000000">
      <w:pPr>
        <w:spacing w:after="120" w:line="480" w:lineRule="auto"/>
        <w:rPr>
          <w:rFonts w:ascii="Times New Roman" w:hAnsi="Times New Roman" w:cs="Times New Roman"/>
          <w:iCs/>
          <w:sz w:val="24"/>
        </w:rPr>
      </w:pPr>
      <w:bookmarkStart w:id="0" w:name="OLE_LINK11"/>
      <w:r>
        <w:rPr>
          <w:rFonts w:ascii="Times New Roman" w:hAnsi="Times New Roman" w:cs="Times New Roman"/>
          <w:iCs/>
          <w:sz w:val="24"/>
          <w:vertAlign w:val="superscript"/>
        </w:rPr>
        <w:t>‡</w:t>
      </w:r>
      <w:bookmarkEnd w:id="0"/>
      <w:r>
        <w:rPr>
          <w:rFonts w:ascii="Times New Roman" w:hAnsi="Times New Roman" w:cs="Times New Roman"/>
          <w:iCs/>
          <w:sz w:val="24"/>
        </w:rPr>
        <w:t>The Centre for Advanced Imaging (CAI), The University of Queensland, Brisbane, QLD 4072, Australia</w:t>
      </w:r>
    </w:p>
    <w:p w14:paraId="3CB5CC19" w14:textId="77777777" w:rsidR="00F71119" w:rsidRDefault="00000000">
      <w:pPr>
        <w:spacing w:after="120" w:line="480" w:lineRule="auto"/>
        <w:rPr>
          <w:rFonts w:ascii="Times New Roman" w:hAnsi="Times New Roman" w:cs="Times New Roman"/>
          <w:iCs/>
          <w:sz w:val="24"/>
          <w:lang w:val="en-AU"/>
        </w:rPr>
      </w:pPr>
      <w:r>
        <w:rPr>
          <w:rFonts w:ascii="Times New Roman" w:hAnsi="Times New Roman" w:cs="Times New Roman"/>
          <w:iCs/>
          <w:sz w:val="24"/>
          <w:vertAlign w:val="superscript"/>
        </w:rPr>
        <w:t>#</w:t>
      </w:r>
      <w:r>
        <w:rPr>
          <w:rFonts w:ascii="Times New Roman" w:hAnsi="Times New Roman" w:cs="Times New Roman"/>
          <w:iCs/>
          <w:sz w:val="24"/>
        </w:rPr>
        <w:t>City of Gold Coast</w:t>
      </w:r>
      <w:r>
        <w:rPr>
          <w:rFonts w:ascii="Times New Roman" w:hAnsi="Times New Roman" w:cs="Times New Roman"/>
          <w:iCs/>
          <w:sz w:val="24"/>
          <w:lang w:val="en-AU"/>
        </w:rPr>
        <w:t xml:space="preserve">, </w:t>
      </w:r>
      <w:r>
        <w:rPr>
          <w:rFonts w:ascii="Times New Roman" w:hAnsi="Times New Roman"/>
          <w:iCs/>
          <w:sz w:val="24"/>
          <w:lang w:val="en-AU"/>
        </w:rPr>
        <w:t>833 Southport Nerang Rd, Nerang QLD 4211, Australia</w:t>
      </w:r>
    </w:p>
    <w:p w14:paraId="2563B599" w14:textId="77777777" w:rsidR="00F71119" w:rsidRDefault="00000000">
      <w:pPr>
        <w:spacing w:after="120" w:line="480" w:lineRule="auto"/>
        <w:rPr>
          <w:rStyle w:val="accordion-tabbedtab-mobile"/>
          <w:rFonts w:ascii="Times New Roman" w:hAnsi="Times New Roman" w:cs="Times New Roman"/>
          <w:sz w:val="24"/>
        </w:rPr>
      </w:pPr>
      <w:bookmarkStart w:id="1" w:name="_Hlk109054981"/>
      <w:r>
        <w:rPr>
          <w:rFonts w:ascii="Times New Roman" w:hAnsi="Times New Roman" w:cs="Times New Roman"/>
          <w:sz w:val="24"/>
          <w:vertAlign w:val="superscript"/>
        </w:rPr>
        <w:sym w:font="Symbol" w:char="F0D1"/>
      </w:r>
      <w:r>
        <w:rPr>
          <w:rStyle w:val="accordion-tabbedtab-mobile"/>
          <w:rFonts w:ascii="Times New Roman" w:hAnsi="Times New Roman" w:cs="Times New Roman"/>
          <w:sz w:val="24"/>
        </w:rPr>
        <w:t>The Chemours Company, Chemours Discovery Hub, 201 Discovery Boulevard, Newark, DE 19713 USA</w:t>
      </w:r>
    </w:p>
    <w:p w14:paraId="7D3A723D" w14:textId="77777777" w:rsidR="00F71119" w:rsidRDefault="00000000">
      <w:pPr>
        <w:spacing w:after="120" w:line="480" w:lineRule="auto"/>
        <w:rPr>
          <w:rFonts w:ascii="Times New Roman" w:hAnsi="Times New Roman" w:cs="Times New Roman"/>
          <w:iCs/>
          <w:sz w:val="24"/>
        </w:rPr>
      </w:pPr>
      <w:r>
        <w:rPr>
          <w:rStyle w:val="accordion-tabbedtab-mobile"/>
          <w:rFonts w:ascii="Times New Roman" w:hAnsi="Times New Roman" w:cs="Times New Roman"/>
          <w:sz w:val="24"/>
          <w:vertAlign w:val="superscript"/>
        </w:rPr>
        <w:t>%</w:t>
      </w:r>
      <w:r>
        <w:rPr>
          <w:rStyle w:val="accordion-tabbedtab-mobile"/>
          <w:rFonts w:ascii="Times New Roman" w:hAnsi="Times New Roman" w:cs="Times New Roman"/>
          <w:sz w:val="24"/>
        </w:rPr>
        <w:t>Australian Research Council Centre of Excellence for Green Electrochemical Transformation of Carbon Dioxide, The University of Queensland, Australia</w:t>
      </w:r>
    </w:p>
    <w:bookmarkEnd w:id="1"/>
    <w:p w14:paraId="463D8F30" w14:textId="77777777" w:rsidR="00F71119" w:rsidRDefault="00000000">
      <w:pPr>
        <w:rPr>
          <w:rFonts w:ascii="Times New Roman" w:hAnsi="Times New Roman" w:cs="Times New Roman"/>
          <w:iCs/>
          <w:sz w:val="24"/>
        </w:rPr>
      </w:pPr>
      <w:r>
        <w:rPr>
          <w:rFonts w:ascii="Times New Roman" w:hAnsi="Times New Roman" w:cs="Times New Roman"/>
          <w:iCs/>
          <w:sz w:val="24"/>
        </w:rPr>
        <w:t xml:space="preserve">Email: </w:t>
      </w:r>
      <w:hyperlink r:id="rId4" w:history="1">
        <w:r>
          <w:rPr>
            <w:rStyle w:val="Hyperlink"/>
            <w:rFonts w:ascii="Times New Roman" w:hAnsi="Times New Roman" w:cs="Times New Roman"/>
            <w:iCs/>
            <w:sz w:val="24"/>
          </w:rPr>
          <w:t>c.zhang3@uq.edu.au</w:t>
        </w:r>
      </w:hyperlink>
      <w:r>
        <w:rPr>
          <w:rFonts w:ascii="Times New Roman" w:hAnsi="Times New Roman" w:cs="Times New Roman"/>
          <w:iCs/>
          <w:sz w:val="24"/>
        </w:rPr>
        <w:t xml:space="preserve"> </w:t>
      </w:r>
    </w:p>
    <w:p w14:paraId="42AAF609" w14:textId="77777777" w:rsidR="00F71119" w:rsidRDefault="00000000">
      <w:pPr>
        <w:widowControl/>
        <w:jc w:val="left"/>
        <w:rPr>
          <w:rFonts w:ascii="Times New Roman" w:hAnsi="Times New Roman" w:cs="Times New Roman"/>
          <w:bCs/>
          <w:sz w:val="24"/>
        </w:rPr>
      </w:pPr>
      <w:r>
        <w:rPr>
          <w:rFonts w:ascii="Times New Roman" w:hAnsi="Times New Roman" w:cs="Times New Roman"/>
          <w:bCs/>
          <w:sz w:val="24"/>
        </w:rPr>
        <w:br w:type="page"/>
      </w:r>
    </w:p>
    <w:p w14:paraId="33AD89B1" w14:textId="77777777" w:rsidR="00F71119" w:rsidRDefault="00000000">
      <w:pPr>
        <w:widowControl/>
        <w:jc w:val="left"/>
        <w:rPr>
          <w:rFonts w:ascii="Times New Roman" w:hAnsi="Times New Roman" w:cs="Times New Roman"/>
          <w:sz w:val="24"/>
        </w:rPr>
      </w:pPr>
      <w:r>
        <w:rPr>
          <w:rFonts w:ascii="Times New Roman" w:hAnsi="Times New Roman" w:cs="Times New Roman"/>
          <w:b/>
          <w:bCs/>
          <w:sz w:val="24"/>
        </w:rPr>
        <w:lastRenderedPageBreak/>
        <w:t>Characterization Methods</w:t>
      </w:r>
      <w:bookmarkStart w:id="2" w:name="_Toc118712578"/>
    </w:p>
    <w:p w14:paraId="23881DA6" w14:textId="77777777" w:rsidR="00F71119" w:rsidRDefault="00000000">
      <w:pPr>
        <w:spacing w:line="480" w:lineRule="auto"/>
        <w:rPr>
          <w:rFonts w:ascii="Times New Roman" w:hAnsi="Times New Roman" w:cs="Times New Roman"/>
          <w:bCs/>
          <w:i/>
          <w:iCs/>
          <w:sz w:val="24"/>
        </w:rPr>
      </w:pPr>
      <w:r>
        <w:rPr>
          <w:rFonts w:ascii="Times New Roman" w:hAnsi="Times New Roman" w:cs="Times New Roman"/>
          <w:bCs/>
          <w:i/>
          <w:iCs/>
          <w:sz w:val="24"/>
        </w:rPr>
        <w:t>Materials</w:t>
      </w:r>
    </w:p>
    <w:p w14:paraId="37E634AF" w14:textId="77777777" w:rsidR="00F71119" w:rsidRDefault="00000000">
      <w:pPr>
        <w:spacing w:line="480" w:lineRule="auto"/>
        <w:rPr>
          <w:rFonts w:ascii="Times New Roman" w:hAnsi="Times New Roman" w:cs="Times New Roman"/>
          <w:sz w:val="24"/>
        </w:rPr>
      </w:pPr>
      <w:r>
        <w:rPr>
          <w:rFonts w:ascii="Times New Roman" w:hAnsi="Times New Roman" w:cs="Times New Roman"/>
          <w:sz w:val="24"/>
        </w:rPr>
        <w:t xml:space="preserve">The hydroxy-terminated </w:t>
      </w:r>
      <w:proofErr w:type="spellStart"/>
      <w:r>
        <w:rPr>
          <w:rFonts w:ascii="Times New Roman" w:hAnsi="Times New Roman" w:cs="Times New Roman"/>
          <w:sz w:val="24"/>
        </w:rPr>
        <w:t>perfluorinated</w:t>
      </w:r>
      <w:proofErr w:type="spellEnd"/>
      <w:r>
        <w:rPr>
          <w:rFonts w:ascii="Times New Roman" w:hAnsi="Times New Roman" w:cs="Times New Roman"/>
          <w:sz w:val="24"/>
        </w:rPr>
        <w:t xml:space="preserve"> </w:t>
      </w:r>
      <w:proofErr w:type="gramStart"/>
      <w:r>
        <w:rPr>
          <w:rFonts w:ascii="Times New Roman" w:hAnsi="Times New Roman" w:cs="Times New Roman"/>
          <w:sz w:val="24"/>
        </w:rPr>
        <w:t>poly(</w:t>
      </w:r>
      <w:proofErr w:type="gramEnd"/>
      <w:r>
        <w:rPr>
          <w:rFonts w:ascii="Times New Roman" w:hAnsi="Times New Roman" w:cs="Times New Roman"/>
          <w:sz w:val="24"/>
        </w:rPr>
        <w:t xml:space="preserve">propylene ether) (PFPE AL-2, </w:t>
      </w:r>
      <w:r>
        <w:rPr>
          <w:rFonts w:ascii="Times New Roman" w:hAnsi="Times New Roman" w:cs="Times New Roman"/>
          <w:i/>
          <w:iCs/>
          <w:sz w:val="24"/>
        </w:rPr>
        <w:t>M</w:t>
      </w:r>
      <w:r>
        <w:rPr>
          <w:rFonts w:ascii="Times New Roman" w:hAnsi="Times New Roman" w:cs="Times New Roman"/>
          <w:sz w:val="24"/>
          <w:vertAlign w:val="subscript"/>
        </w:rPr>
        <w:t>n</w:t>
      </w:r>
      <w:r>
        <w:rPr>
          <w:rFonts w:ascii="Times New Roman" w:hAnsi="Times New Roman" w:cs="Times New Roman"/>
          <w:sz w:val="24"/>
        </w:rPr>
        <w:t xml:space="preserve"> </w:t>
      </w:r>
      <w:r>
        <w:rPr>
          <w:rFonts w:ascii="Cambria Math" w:hAnsi="Cambria Math" w:cs="Cambria Math"/>
          <w:sz w:val="24"/>
        </w:rPr>
        <w:t>∼</w:t>
      </w:r>
      <w:r>
        <w:rPr>
          <w:rFonts w:ascii="Times New Roman" w:hAnsi="Times New Roman" w:cs="Times New Roman"/>
          <w:sz w:val="24"/>
        </w:rPr>
        <w:t xml:space="preserve"> 2000 g/mol, CAS Number: 126066-30-6) was obtained from The Chemours Company. The polymerization initiator 2,2’-azobis(2-methylpropionitrile) (AIBN) was purified and recrystallized using methanol forming thin flakes before use. Inhibitor 4-</w:t>
      </w:r>
      <w:r>
        <w:rPr>
          <w:rFonts w:ascii="Times New Roman" w:hAnsi="Times New Roman" w:cs="Times New Roman"/>
          <w:i/>
          <w:iCs/>
          <w:sz w:val="24"/>
        </w:rPr>
        <w:t>tert</w:t>
      </w:r>
      <w:r>
        <w:rPr>
          <w:rFonts w:ascii="Times New Roman" w:hAnsi="Times New Roman" w:cs="Times New Roman"/>
          <w:sz w:val="24"/>
        </w:rPr>
        <w:t xml:space="preserve">-butylcatechol was purchased from </w:t>
      </w:r>
      <w:proofErr w:type="spellStart"/>
      <w:r>
        <w:rPr>
          <w:rFonts w:ascii="Times New Roman" w:hAnsi="Times New Roman" w:cs="Times New Roman"/>
          <w:sz w:val="24"/>
        </w:rPr>
        <w:t>Fluka</w:t>
      </w:r>
      <w:proofErr w:type="spellEnd"/>
      <w:r>
        <w:rPr>
          <w:rFonts w:ascii="Times New Roman" w:hAnsi="Times New Roman" w:cs="Times New Roman"/>
          <w:sz w:val="24"/>
        </w:rPr>
        <w:t xml:space="preserve"> Chemicals. </w:t>
      </w:r>
      <w:r>
        <w:rPr>
          <w:rFonts w:ascii="Times New Roman" w:hAnsi="Times New Roman" w:cs="Times New Roman"/>
          <w:color w:val="000000"/>
          <w:sz w:val="24"/>
          <w:lang w:val="en-GB"/>
        </w:rPr>
        <w:t xml:space="preserve">Milli-Q water with a resistivity of 18.4 </w:t>
      </w:r>
      <w:proofErr w:type="spellStart"/>
      <w:r>
        <w:rPr>
          <w:rFonts w:ascii="Times New Roman" w:hAnsi="Times New Roman" w:cs="Times New Roman"/>
          <w:color w:val="000000"/>
          <w:sz w:val="24"/>
          <w:lang w:val="en-GB"/>
        </w:rPr>
        <w:t>MΩ·cm</w:t>
      </w:r>
      <w:proofErr w:type="spellEnd"/>
      <w:r>
        <w:rPr>
          <w:rFonts w:ascii="Times New Roman" w:hAnsi="Times New Roman" w:cs="Times New Roman"/>
          <w:color w:val="000000"/>
          <w:sz w:val="24"/>
          <w:lang w:val="en-GB"/>
        </w:rPr>
        <w:t xml:space="preserve"> was used for the sorption experiments. All other chemicals such as PFAS compounds, 4-vinyl benzene chloride (VBC), divinyl benzene (DVB) and solvents were purchased from Sigma-Aldrich and used as received. </w:t>
      </w:r>
      <w:r>
        <w:rPr>
          <w:rFonts w:ascii="Times New Roman" w:hAnsi="Times New Roman" w:cs="Times New Roman"/>
          <w:sz w:val="24"/>
        </w:rPr>
        <w:t xml:space="preserve">The empty cartridges used in this study were ordered from </w:t>
      </w:r>
      <w:proofErr w:type="spellStart"/>
      <w:r>
        <w:rPr>
          <w:rFonts w:ascii="Times New Roman" w:hAnsi="Times New Roman" w:cs="Times New Roman"/>
          <w:sz w:val="24"/>
        </w:rPr>
        <w:t>Hawach</w:t>
      </w:r>
      <w:proofErr w:type="spellEnd"/>
      <w:r>
        <w:rPr>
          <w:rFonts w:ascii="Times New Roman" w:hAnsi="Times New Roman" w:cs="Times New Roman"/>
          <w:sz w:val="24"/>
        </w:rPr>
        <w:t xml:space="preserve"> Scientific Co., Ltd.</w:t>
      </w:r>
    </w:p>
    <w:p w14:paraId="157FED13" w14:textId="77777777" w:rsidR="00F71119" w:rsidRDefault="00000000">
      <w:pPr>
        <w:spacing w:line="480" w:lineRule="auto"/>
        <w:rPr>
          <w:rFonts w:ascii="Times New Roman" w:hAnsi="Times New Roman" w:cs="Times New Roman"/>
          <w:bCs/>
          <w:i/>
          <w:iCs/>
          <w:sz w:val="24"/>
        </w:rPr>
      </w:pPr>
      <w:bookmarkStart w:id="3" w:name="_Toc118712569"/>
      <w:r>
        <w:rPr>
          <w:rFonts w:ascii="Times New Roman" w:hAnsi="Times New Roman" w:cs="Times New Roman"/>
          <w:bCs/>
          <w:i/>
          <w:iCs/>
          <w:sz w:val="24"/>
        </w:rPr>
        <w:t xml:space="preserve">Synthesis of </w:t>
      </w:r>
      <w:proofErr w:type="spellStart"/>
      <w:r>
        <w:rPr>
          <w:rFonts w:ascii="Times New Roman" w:hAnsi="Times New Roman" w:cs="Times New Roman"/>
          <w:bCs/>
          <w:i/>
          <w:iCs/>
          <w:sz w:val="24"/>
        </w:rPr>
        <w:t>sPFPE</w:t>
      </w:r>
      <w:bookmarkEnd w:id="3"/>
      <w:proofErr w:type="spellEnd"/>
      <w:r>
        <w:rPr>
          <w:rFonts w:ascii="Times New Roman" w:hAnsi="Times New Roman" w:cs="Times New Roman"/>
          <w:bCs/>
          <w:i/>
          <w:iCs/>
          <w:sz w:val="24"/>
        </w:rPr>
        <w:t xml:space="preserve"> monomer</w:t>
      </w:r>
      <w:r>
        <w:rPr>
          <w:rFonts w:ascii="Times New Roman" w:hAnsi="Times New Roman" w:cs="Times New Roman"/>
          <w:bCs/>
          <w:i/>
          <w:iCs/>
          <w:sz w:val="24"/>
        </w:rPr>
        <w:fldChar w:fldCharType="begin"/>
      </w:r>
      <w:r>
        <w:rPr>
          <w:rFonts w:ascii="Times New Roman" w:hAnsi="Times New Roman" w:cs="Times New Roman"/>
          <w:bCs/>
          <w:i/>
          <w:iCs/>
          <w:sz w:val="24"/>
        </w:rPr>
        <w:instrText xml:space="preserve"> ADDIN EN.CITE &lt;EndNote&gt;&lt;Cite&gt;&lt;Author&gt;Zhou&lt;/Author&gt;&lt;Year&gt;2006&lt;/Year&gt;&lt;RecNum&gt;48&lt;/RecNum&gt;&lt;DisplayText&gt;&lt;style face="superscript"&gt;1&lt;/style&gt;&lt;/DisplayText&gt;&lt;record&gt;&lt;rec-number&gt;48&lt;/rec-number&gt;&lt;foreign-keys&gt;&lt;key app="EN" db-id="59raxwxapv2a96ez5afx0dwoavw29vsee2r9" timestamp="1690822135"&gt;48&lt;/key&gt;&lt;/foreign-keys&gt;&lt;ref-type name="Journal Article"&gt;17&lt;/ref-type&gt;&lt;contributors&gt;&lt;authors&gt;&lt;author&gt;Zhou, Zhilian&lt;/author&gt;&lt;author&gt;Dominey, Raymond N&lt;/author&gt;&lt;author&gt;Rolland, Jason P&lt;/author&gt;&lt;author&gt;Maynor, Benjamin W&lt;/author&gt;&lt;author&gt;Pandya, Ashish A&lt;/author&gt;&lt;author&gt;DeSimone, Joseph M&lt;/author&gt;&lt;/authors&gt;&lt;/contributors&gt;&lt;titles&gt;&lt;title&gt;Molded, high surface area polymer electrolyte membranes from cured liquid precursors&lt;/title&gt;&lt;secondary-title&gt;J. Am. Chem. Soc.&lt;/secondary-title&gt;&lt;/titles&gt;&lt;periodical&gt;&lt;full-title&gt;J. Am. Chem. Soc.&lt;/full-title&gt;&lt;/periodical&gt;&lt;pages&gt;12963-12972&lt;/pages&gt;&lt;volume&gt;128&lt;/volume&gt;&lt;number&gt;39&lt;/number&gt;&lt;dates&gt;&lt;year&gt;2006&lt;/year&gt;&lt;/dates&gt;&lt;isbn&gt;0002-7863&lt;/isbn&gt;&lt;urls&gt;&lt;/urls&gt;&lt;/record&gt;&lt;/Cite&gt;&lt;/EndNote&gt;</w:instrText>
      </w:r>
      <w:r>
        <w:rPr>
          <w:rFonts w:ascii="Times New Roman" w:hAnsi="Times New Roman" w:cs="Times New Roman"/>
          <w:bCs/>
          <w:i/>
          <w:iCs/>
          <w:sz w:val="24"/>
        </w:rPr>
        <w:fldChar w:fldCharType="separate"/>
      </w:r>
      <w:r>
        <w:rPr>
          <w:rFonts w:ascii="Times New Roman" w:hAnsi="Times New Roman" w:cs="Times New Roman"/>
          <w:bCs/>
          <w:i/>
          <w:iCs/>
          <w:sz w:val="24"/>
          <w:vertAlign w:val="superscript"/>
        </w:rPr>
        <w:t>1</w:t>
      </w:r>
      <w:r>
        <w:rPr>
          <w:rFonts w:ascii="Times New Roman" w:hAnsi="Times New Roman" w:cs="Times New Roman"/>
          <w:bCs/>
          <w:i/>
          <w:iCs/>
          <w:sz w:val="24"/>
        </w:rPr>
        <w:fldChar w:fldCharType="end"/>
      </w:r>
    </w:p>
    <w:p w14:paraId="67B6C106" w14:textId="77777777" w:rsidR="00F71119" w:rsidRDefault="00000000">
      <w:pPr>
        <w:spacing w:line="480" w:lineRule="auto"/>
        <w:rPr>
          <w:rFonts w:ascii="Times New Roman" w:hAnsi="Times New Roman" w:cs="Times New Roman"/>
          <w:sz w:val="24"/>
        </w:rPr>
      </w:pPr>
      <w:r>
        <w:rPr>
          <w:rFonts w:ascii="Times New Roman" w:hAnsi="Times New Roman" w:cs="Times New Roman"/>
          <w:sz w:val="24"/>
        </w:rPr>
        <w:t xml:space="preserve">PFPE-OH (30 g, 15 mmol), </w:t>
      </w:r>
      <w:proofErr w:type="spellStart"/>
      <w:r>
        <w:rPr>
          <w:rFonts w:ascii="Times New Roman" w:hAnsi="Times New Roman" w:cs="Times New Roman"/>
          <w:sz w:val="24"/>
        </w:rPr>
        <w:t>trifluorotoluene</w:t>
      </w:r>
      <w:proofErr w:type="spellEnd"/>
      <w:r>
        <w:rPr>
          <w:rFonts w:ascii="Times New Roman" w:hAnsi="Times New Roman" w:cs="Times New Roman"/>
          <w:sz w:val="24"/>
        </w:rPr>
        <w:t xml:space="preserve"> (TFT, 40 ml) and tetrabutylammonium hydrogen sulphate (THS, 2.85 g, 8.4 mmol) were added to a 250 ml round-bottom flask. Potassium hydroxide (KOH, 2.88 g, 51.3 mmol) was dissolved in 30 ml Milli-Q water and then added into the TFT solution. This KOH solution is prepared in ice bath and added under stirring. Finally, VBC (5.14 mL, 32.9 mmol) was added into the mixture and the reaction was conducted in an oil bath under continuous stirring at 45 ℃ for 48 hours. After completion of the reaction, a viscous transparent liquid product was obtained by precipitation against methanol for three times and dry under vacuum at 40 ℃. The product was dissolved in certain amount of TFT solvent with the addition of trace amount of 4-</w:t>
      </w:r>
      <w:r>
        <w:rPr>
          <w:rFonts w:ascii="Times New Roman" w:hAnsi="Times New Roman" w:cs="Times New Roman"/>
          <w:i/>
          <w:iCs/>
          <w:sz w:val="24"/>
        </w:rPr>
        <w:t>tert</w:t>
      </w:r>
      <w:r>
        <w:rPr>
          <w:rFonts w:ascii="Times New Roman" w:hAnsi="Times New Roman" w:cs="Times New Roman"/>
          <w:sz w:val="24"/>
        </w:rPr>
        <w:t>-butylcatechol inhibitor and stored in refrigerator at -4 ℃ for future use.</w:t>
      </w:r>
    </w:p>
    <w:p w14:paraId="6917FC30" w14:textId="77777777" w:rsidR="00F71119" w:rsidRDefault="00000000">
      <w:pPr>
        <w:spacing w:line="480" w:lineRule="auto"/>
        <w:rPr>
          <w:rFonts w:ascii="Times New Roman" w:hAnsi="Times New Roman" w:cs="Times New Roman"/>
          <w:bCs/>
          <w:i/>
          <w:iCs/>
          <w:sz w:val="24"/>
        </w:rPr>
      </w:pPr>
      <w:bookmarkStart w:id="4" w:name="_Toc118712570"/>
      <w:r>
        <w:rPr>
          <w:rFonts w:ascii="Times New Roman" w:hAnsi="Times New Roman" w:cs="Times New Roman"/>
          <w:bCs/>
          <w:i/>
          <w:iCs/>
          <w:sz w:val="24"/>
        </w:rPr>
        <w:lastRenderedPageBreak/>
        <w:t>Synthesis of PFPE-IEX+ resins</w:t>
      </w:r>
      <w:bookmarkEnd w:id="4"/>
    </w:p>
    <w:p w14:paraId="5832A4B0" w14:textId="77777777" w:rsidR="00F71119" w:rsidRDefault="00000000">
      <w:pPr>
        <w:spacing w:line="480" w:lineRule="auto"/>
        <w:rPr>
          <w:rFonts w:ascii="Times New Roman" w:hAnsi="Times New Roman" w:cs="Times New Roman"/>
          <w:sz w:val="24"/>
        </w:rPr>
      </w:pPr>
      <w:r>
        <w:rPr>
          <w:rFonts w:ascii="Times New Roman" w:hAnsi="Times New Roman" w:cs="Times New Roman"/>
          <w:sz w:val="24"/>
        </w:rPr>
        <w:t xml:space="preserve">A series of PFPE-IEX resins with different weight percentages of crosslinker were prepared through thermally initiated free radical polymerization. According to the proportions provided in Supplementary Table 1, </w:t>
      </w:r>
      <w:proofErr w:type="spellStart"/>
      <w:r>
        <w:rPr>
          <w:rFonts w:ascii="Times New Roman" w:hAnsi="Times New Roman" w:cs="Times New Roman"/>
          <w:sz w:val="24"/>
        </w:rPr>
        <w:t>sPFPE</w:t>
      </w:r>
      <w:proofErr w:type="spellEnd"/>
      <w:r>
        <w:rPr>
          <w:rFonts w:ascii="Times New Roman" w:hAnsi="Times New Roman" w:cs="Times New Roman"/>
          <w:sz w:val="24"/>
        </w:rPr>
        <w:t xml:space="preserve">, VBC, and DVB were dissolved in 4 mL of TFT solvent, with AIBN used as the initiator. The mixture was sealed with a rubber stopper and deoxygenated with nitrogen gas for 20 minutes. The reaction mixture, composed of the above components, was placed in a round-bottom </w:t>
      </w:r>
      <w:proofErr w:type="gramStart"/>
      <w:r>
        <w:rPr>
          <w:rFonts w:ascii="Times New Roman" w:hAnsi="Times New Roman" w:cs="Times New Roman"/>
          <w:sz w:val="24"/>
        </w:rPr>
        <w:t>flask</w:t>
      </w:r>
      <w:proofErr w:type="gramEnd"/>
      <w:r>
        <w:rPr>
          <w:rFonts w:ascii="Times New Roman" w:hAnsi="Times New Roman" w:cs="Times New Roman"/>
          <w:sz w:val="24"/>
        </w:rPr>
        <w:t xml:space="preserve"> and continuously stirred in a 70°</w:t>
      </w:r>
      <w:proofErr w:type="spellStart"/>
      <w:r>
        <w:rPr>
          <w:rFonts w:ascii="Times New Roman" w:hAnsi="Times New Roman" w:cs="Times New Roman"/>
          <w:sz w:val="24"/>
        </w:rPr>
        <w:t>C oil</w:t>
      </w:r>
      <w:proofErr w:type="spellEnd"/>
      <w:r>
        <w:rPr>
          <w:rFonts w:ascii="Times New Roman" w:hAnsi="Times New Roman" w:cs="Times New Roman"/>
          <w:sz w:val="24"/>
        </w:rPr>
        <w:t xml:space="preserve"> bath for 24 hours. After the reaction was completed, a gray-white gel was formed, which was washed three times with methanol and centrifuged. Then, it was dried at approximately 60°C for about 4 hours. Subsequently, a mortar and pestle were used to grind the dried, dense block into a fine and uniform powder. Quaternization was performed using trimethylamine at 40°C for 48 hours, followed by screening to select particles of size 80-100 micrometers.</w:t>
      </w:r>
    </w:p>
    <w:p w14:paraId="29E4D951" w14:textId="77777777" w:rsidR="00F71119" w:rsidRDefault="00000000">
      <w:pPr>
        <w:spacing w:line="480" w:lineRule="auto"/>
        <w:rPr>
          <w:rFonts w:ascii="Times New Roman" w:hAnsi="Times New Roman" w:cs="Times New Roman"/>
          <w:i/>
          <w:iCs/>
          <w:sz w:val="24"/>
          <w:lang w:val="en-AU"/>
        </w:rPr>
      </w:pPr>
      <w:r>
        <w:rPr>
          <w:rFonts w:ascii="Times New Roman" w:hAnsi="Times New Roman" w:cs="Times New Roman"/>
          <w:i/>
          <w:iCs/>
          <w:sz w:val="24"/>
          <w:lang w:val="en-AU"/>
        </w:rPr>
        <w:t>Stability</w:t>
      </w:r>
    </w:p>
    <w:p w14:paraId="4B71C90C" w14:textId="77777777" w:rsidR="00F71119" w:rsidRDefault="00000000">
      <w:pPr>
        <w:spacing w:line="480" w:lineRule="auto"/>
        <w:rPr>
          <w:rFonts w:ascii="Times New Roman" w:hAnsi="Times New Roman" w:cs="Times New Roman"/>
          <w:sz w:val="24"/>
          <w:lang w:val="en-AU"/>
        </w:rPr>
      </w:pPr>
      <w:bookmarkStart w:id="5" w:name="_Toc118712573"/>
      <w:r>
        <w:rPr>
          <w:rFonts w:ascii="Times New Roman" w:hAnsi="Times New Roman" w:cs="Times New Roman"/>
          <w:sz w:val="24"/>
          <w:lang w:val="en-AU"/>
        </w:rPr>
        <w:t xml:space="preserve">PFPE-IEX+ was weighted and placed in 20 individual Eppendorf tubes (50 mg each). The total weight of each sample, including the Eppendorf tube, was recorded as </w:t>
      </w:r>
      <w:r>
        <w:rPr>
          <w:rFonts w:ascii="Times New Roman" w:hAnsi="Times New Roman" w:cs="Times New Roman"/>
          <w:i/>
          <w:iCs/>
          <w:sz w:val="24"/>
          <w:lang w:val="en-AU"/>
        </w:rPr>
        <w:t>m</w:t>
      </w:r>
      <w:r>
        <w:rPr>
          <w:rFonts w:ascii="Times New Roman" w:hAnsi="Times New Roman" w:cs="Times New Roman"/>
          <w:i/>
          <w:iCs/>
          <w:sz w:val="24"/>
          <w:vertAlign w:val="subscript"/>
          <w:lang w:val="en-AU"/>
        </w:rPr>
        <w:t>1</w:t>
      </w:r>
      <w:r>
        <w:rPr>
          <w:rFonts w:ascii="Times New Roman" w:hAnsi="Times New Roman" w:cs="Times New Roman"/>
          <w:sz w:val="24"/>
          <w:lang w:val="en-AU"/>
        </w:rPr>
        <w:t>.</w:t>
      </w:r>
      <w:r>
        <w:rPr>
          <w:rFonts w:ascii="Times New Roman" w:hAnsi="Times New Roman" w:cs="Times New Roman" w:hint="eastAsia"/>
          <w:sz w:val="24"/>
          <w:lang w:val="en-AU"/>
        </w:rPr>
        <w:t> </w:t>
      </w:r>
      <w:r>
        <w:rPr>
          <w:rFonts w:ascii="Times New Roman" w:hAnsi="Times New Roman" w:cs="Times New Roman"/>
          <w:sz w:val="24"/>
          <w:lang w:val="en-AU"/>
        </w:rPr>
        <w:t xml:space="preserve">Ten of the samples were individually suspended in 1 mL of alkaline solution with a pH = 10, while the other ten were suspended in 1 mL of acidic solution with a pH = 2. These suspensions were incubated on a shaker at 60 degrees Celsius and 120 rpm. Sampling was conducted after incubation of one and three days, and then every week until week eight. The separation of PFPE-IEX+ resin and the solution were achieved through centrifugation (12000 rpm for 15 minutes). The solution was then extracted from </w:t>
      </w:r>
      <w:r>
        <w:rPr>
          <w:rFonts w:ascii="Times New Roman" w:hAnsi="Times New Roman" w:cs="Times New Roman"/>
          <w:sz w:val="24"/>
          <w:lang w:val="en-AU"/>
        </w:rPr>
        <w:lastRenderedPageBreak/>
        <w:t xml:space="preserve">Eppendorf tubes, washed once with deionized water, aggregated, and dried. The total weight of each dried sample, including the Eppendorf tube, was recorded as </w:t>
      </w:r>
      <w:r>
        <w:rPr>
          <w:rFonts w:ascii="Times New Roman" w:hAnsi="Times New Roman" w:cs="Times New Roman"/>
          <w:i/>
          <w:iCs/>
          <w:sz w:val="24"/>
          <w:lang w:val="en-AU"/>
        </w:rPr>
        <w:t>m</w:t>
      </w:r>
      <w:r>
        <w:rPr>
          <w:rFonts w:ascii="Times New Roman" w:hAnsi="Times New Roman" w:cs="Times New Roman"/>
          <w:i/>
          <w:iCs/>
          <w:sz w:val="24"/>
          <w:vertAlign w:val="subscript"/>
          <w:lang w:val="en-AU"/>
        </w:rPr>
        <w:t>2</w:t>
      </w:r>
      <w:r>
        <w:rPr>
          <w:rFonts w:ascii="Times New Roman" w:hAnsi="Times New Roman" w:cs="Times New Roman"/>
          <w:sz w:val="24"/>
          <w:lang w:val="en-AU"/>
        </w:rPr>
        <w:t>.</w:t>
      </w:r>
      <w:r>
        <w:rPr>
          <w:rFonts w:ascii="Times New Roman" w:hAnsi="Times New Roman" w:cs="Times New Roman" w:hint="eastAsia"/>
          <w:sz w:val="24"/>
          <w:lang w:val="en-AU"/>
        </w:rPr>
        <w:t> </w:t>
      </w:r>
      <w:r>
        <w:rPr>
          <w:rFonts w:ascii="Times New Roman" w:hAnsi="Times New Roman" w:cs="Times New Roman"/>
          <w:sz w:val="24"/>
          <w:lang w:val="en-AU"/>
        </w:rPr>
        <w:t>Each experiment was carried out in duplicate.</w:t>
      </w:r>
    </w:p>
    <w:p w14:paraId="673ABC48" w14:textId="77777777" w:rsidR="00F71119" w:rsidRDefault="00000000">
      <w:pPr>
        <w:spacing w:line="480" w:lineRule="auto"/>
        <w:rPr>
          <w:rFonts w:ascii="Times New Roman" w:hAnsi="Times New Roman" w:cs="Times New Roman"/>
          <w:sz w:val="24"/>
          <w:lang w:val="en-AU"/>
        </w:rPr>
      </w:pPr>
      <m:oMathPara>
        <m:oMathParaPr>
          <m:jc m:val="left"/>
        </m:oMathParaPr>
        <m:oMath>
          <m:r>
            <m:rPr>
              <m:sty m:val="p"/>
            </m:rPr>
            <w:rPr>
              <w:rFonts w:ascii="Cambria Math" w:hAnsi="Cambria Math" w:cs="Times New Roman"/>
              <w:sz w:val="24"/>
              <w:lang w:val="en-AU"/>
            </w:rPr>
            <m:t>%Mass Remaining =</m:t>
          </m:r>
          <m:f>
            <m:fPr>
              <m:ctrlPr>
                <w:rPr>
                  <w:rFonts w:ascii="Cambria Math" w:hAnsi="Cambria Math" w:cs="Times New Roman"/>
                  <w:iCs/>
                  <w:sz w:val="24"/>
                  <w:lang w:val="en-AU"/>
                </w:rPr>
              </m:ctrlPr>
            </m:fPr>
            <m:num>
              <m:sSub>
                <m:sSubPr>
                  <m:ctrlPr>
                    <w:rPr>
                      <w:rFonts w:ascii="Cambria Math" w:hAnsi="Cambria Math" w:cs="Times New Roman"/>
                      <w:i/>
                      <w:iCs/>
                      <w:sz w:val="24"/>
                      <w:lang w:val="en-AU"/>
                    </w:rPr>
                  </m:ctrlPr>
                </m:sSubPr>
                <m:e>
                  <m:r>
                    <w:rPr>
                      <w:rFonts w:ascii="Cambria Math" w:hAnsi="Cambria Math" w:cs="Times New Roman"/>
                      <w:sz w:val="24"/>
                      <w:lang w:val="en-AU"/>
                    </w:rPr>
                    <m:t>m</m:t>
                  </m:r>
                </m:e>
                <m:sub>
                  <m:r>
                    <w:rPr>
                      <w:rFonts w:ascii="Cambria Math" w:hAnsi="Cambria Math" w:cs="Times New Roman"/>
                      <w:sz w:val="24"/>
                      <w:lang w:val="en-AU"/>
                    </w:rPr>
                    <m:t>2</m:t>
                  </m:r>
                </m:sub>
              </m:sSub>
            </m:num>
            <m:den>
              <m:sSub>
                <m:sSubPr>
                  <m:ctrlPr>
                    <w:rPr>
                      <w:rFonts w:ascii="Cambria Math" w:hAnsi="Cambria Math" w:cs="Times New Roman"/>
                      <w:i/>
                      <w:iCs/>
                      <w:sz w:val="24"/>
                      <w:lang w:val="en-AU"/>
                    </w:rPr>
                  </m:ctrlPr>
                </m:sSubPr>
                <m:e>
                  <m:r>
                    <w:rPr>
                      <w:rFonts w:ascii="Cambria Math" w:hAnsi="Cambria Math" w:cs="Times New Roman"/>
                      <w:sz w:val="24"/>
                      <w:lang w:val="en-AU"/>
                    </w:rPr>
                    <m:t>m</m:t>
                  </m:r>
                </m:e>
                <m:sub>
                  <m:r>
                    <w:rPr>
                      <w:rFonts w:ascii="Cambria Math" w:hAnsi="Cambria Math" w:cs="Times New Roman"/>
                      <w:sz w:val="24"/>
                      <w:lang w:val="en-AU"/>
                    </w:rPr>
                    <m:t>1</m:t>
                  </m:r>
                </m:sub>
              </m:sSub>
            </m:den>
          </m:f>
          <m:r>
            <m:rPr>
              <m:sty m:val="p"/>
            </m:rPr>
            <w:rPr>
              <w:rFonts w:ascii="Cambria Math" w:hAnsi="Cambria Math" w:cs="Times New Roman"/>
              <w:sz w:val="24"/>
              <w:lang w:val="en-AU"/>
            </w:rPr>
            <m:t> </m:t>
          </m:r>
        </m:oMath>
      </m:oMathPara>
    </w:p>
    <w:p w14:paraId="5355F7B6" w14:textId="77777777" w:rsidR="00F71119" w:rsidRDefault="00000000">
      <w:pPr>
        <w:spacing w:line="480" w:lineRule="auto"/>
        <w:rPr>
          <w:rFonts w:ascii="Times New Roman" w:hAnsi="Times New Roman" w:cs="Times New Roman"/>
          <w:i/>
          <w:iCs/>
          <w:sz w:val="24"/>
          <w:lang w:val="en-AU"/>
        </w:rPr>
      </w:pPr>
      <w:r>
        <w:rPr>
          <w:rFonts w:ascii="Times New Roman" w:hAnsi="Times New Roman" w:cs="Times New Roman"/>
          <w:i/>
          <w:iCs/>
          <w:sz w:val="24"/>
          <w:lang w:val="en-AU"/>
        </w:rPr>
        <w:t>Swelling ratio test</w:t>
      </w:r>
      <w:bookmarkEnd w:id="5"/>
    </w:p>
    <w:p w14:paraId="240CEDFD" w14:textId="77777777" w:rsidR="00F71119" w:rsidRDefault="00000000">
      <w:pPr>
        <w:spacing w:line="480" w:lineRule="auto"/>
        <w:rPr>
          <w:rFonts w:ascii="Times New Roman" w:hAnsi="Times New Roman" w:cs="Times New Roman"/>
          <w:i/>
          <w:iCs/>
          <w:sz w:val="24"/>
          <w:lang w:val="en-AU"/>
        </w:rPr>
      </w:pPr>
      <w:r>
        <w:rPr>
          <w:rFonts w:ascii="Times New Roman" w:hAnsi="Times New Roman" w:cs="Times New Roman"/>
          <w:sz w:val="24"/>
        </w:rPr>
        <w:t>One of the important properties of hydrogels is their swelling property. Hydrogels are material that retain a significant portion of water within their structure without getting solubilized in the water</w:t>
      </w:r>
      <w:r>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&lt;EndNote&gt;&lt;Cite&gt;&lt;Author&gt;Zhang&lt;/Author&gt;&lt;Year&gt;2020&lt;/Year&gt;&lt;RecNum&gt;356&lt;/RecNum&gt;&lt;DisplayText&gt;&lt;style face="superscript"&gt;2&lt;/style&gt;&lt;/DisplayText&gt;&lt;record&gt;&lt;rec-number&gt;356&lt;/rec-number&gt;&lt;foreign-keys&gt;&lt;key app="EN" db-id="v2xdzfrfztxrxeesdes5x0pw2vttfdtdwtfz" timestamp="1664512419" guid="7e70c394-eb47-4dcb-80de-f28e0053b0c4"&gt;356&lt;/key&gt;&lt;/foreign-keys&gt;&lt;ref-type name="Journal Article"&gt;17&lt;/ref-type&gt;&lt;contributors&gt;&lt;authors&gt;&lt;author&gt;Zhang, K.&lt;/author&gt;&lt;author&gt;Feng, W.&lt;/author&gt;&lt;author&gt;Jin, C.&lt;/author&gt;&lt;/authors&gt;&lt;/contributors&gt;&lt;auth-address&gt;Department of Mechanical Engineering, Binghamton University, Binghamton, NY, 13902, USA.&amp;#xD;Materials Science and Engineering Program, Binghamton University, Binghamton, NY, 13902, USA.&lt;/auth-address&gt;&lt;titles&gt;&lt;title&gt;Protocol efficiently measuring the swelling rate of hydrogels&lt;/title&gt;&lt;secondary-title&gt;MethodsX&lt;/secondary-title&gt;&lt;/titles&gt;&lt;periodical&gt;&lt;full-title&gt;MethodsX&lt;/full-title&gt;&lt;/periodical&gt;&lt;pages&gt;100779&lt;/pages&gt;&lt;volume&gt;7&lt;/volume&gt;&lt;edition&gt;20191219&lt;/edition&gt;&lt;keywords&gt;&lt;keyword&gt;Filtration method&lt;/keyword&gt;&lt;keyword&gt;Sieve method&lt;/keyword&gt;&lt;keyword&gt;Superabsorbent polymer&lt;/keyword&gt;&lt;keyword&gt;Swelling rate&lt;/keyword&gt;&lt;keyword&gt;Tea-bag method&lt;/keyword&gt;&lt;keyword&gt;The proposed method is called sieve filtration method&lt;/keyword&gt;&lt;/keywords&gt;&lt;dates&gt;&lt;year&gt;2020&lt;/year&gt;&lt;/dates&gt;&lt;isbn&gt;2215-0161 (Print)&amp;#xD;2215-0161 (Linking)&lt;/isbn&gt;&lt;accession-num&gt;31993340&lt;/accession-num&gt;&lt;urls&gt;&lt;related-urls&gt;&lt;url&gt;https://www.ncbi.nlm.nih.gov/pubmed/31993340&lt;/url&gt;&lt;/related-urls&gt;&lt;/urls&gt;&lt;custom2&gt;PMC6974764&lt;/custom2&gt;&lt;electronic-resource-num&gt;10.1016/j.mex.2019.100779&lt;/electronic-resource-num&gt;&lt;remote-database-name&gt;PubMed-not-MEDLINE&lt;/remote-database-name&gt;&lt;remote-database-provider&gt;NLM&lt;/remote-database-provider&gt;&lt;/record&gt;&lt;/Cite&gt;&lt;/EndNote&gt;</w:instrText>
      </w:r>
      <w:r>
        <w:rPr>
          <w:rFonts w:ascii="Times New Roman" w:hAnsi="Times New Roman" w:cs="Times New Roman"/>
          <w:sz w:val="24"/>
        </w:rPr>
        <w:fldChar w:fldCharType="separate"/>
      </w:r>
      <w:r>
        <w:rPr>
          <w:rFonts w:ascii="Times New Roman" w:hAnsi="Times New Roman" w:cs="Times New Roman"/>
          <w:sz w:val="24"/>
          <w:vertAlign w:val="superscript"/>
        </w:rPr>
        <w:t>2</w:t>
      </w:r>
      <w:r>
        <w:rPr>
          <w:rFonts w:ascii="Times New Roman" w:hAnsi="Times New Roman" w:cs="Times New Roman"/>
          <w:sz w:val="24"/>
        </w:rPr>
        <w:fldChar w:fldCharType="end"/>
      </w:r>
      <w:r>
        <w:rPr>
          <w:rFonts w:ascii="Times New Roman" w:hAnsi="Times New Roman" w:cs="Times New Roman"/>
          <w:sz w:val="24"/>
        </w:rPr>
        <w:t xml:space="preserve">. This property is also demonstrated by the synthesized PFPE-IEX+ resin. Free absorbance capacity measurements are performed by checking the water retention of the hydrogel </w:t>
      </w:r>
      <w:proofErr w:type="spellStart"/>
      <w:r>
        <w:rPr>
          <w:rFonts w:ascii="Times New Roman" w:hAnsi="Times New Roman" w:cs="Times New Roman"/>
          <w:sz w:val="24"/>
        </w:rPr>
        <w:t>w.r.t.</w:t>
      </w:r>
      <w:proofErr w:type="spellEnd"/>
      <w:r>
        <w:rPr>
          <w:rFonts w:ascii="Times New Roman" w:hAnsi="Times New Roman" w:cs="Times New Roman"/>
          <w:sz w:val="24"/>
        </w:rPr>
        <w:t xml:space="preserve"> the time interval </w:t>
      </w:r>
      <w:r>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&lt;EndNote&gt;&lt;Cite&gt;&lt;Author&gt;Zhang&lt;/Author&gt;&lt;Year&gt;2020&lt;/Year&gt;&lt;RecNum&gt;356&lt;/RecNum&gt;&lt;DisplayText&gt;&lt;style face="superscript"&gt;2&lt;/style&gt;&lt;/DisplayText&gt;&lt;record&gt;&lt;rec-number&gt;356&lt;/rec-number&gt;&lt;foreign-keys&gt;&lt;key app="EN" db-id="v2xdzfrfztxrxeesdes5x0pw2vttfdtdwtfz" timestamp="1664512419" guid="7e70c394-eb47-4dcb-80de-f28e0053b0c4"&gt;356&lt;/key&gt;&lt;/foreign-keys&gt;&lt;ref-type name="Journal Article"&gt;17&lt;/ref-type&gt;&lt;contributors&gt;&lt;authors&gt;&lt;author&gt;Zhang, K.&lt;/author&gt;&lt;author&gt;Feng, W.&lt;/author&gt;&lt;author&gt;Jin, C.&lt;/author&gt;&lt;/authors&gt;&lt;/contributors&gt;&lt;auth-address&gt;Department of Mechanical Engineering, Binghamton University, Binghamton, NY, 13902, USA.&amp;#xD;Materials Science and Engineering Program, Binghamton University, Binghamton, NY, 13902, USA.&lt;/auth-address&gt;&lt;titles&gt;&lt;title&gt;Protocol efficiently measuring the swelling rate of hydrogels&lt;/title&gt;&lt;secondary-title&gt;MethodsX&lt;/secondary-title&gt;&lt;/titles&gt;&lt;periodical&gt;&lt;full-title&gt;MethodsX&lt;/full-title&gt;&lt;/periodical&gt;&lt;pages&gt;100779&lt;/pages&gt;&lt;volume&gt;7&lt;/volume&gt;&lt;edition&gt;20191219&lt;/edition&gt;&lt;keywords&gt;&lt;keyword&gt;Filtration method&lt;/keyword&gt;&lt;keyword&gt;Sieve method&lt;/keyword&gt;&lt;keyword&gt;Superabsorbent polymer&lt;/keyword&gt;&lt;keyword&gt;Swelling rate&lt;/keyword&gt;&lt;keyword&gt;Tea-bag method&lt;/keyword&gt;&lt;keyword&gt;The proposed method is called sieve filtration method&lt;/keyword&gt;&lt;/keywords&gt;&lt;dates&gt;&lt;year&gt;2020&lt;/year&gt;&lt;/dates&gt;&lt;isbn&gt;2215-0161 (Print)&amp;#xD;2215-0161 (Linking)&lt;/isbn&gt;&lt;accession-num&gt;31993340&lt;/accession-num&gt;&lt;urls&gt;&lt;related-urls&gt;&lt;url&gt;https://www.ncbi.nlm.nih.gov/pubmed/31993340&lt;/url&gt;&lt;/related-urls&gt;&lt;/urls&gt;&lt;custom2&gt;PMC6974764&lt;/custom2&gt;&lt;electronic-resource-num&gt;10.1016/j.mex.2019.100779&lt;/electronic-resource-num&gt;&lt;remote-database-name&gt;PubMed-not-MEDLINE&lt;/remote-database-name&gt;&lt;remote-database-provider&gt;NLM&lt;/remote-database-provider&gt;&lt;/record&gt;&lt;/Cite&gt;&lt;/EndNote&gt;</w:instrText>
      </w:r>
      <w:r>
        <w:rPr>
          <w:rFonts w:ascii="Times New Roman" w:hAnsi="Times New Roman" w:cs="Times New Roman"/>
          <w:sz w:val="24"/>
        </w:rPr>
        <w:fldChar w:fldCharType="separate"/>
      </w:r>
      <w:r>
        <w:rPr>
          <w:rFonts w:ascii="Times New Roman" w:hAnsi="Times New Roman" w:cs="Times New Roman"/>
          <w:sz w:val="24"/>
          <w:vertAlign w:val="superscript"/>
        </w:rPr>
        <w:t>2</w:t>
      </w:r>
      <w:r>
        <w:rPr>
          <w:rFonts w:ascii="Times New Roman" w:hAnsi="Times New Roman" w:cs="Times New Roman"/>
          <w:sz w:val="24"/>
        </w:rPr>
        <w:fldChar w:fldCharType="end"/>
      </w:r>
      <w:r>
        <w:rPr>
          <w:rFonts w:ascii="Times New Roman" w:hAnsi="Times New Roman" w:cs="Times New Roman"/>
          <w:sz w:val="24"/>
        </w:rPr>
        <w:t>. But in the case PFPE-IEX+ resins, despite studying the swelling kinetics the difference between the initial and final weight of the resin plays an important role since this resin is designed for PFAS sorption through the cartridge column. Three samples of each of the PFPE-IEX+ resins measuring 200 mg are taken in the measured falcon tube. Then 5 ml of water was added to the resin ensuring the complete immersion of resins in the water. In this manner, the swelling ratio optimization was performed, by varying the weight percent of the 4-vinyl benzyl chloride (VBC) and divinyl benzene (DVB).</w:t>
      </w:r>
    </w:p>
    <w:p w14:paraId="1F12D9D4" w14:textId="77777777" w:rsidR="00F71119" w:rsidRDefault="00000000">
      <w:pPr>
        <w:spacing w:line="360" w:lineRule="auto"/>
        <w:rPr>
          <w:rFonts w:ascii="Times New Roman" w:hAnsi="Times New Roman" w:cs="Times New Roman"/>
          <w:sz w:val="24"/>
        </w:rPr>
      </w:pPr>
      <m:oMathPara>
        <m:oMathParaPr>
          <m:jc m:val="left"/>
        </m:oMathParaPr>
        <m:oMath>
          <m:r>
            <m:rPr>
              <m:sty m:val="p"/>
            </m:rPr>
            <w:rPr>
              <w:rFonts w:ascii="Cambria Math" w:hAnsi="Cambria Math" w:cs="Times New Roman"/>
              <w:sz w:val="24"/>
            </w:rPr>
            <m:t>Swelling Ratio</m:t>
          </m:r>
          <m:r>
            <w:rPr>
              <w:rFonts w:ascii="Cambria Math" w:hAnsi="Cambria Math" w:cs="Times New Roman"/>
              <w:sz w:val="24"/>
            </w:rPr>
            <m:t xml:space="preserve">= </m:t>
          </m:r>
          <m:f>
            <m:fPr>
              <m:ctrlPr>
                <w:rPr>
                  <w:rFonts w:ascii="Cambria Math" w:hAnsi="Cambria Math" w:cs="Times New Roman"/>
                  <w:iCs/>
                  <w:color w:val="000000" w:themeColor="text1"/>
                  <w:sz w:val="24"/>
                </w:rPr>
              </m:ctrlPr>
            </m:fPr>
            <m:num>
              <m:r>
                <m:rPr>
                  <m:sty m:val="p"/>
                </m:rPr>
                <w:rPr>
                  <w:rFonts w:ascii="Cambria Math" w:hAnsi="Cambria Math" w:cs="Times New Roman"/>
                  <w:color w:val="000000" w:themeColor="text1"/>
                  <w:sz w:val="24"/>
                </w:rPr>
                <m:t>Weight of wet resin (mg)</m:t>
              </m:r>
            </m:num>
            <m:den>
              <m:r>
                <m:rPr>
                  <m:sty m:val="p"/>
                </m:rPr>
                <w:rPr>
                  <w:rFonts w:ascii="Cambria Math" w:hAnsi="Cambria Math" w:cs="Times New Roman"/>
                  <w:color w:val="000000" w:themeColor="text1"/>
                  <w:sz w:val="24"/>
                </w:rPr>
                <m:t>Weight of dry resin (mg)</m:t>
              </m:r>
            </m:den>
          </m:f>
        </m:oMath>
      </m:oMathPara>
    </w:p>
    <w:p w14:paraId="313B6877" w14:textId="77777777" w:rsidR="00F71119" w:rsidRDefault="00000000">
      <w:pPr>
        <w:spacing w:line="480" w:lineRule="auto"/>
        <w:rPr>
          <w:rFonts w:ascii="Times New Roman" w:hAnsi="Times New Roman" w:cs="Times New Roman"/>
          <w:i/>
          <w:iCs/>
          <w:sz w:val="24"/>
        </w:rPr>
      </w:pPr>
      <w:r>
        <w:rPr>
          <w:rFonts w:ascii="Times New Roman" w:hAnsi="Times New Roman" w:cs="Times New Roman"/>
          <w:i/>
          <w:iCs/>
          <w:sz w:val="24"/>
        </w:rPr>
        <w:t>Small angle x-ray scattering</w:t>
      </w:r>
    </w:p>
    <w:p w14:paraId="4F237DE3" w14:textId="77777777" w:rsidR="00F71119" w:rsidRDefault="00000000">
      <w:pPr>
        <w:spacing w:line="480" w:lineRule="auto"/>
        <w:rPr>
          <w:rFonts w:ascii="Times New Roman" w:hAnsi="Times New Roman" w:cs="Times New Roman"/>
          <w:sz w:val="24"/>
        </w:rPr>
      </w:pPr>
      <w:r>
        <w:rPr>
          <w:rFonts w:ascii="Times New Roman" w:hAnsi="Times New Roman" w:cs="Times New Roman"/>
          <w:sz w:val="24"/>
        </w:rPr>
        <w:t xml:space="preserve">SAXS measurements of bulk sample was conducted using a custom-built SAXS diffractometer at the </w:t>
      </w:r>
      <w:r>
        <w:rPr>
          <w:rStyle w:val="Emphasis"/>
          <w:rFonts w:ascii="Times New Roman" w:hAnsi="Times New Roman" w:cs="Times New Roman"/>
          <w:i w:val="0"/>
          <w:iCs w:val="0"/>
          <w:sz w:val="24"/>
        </w:rPr>
        <w:t>Centre for Microscopy and Microanalysis</w:t>
      </w:r>
      <w:r>
        <w:rPr>
          <w:rFonts w:ascii="Times New Roman" w:hAnsi="Times New Roman" w:cs="Times New Roman"/>
          <w:sz w:val="24"/>
        </w:rPr>
        <w:t xml:space="preserve"> (CMM) X-ray facility (University Queensland). For these experiments, 1.54 Ǻ Cu Kα X-rays were generated </w:t>
      </w:r>
      <w:r>
        <w:rPr>
          <w:rFonts w:ascii="Times New Roman" w:hAnsi="Times New Roman" w:cs="Times New Roman"/>
          <w:sz w:val="24"/>
        </w:rPr>
        <w:lastRenderedPageBreak/>
        <w:t xml:space="preserve">using a </w:t>
      </w:r>
      <w:proofErr w:type="spellStart"/>
      <w:r>
        <w:rPr>
          <w:rFonts w:ascii="Times New Roman" w:hAnsi="Times New Roman" w:cs="Times New Roman"/>
          <w:sz w:val="24"/>
        </w:rPr>
        <w:t>Genix</w:t>
      </w:r>
      <w:proofErr w:type="spellEnd"/>
      <w:r>
        <w:rPr>
          <w:rFonts w:ascii="Times New Roman" w:hAnsi="Times New Roman" w:cs="Times New Roman"/>
          <w:sz w:val="24"/>
        </w:rPr>
        <w:t xml:space="preserve"> 50 W X-ray </w:t>
      </w:r>
      <w:proofErr w:type="spellStart"/>
      <w:r>
        <w:rPr>
          <w:rFonts w:ascii="Times New Roman" w:hAnsi="Times New Roman" w:cs="Times New Roman"/>
          <w:sz w:val="24"/>
        </w:rPr>
        <w:t>microsource</w:t>
      </w:r>
      <w:proofErr w:type="spellEnd"/>
      <w:r>
        <w:rPr>
          <w:rFonts w:ascii="Times New Roman" w:hAnsi="Times New Roman" w:cs="Times New Roman"/>
          <w:sz w:val="24"/>
        </w:rPr>
        <w:t xml:space="preserve"> (50 </w:t>
      </w:r>
      <w:proofErr w:type="spellStart"/>
      <w:r>
        <w:rPr>
          <w:rFonts w:ascii="Times New Roman" w:hAnsi="Times New Roman" w:cs="Times New Roman"/>
          <w:sz w:val="24"/>
        </w:rPr>
        <w:t>μm</w:t>
      </w:r>
      <w:proofErr w:type="spellEnd"/>
      <w:r>
        <w:rPr>
          <w:rFonts w:ascii="Times New Roman" w:hAnsi="Times New Roman" w:cs="Times New Roman"/>
          <w:sz w:val="24"/>
        </w:rPr>
        <w:t xml:space="preserve"> micro-focus) equipped with FOX2D collimating multilayer optics (</w:t>
      </w:r>
      <w:proofErr w:type="spellStart"/>
      <w:r>
        <w:rPr>
          <w:rFonts w:ascii="Times New Roman" w:hAnsi="Times New Roman" w:cs="Times New Roman"/>
          <w:sz w:val="24"/>
        </w:rPr>
        <w:t>Xenocs</w:t>
      </w:r>
      <w:proofErr w:type="spellEnd"/>
      <w:r>
        <w:rPr>
          <w:rFonts w:ascii="Times New Roman" w:hAnsi="Times New Roman" w:cs="Times New Roman"/>
          <w:sz w:val="24"/>
        </w:rPr>
        <w:t xml:space="preserve">, France) and high efficiency </w:t>
      </w:r>
      <w:proofErr w:type="spellStart"/>
      <w:r>
        <w:rPr>
          <w:rFonts w:ascii="Times New Roman" w:hAnsi="Times New Roman" w:cs="Times New Roman"/>
          <w:sz w:val="24"/>
        </w:rPr>
        <w:t>scatterless</w:t>
      </w:r>
      <w:proofErr w:type="spellEnd"/>
      <w:r>
        <w:rPr>
          <w:rFonts w:ascii="Times New Roman" w:hAnsi="Times New Roman" w:cs="Times New Roman"/>
          <w:sz w:val="24"/>
        </w:rPr>
        <w:t xml:space="preserve"> single crystal/metal hybrid slits.</w:t>
      </w:r>
    </w:p>
    <w:p w14:paraId="1FA15372" w14:textId="77777777" w:rsidR="00F71119" w:rsidRDefault="00000000">
      <w:pPr>
        <w:spacing w:line="480" w:lineRule="auto"/>
        <w:rPr>
          <w:rFonts w:ascii="Times New Roman" w:hAnsi="Times New Roman" w:cs="Times New Roman"/>
          <w:i/>
          <w:iCs/>
          <w:sz w:val="24"/>
        </w:rPr>
      </w:pPr>
      <w:r>
        <w:rPr>
          <w:rFonts w:ascii="Times New Roman" w:hAnsi="Times New Roman" w:cs="Times New Roman"/>
          <w:i/>
          <w:iCs/>
          <w:sz w:val="24"/>
        </w:rPr>
        <w:t xml:space="preserve">NMR </w:t>
      </w:r>
      <w:bookmarkEnd w:id="2"/>
      <w:r>
        <w:rPr>
          <w:rFonts w:ascii="Times New Roman" w:hAnsi="Times New Roman" w:cs="Times New Roman"/>
          <w:i/>
          <w:iCs/>
          <w:sz w:val="24"/>
        </w:rPr>
        <w:t xml:space="preserve">spectroscopy </w:t>
      </w:r>
      <w:r>
        <w:rPr>
          <w:rFonts w:ascii="Times New Roman" w:eastAsiaTheme="minorHAnsi" w:hAnsi="Times New Roman" w:cs="Times New Roman"/>
          <w:i/>
          <w:iCs/>
          <w:sz w:val="24"/>
        </w:rPr>
        <w:t xml:space="preserve"> </w:t>
      </w:r>
    </w:p>
    <w:p w14:paraId="0B0AF80F" w14:textId="77777777" w:rsidR="00F71119" w:rsidRDefault="00000000">
      <w:pPr>
        <w:spacing w:line="480" w:lineRule="auto"/>
        <w:rPr>
          <w:rFonts w:ascii="Times New Roman" w:hAnsi="Times New Roman" w:cs="Times New Roman"/>
          <w:sz w:val="24"/>
        </w:rPr>
      </w:pPr>
      <w:r>
        <w:rPr>
          <w:rFonts w:ascii="Times New Roman" w:hAnsi="Times New Roman" w:cs="Times New Roman"/>
          <w:sz w:val="24"/>
        </w:rPr>
        <w:t xml:space="preserve">The monomer </w:t>
      </w:r>
      <w:proofErr w:type="spellStart"/>
      <w:r>
        <w:rPr>
          <w:rFonts w:ascii="Times New Roman" w:hAnsi="Times New Roman" w:cs="Times New Roman"/>
          <w:sz w:val="24"/>
        </w:rPr>
        <w:t>sPFPE</w:t>
      </w:r>
      <w:proofErr w:type="spellEnd"/>
      <w:r>
        <w:rPr>
          <w:rFonts w:ascii="Times New Roman" w:hAnsi="Times New Roman" w:cs="Times New Roman"/>
          <w:sz w:val="24"/>
        </w:rPr>
        <w:t xml:space="preserve"> synthesis is confirmed by </w:t>
      </w:r>
      <w:r>
        <w:rPr>
          <w:rFonts w:ascii="Times New Roman" w:hAnsi="Times New Roman" w:cs="Times New Roman"/>
          <w:sz w:val="24"/>
          <w:vertAlign w:val="superscript"/>
        </w:rPr>
        <w:t>1</w:t>
      </w:r>
      <w:r>
        <w:rPr>
          <w:rFonts w:ascii="Times New Roman" w:hAnsi="Times New Roman" w:cs="Times New Roman"/>
          <w:sz w:val="24"/>
        </w:rPr>
        <w:t xml:space="preserve">H NMR of the </w:t>
      </w:r>
      <w:proofErr w:type="spellStart"/>
      <w:r>
        <w:rPr>
          <w:rFonts w:ascii="Times New Roman" w:hAnsi="Times New Roman" w:cs="Times New Roman"/>
          <w:sz w:val="24"/>
        </w:rPr>
        <w:t>sPFPE</w:t>
      </w:r>
      <w:proofErr w:type="spellEnd"/>
      <w:r>
        <w:rPr>
          <w:rFonts w:ascii="Times New Roman" w:hAnsi="Times New Roman" w:cs="Times New Roman"/>
          <w:sz w:val="24"/>
        </w:rPr>
        <w:t xml:space="preserve"> dispersed and thoroughly mixed with CDCl</w:t>
      </w:r>
      <w:r>
        <w:rPr>
          <w:rFonts w:ascii="Times New Roman" w:hAnsi="Times New Roman" w:cs="Times New Roman"/>
          <w:sz w:val="24"/>
          <w:vertAlign w:val="subscript"/>
        </w:rPr>
        <w:t>3</w:t>
      </w:r>
      <w:r>
        <w:rPr>
          <w:rFonts w:ascii="Times New Roman" w:hAnsi="Times New Roman" w:cs="Times New Roman"/>
          <w:sz w:val="24"/>
        </w:rPr>
        <w:t xml:space="preserve">. The characterization is done using Bruker Advance 400 MHz (9.4 T) spectrometer at 25 ℃, other parameters maintained were a 90° pulse width of 14 µs, relaxation delay of 1 s, the acquisition time of 4.1 s, and 64 scans. The </w:t>
      </w:r>
      <w:r>
        <w:rPr>
          <w:rFonts w:ascii="Times New Roman" w:hAnsi="Times New Roman" w:cs="Times New Roman"/>
          <w:sz w:val="24"/>
          <w:vertAlign w:val="superscript"/>
        </w:rPr>
        <w:t>19</w:t>
      </w:r>
      <w:r>
        <w:rPr>
          <w:rFonts w:ascii="Times New Roman" w:hAnsi="Times New Roman" w:cs="Times New Roman"/>
          <w:sz w:val="24"/>
        </w:rPr>
        <w:t xml:space="preserve">F NMR spectra were utilized to analyze the absorption capacity of the PFPE-IEX resins as compared to the commercially available resins such as Granular activated carbon and Ion exchange resin. The </w:t>
      </w:r>
      <w:r>
        <w:rPr>
          <w:rFonts w:ascii="Times New Roman" w:hAnsi="Times New Roman" w:cs="Times New Roman"/>
          <w:sz w:val="24"/>
          <w:vertAlign w:val="superscript"/>
        </w:rPr>
        <w:t>19</w:t>
      </w:r>
      <w:r>
        <w:rPr>
          <w:rFonts w:ascii="Times New Roman" w:hAnsi="Times New Roman" w:cs="Times New Roman"/>
          <w:sz w:val="24"/>
        </w:rPr>
        <w:t>F NMR spectra were obtained using a coaxial insert filled with D</w:t>
      </w:r>
      <w:r>
        <w:rPr>
          <w:rFonts w:ascii="Times New Roman" w:hAnsi="Times New Roman" w:cs="Times New Roman"/>
          <w:sz w:val="24"/>
          <w:vertAlign w:val="subscript"/>
        </w:rPr>
        <w:t>2</w:t>
      </w:r>
      <w:r>
        <w:rPr>
          <w:rFonts w:ascii="Times New Roman" w:hAnsi="Times New Roman" w:cs="Times New Roman"/>
          <w:sz w:val="24"/>
        </w:rPr>
        <w:t>O for the measurement of the sample dissolved in H</w:t>
      </w:r>
      <w:r>
        <w:rPr>
          <w:rFonts w:ascii="Times New Roman" w:hAnsi="Times New Roman" w:cs="Times New Roman"/>
          <w:sz w:val="24"/>
          <w:vertAlign w:val="subscript"/>
        </w:rPr>
        <w:t>2</w:t>
      </w:r>
      <w:r>
        <w:rPr>
          <w:rFonts w:ascii="Times New Roman" w:hAnsi="Times New Roman" w:cs="Times New Roman"/>
          <w:sz w:val="24"/>
        </w:rPr>
        <w:t>O in a 4:1 ratio of H</w:t>
      </w:r>
      <w:r>
        <w:rPr>
          <w:rFonts w:ascii="Times New Roman" w:hAnsi="Times New Roman" w:cs="Times New Roman"/>
          <w:sz w:val="24"/>
          <w:vertAlign w:val="subscript"/>
        </w:rPr>
        <w:t>2</w:t>
      </w:r>
      <w:r>
        <w:rPr>
          <w:rFonts w:ascii="Times New Roman" w:hAnsi="Times New Roman" w:cs="Times New Roman"/>
          <w:sz w:val="24"/>
        </w:rPr>
        <w:t>O: D</w:t>
      </w:r>
      <w:r>
        <w:rPr>
          <w:rFonts w:ascii="Times New Roman" w:hAnsi="Times New Roman" w:cs="Times New Roman"/>
          <w:sz w:val="24"/>
          <w:vertAlign w:val="subscript"/>
        </w:rPr>
        <w:t>2</w:t>
      </w:r>
      <w:r>
        <w:rPr>
          <w:rFonts w:ascii="Times New Roman" w:hAnsi="Times New Roman" w:cs="Times New Roman"/>
          <w:sz w:val="24"/>
        </w:rPr>
        <w:t xml:space="preserve">O. The </w:t>
      </w:r>
      <w:r>
        <w:rPr>
          <w:rFonts w:ascii="Times New Roman" w:hAnsi="Times New Roman" w:cs="Times New Roman"/>
          <w:sz w:val="24"/>
          <w:vertAlign w:val="superscript"/>
        </w:rPr>
        <w:t>19</w:t>
      </w:r>
      <w:r>
        <w:rPr>
          <w:rFonts w:ascii="Times New Roman" w:hAnsi="Times New Roman" w:cs="Times New Roman"/>
          <w:sz w:val="24"/>
        </w:rPr>
        <w:t>F NMR spectra were measured applying the conditions as follows: 90° pulse width 15 µs, 2 s relaxation delay, 0.73 s acquisition time, and 128 scans.</w:t>
      </w:r>
      <w:bookmarkStart w:id="6" w:name="_Toc118712579"/>
    </w:p>
    <w:p w14:paraId="3EDB2167" w14:textId="77777777" w:rsidR="00F71119" w:rsidRDefault="00000000">
      <w:pPr>
        <w:spacing w:line="480" w:lineRule="auto"/>
        <w:rPr>
          <w:rFonts w:ascii="Times New Roman" w:hAnsi="Times New Roman" w:cs="Times New Roman"/>
          <w:bCs/>
          <w:i/>
          <w:iCs/>
          <w:sz w:val="24"/>
        </w:rPr>
      </w:pPr>
      <w:r>
        <w:rPr>
          <w:rFonts w:ascii="Times New Roman" w:hAnsi="Times New Roman" w:cs="Times New Roman"/>
          <w:bCs/>
          <w:i/>
          <w:iCs/>
          <w:sz w:val="24"/>
        </w:rPr>
        <w:t xml:space="preserve">Solid-state NMR </w:t>
      </w:r>
      <w:bookmarkEnd w:id="6"/>
      <w:r>
        <w:rPr>
          <w:rFonts w:ascii="Times New Roman" w:hAnsi="Times New Roman" w:cs="Times New Roman"/>
          <w:bCs/>
          <w:i/>
          <w:iCs/>
          <w:sz w:val="24"/>
        </w:rPr>
        <w:t xml:space="preserve">spectroscopy </w:t>
      </w:r>
    </w:p>
    <w:p w14:paraId="779D50F8" w14:textId="77777777" w:rsidR="00F71119" w:rsidRDefault="00000000">
      <w:pPr>
        <w:pStyle w:val="NormalWeb"/>
        <w:shd w:val="clear" w:color="auto" w:fill="FFFFFF"/>
        <w:spacing w:before="0" w:beforeAutospacing="0" w:after="0" w:afterAutospacing="0" w:line="480" w:lineRule="auto"/>
        <w:jc w:val="both"/>
        <w:rPr>
          <w:rFonts w:ascii="Times New Roman" w:hAnsi="Times New Roman" w:cs="Times New Roman"/>
          <w:color w:val="242424"/>
        </w:rPr>
      </w:pPr>
      <w:r>
        <w:rPr>
          <w:rFonts w:ascii="Times New Roman" w:hAnsi="Times New Roman" w:cs="Times New Roman"/>
          <w:color w:val="242424"/>
        </w:rPr>
        <w:t xml:space="preserve">The degree of the quaternization of the PFPE-IEX resin was analyzed using the solid-state NMR at the </w:t>
      </w:r>
      <w:r>
        <w:rPr>
          <w:rFonts w:ascii="Times New Roman" w:hAnsi="Times New Roman" w:cs="Times New Roman"/>
          <w:color w:val="202124"/>
          <w:shd w:val="clear" w:color="auto" w:fill="FFFFFF"/>
        </w:rPr>
        <w:t xml:space="preserve">Centre for Advanced Imaging (CAI), University of Queensland. The specification of the system is as follows: it is a </w:t>
      </w:r>
      <w:r>
        <w:rPr>
          <w:rFonts w:ascii="Times New Roman" w:hAnsi="Times New Roman" w:cs="Times New Roman"/>
          <w:color w:val="242424"/>
        </w:rPr>
        <w:t xml:space="preserve">300Mhz system, with a 4 mm rotor, 5kHz spinning, CPMAS used in this case is 1ms cross-polarization time with 3ms recycling delay, and 100 </w:t>
      </w:r>
      <w:proofErr w:type="spellStart"/>
      <w:r>
        <w:rPr>
          <w:rFonts w:ascii="Times New Roman" w:hAnsi="Times New Roman" w:cs="Times New Roman"/>
          <w:color w:val="242424"/>
        </w:rPr>
        <w:t>kHzh</w:t>
      </w:r>
      <w:proofErr w:type="spellEnd"/>
      <w:r>
        <w:rPr>
          <w:rFonts w:ascii="Times New Roman" w:hAnsi="Times New Roman" w:cs="Times New Roman"/>
          <w:color w:val="242424"/>
        </w:rPr>
        <w:t xml:space="preserve"> ppm decoupling.</w:t>
      </w:r>
      <w:bookmarkStart w:id="7" w:name="_Toc118712580"/>
    </w:p>
    <w:p w14:paraId="69383127" w14:textId="77777777" w:rsidR="00F71119" w:rsidRDefault="00000000">
      <w:pPr>
        <w:pStyle w:val="NormalWeb"/>
        <w:shd w:val="clear" w:color="auto" w:fill="FFFFFF"/>
        <w:spacing w:before="0" w:beforeAutospacing="0" w:after="0" w:afterAutospacing="0" w:line="480" w:lineRule="auto"/>
        <w:jc w:val="both"/>
        <w:rPr>
          <w:rFonts w:ascii="Times New Roman" w:hAnsi="Times New Roman" w:cs="Times New Roman"/>
          <w:bCs/>
          <w:i/>
          <w:iCs/>
          <w:color w:val="242424"/>
        </w:rPr>
      </w:pPr>
      <w:r>
        <w:rPr>
          <w:rFonts w:ascii="Times New Roman" w:hAnsi="Times New Roman" w:cs="Times New Roman"/>
          <w:bCs/>
          <w:i/>
          <w:iCs/>
        </w:rPr>
        <w:t>Fourier transform infrared spectroscopy (FT-IR)</w:t>
      </w:r>
      <w:bookmarkEnd w:id="7"/>
    </w:p>
    <w:p w14:paraId="2BC29723" w14:textId="77777777" w:rsidR="00F71119" w:rsidRDefault="00000000">
      <w:pPr>
        <w:spacing w:line="480" w:lineRule="auto"/>
        <w:rPr>
          <w:rFonts w:ascii="Times New Roman" w:hAnsi="Times New Roman" w:cs="Times New Roman"/>
          <w:sz w:val="24"/>
        </w:rPr>
      </w:pPr>
      <w:r>
        <w:rPr>
          <w:rFonts w:ascii="Times New Roman" w:hAnsi="Times New Roman" w:cs="Times New Roman"/>
          <w:sz w:val="24"/>
        </w:rPr>
        <w:t xml:space="preserve">The FT-IR was employed here to understand the quaternization of the PFPE-IEX resin. </w:t>
      </w:r>
      <w:r>
        <w:rPr>
          <w:rFonts w:ascii="Times New Roman" w:hAnsi="Times New Roman" w:cs="Times New Roman"/>
          <w:sz w:val="24"/>
        </w:rPr>
        <w:lastRenderedPageBreak/>
        <w:t>The analysis was conducted using the Nicolet 5700 FT-IR spectrometer from Thermo-Fisher, the set of conditions applied while collecting the spectra are as follows: DTGS-TEC detector, autogain, IR turbo, smart orbit accessory, diamond window material, a velocity of 0.6329, aperture of 100, range from 4000 to 500 cm</w:t>
      </w:r>
      <w:r>
        <w:rPr>
          <w:rFonts w:ascii="Times New Roman" w:hAnsi="Times New Roman" w:cs="Times New Roman"/>
          <w:sz w:val="24"/>
          <w:vertAlign w:val="superscript"/>
        </w:rPr>
        <w:t>-1</w:t>
      </w:r>
      <w:r>
        <w:rPr>
          <w:rFonts w:ascii="Times New Roman" w:hAnsi="Times New Roman" w:cs="Times New Roman"/>
          <w:sz w:val="24"/>
        </w:rPr>
        <w:t>. The background collection of 128 scans was done before polymer spectra collection for which as well same scan rate is applied. The increased scan rate ensures the accuracy of the spectra and reduces the noise.</w:t>
      </w:r>
      <w:bookmarkStart w:id="8" w:name="_Toc118712581"/>
    </w:p>
    <w:p w14:paraId="632CD7C1" w14:textId="77777777" w:rsidR="00F71119" w:rsidRDefault="00000000">
      <w:pPr>
        <w:spacing w:line="480" w:lineRule="auto"/>
        <w:rPr>
          <w:rFonts w:ascii="Times New Roman" w:hAnsi="Times New Roman" w:cs="Times New Roman"/>
          <w:bCs/>
          <w:i/>
          <w:iCs/>
          <w:sz w:val="24"/>
        </w:rPr>
      </w:pPr>
      <w:r>
        <w:rPr>
          <w:rFonts w:ascii="Times New Roman" w:hAnsi="Times New Roman" w:cs="Times New Roman"/>
          <w:bCs/>
          <w:i/>
          <w:iCs/>
          <w:sz w:val="24"/>
        </w:rPr>
        <w:t>LC-MS</w:t>
      </w:r>
      <w:bookmarkEnd w:id="8"/>
      <w:r>
        <w:rPr>
          <w:rFonts w:ascii="Times New Roman" w:hAnsi="Times New Roman" w:cs="Times New Roman"/>
          <w:bCs/>
          <w:i/>
          <w:iCs/>
          <w:sz w:val="24"/>
        </w:rPr>
        <w:t>/MS</w:t>
      </w:r>
    </w:p>
    <w:p w14:paraId="4A5DF03D" w14:textId="77777777" w:rsidR="00F71119" w:rsidRDefault="00000000">
      <w:pPr>
        <w:spacing w:line="480" w:lineRule="auto"/>
        <w:rPr>
          <w:rFonts w:ascii="Times New Roman" w:hAnsi="Times New Roman" w:cs="Times New Roman"/>
          <w:sz w:val="24"/>
        </w:rPr>
      </w:pPr>
      <w:r>
        <w:rPr>
          <w:rFonts w:ascii="Times New Roman" w:hAnsi="Times New Roman" w:cs="Times New Roman"/>
          <w:sz w:val="24"/>
        </w:rPr>
        <w:t xml:space="preserve">The LC-MS Analysis was utilized for the isothermal study using HFPO-DA absorption of PFAS from leachate using cartridge column, and multiple PFAS absorption studies. A </w:t>
      </w:r>
      <w:proofErr w:type="spellStart"/>
      <w:r>
        <w:rPr>
          <w:rFonts w:ascii="Times New Roman" w:hAnsi="Times New Roman" w:cs="Times New Roman"/>
          <w:sz w:val="24"/>
        </w:rPr>
        <w:t>Sciex</w:t>
      </w:r>
      <w:proofErr w:type="spellEnd"/>
      <w:r>
        <w:rPr>
          <w:rFonts w:ascii="Times New Roman" w:hAnsi="Times New Roman" w:cs="Times New Roman"/>
          <w:sz w:val="24"/>
        </w:rPr>
        <w:t xml:space="preserve"> X500R QTOF system from </w:t>
      </w:r>
      <w:proofErr w:type="spellStart"/>
      <w:r>
        <w:rPr>
          <w:rFonts w:ascii="Times New Roman" w:hAnsi="Times New Roman" w:cs="Times New Roman"/>
          <w:sz w:val="24"/>
        </w:rPr>
        <w:t>Sciex</w:t>
      </w:r>
      <w:proofErr w:type="spellEnd"/>
      <w:r>
        <w:rPr>
          <w:rFonts w:ascii="Times New Roman" w:hAnsi="Times New Roman" w:cs="Times New Roman"/>
          <w:sz w:val="24"/>
        </w:rPr>
        <w:t xml:space="preserve"> Applied Biosystems, MA, USA was coupled to an </w:t>
      </w:r>
      <w:proofErr w:type="spellStart"/>
      <w:r>
        <w:rPr>
          <w:rFonts w:ascii="Times New Roman" w:hAnsi="Times New Roman" w:cs="Times New Roman"/>
          <w:sz w:val="24"/>
        </w:rPr>
        <w:t>Exion</w:t>
      </w:r>
      <w:proofErr w:type="spellEnd"/>
      <w:r>
        <w:rPr>
          <w:rFonts w:ascii="Times New Roman" w:hAnsi="Times New Roman" w:cs="Times New Roman"/>
          <w:sz w:val="24"/>
        </w:rPr>
        <w:t xml:space="preserve"> LC AC liquid C 18 chromatograph whose specifications are as follows: 50 × 2.1 mm, 2.6 µm particle size from Phenomenex, USA. The temperature was maintained at 40 ℃ throughout the analysis. The other specifications include the mass spectrometer operated at m/z 413.0 in a negative ion scan mode of the precursor. The quantification of the absorption analysis was done using the fragment at m/z 169.002 ± 0.025. The flow rate was set to 0.3 ml/min and a 7 µl injection volume was used. The composition of the mobile phase includes 0.5 mM of aqueous ammonium acetate acid (A) and 0.5 mM aqueous ammonium acetate acid/90 % methanol (v/v) (B). The conditions set for the gradient are as follows: 40 % of the solvent B for 0.7 min, which is increased from 40 to 70 % within 0.1 min, further increased to 100 % at 2 min, and then held for 2.5 min. After that solvent B was returned to 40 % in 0.1 min. Since the </w:t>
      </w:r>
      <w:r>
        <w:rPr>
          <w:rFonts w:ascii="Times New Roman" w:hAnsi="Times New Roman" w:cs="Times New Roman"/>
          <w:sz w:val="24"/>
        </w:rPr>
        <w:lastRenderedPageBreak/>
        <w:t xml:space="preserve">QTOF system was operated in the negative electrospray ionization mode, the spray voltage was set to -4500 V. The temperature of the ionization chamber was maintained at 420 ℃ and curtain gas pressure was set to 30 psi, the ion source gases 1 and 2 were maintained at 50 psi at the same time. The </w:t>
      </w:r>
      <w:proofErr w:type="spellStart"/>
      <w:r>
        <w:rPr>
          <w:rFonts w:ascii="Times New Roman" w:hAnsi="Times New Roman" w:cs="Times New Roman"/>
          <w:sz w:val="24"/>
        </w:rPr>
        <w:t>declustering</w:t>
      </w:r>
      <w:proofErr w:type="spellEnd"/>
      <w:r>
        <w:rPr>
          <w:rFonts w:ascii="Times New Roman" w:hAnsi="Times New Roman" w:cs="Times New Roman"/>
          <w:sz w:val="24"/>
        </w:rPr>
        <w:t xml:space="preserve"> potential (DP) was - 60 eV and the collision energy was -10 eV for the TOF-MS.</w:t>
      </w:r>
    </w:p>
    <w:p w14:paraId="10D627EF" w14:textId="77777777" w:rsidR="00F71119" w:rsidRDefault="00000000">
      <w:pPr>
        <w:spacing w:line="480" w:lineRule="auto"/>
        <w:rPr>
          <w:rFonts w:ascii="Times New Roman" w:hAnsi="Times New Roman" w:cs="Times New Roman"/>
          <w:bCs/>
          <w:i/>
          <w:iCs/>
          <w:sz w:val="24"/>
        </w:rPr>
      </w:pPr>
      <w:proofErr w:type="gramStart"/>
      <w:r>
        <w:rPr>
          <w:rFonts w:ascii="Times New Roman" w:hAnsi="Times New Roman" w:cs="Times New Roman"/>
          <w:bCs/>
          <w:i/>
          <w:iCs/>
          <w:sz w:val="24"/>
        </w:rPr>
        <w:t>Inductively-coupled</w:t>
      </w:r>
      <w:proofErr w:type="gramEnd"/>
      <w:r>
        <w:rPr>
          <w:rFonts w:ascii="Times New Roman" w:hAnsi="Times New Roman" w:cs="Times New Roman"/>
          <w:bCs/>
          <w:i/>
          <w:iCs/>
          <w:sz w:val="24"/>
        </w:rPr>
        <w:t xml:space="preserve"> plasma optical emission spectrometer (ICP-OES)</w:t>
      </w:r>
    </w:p>
    <w:p w14:paraId="02C6B227" w14:textId="77777777" w:rsidR="00F71119" w:rsidRDefault="00000000">
      <w:pPr>
        <w:widowControl/>
        <w:spacing w:line="480" w:lineRule="auto"/>
        <w:rPr>
          <w:rFonts w:ascii="Times New Roman" w:hAnsi="Times New Roman" w:cs="Times New Roman"/>
          <w:sz w:val="24"/>
        </w:rPr>
      </w:pPr>
      <w:r>
        <w:rPr>
          <w:rFonts w:ascii="Times New Roman" w:hAnsi="Times New Roman" w:cs="Times New Roman"/>
          <w:sz w:val="24"/>
        </w:rPr>
        <w:t>Potable and landfill leachate water samples were collected and prepared for analysis of metal ion concentration. The collected samples were digested using a 1 mL solution of 20% nitric acid (HNO</w:t>
      </w:r>
      <w:r>
        <w:rPr>
          <w:rFonts w:ascii="Times New Roman" w:hAnsi="Times New Roman" w:cs="Times New Roman"/>
          <w:sz w:val="24"/>
          <w:vertAlign w:val="subscript"/>
        </w:rPr>
        <w:t>3</w:t>
      </w:r>
      <w:r>
        <w:rPr>
          <w:rFonts w:ascii="Times New Roman" w:hAnsi="Times New Roman" w:cs="Times New Roman"/>
          <w:sz w:val="24"/>
        </w:rPr>
        <w:t>). This digestion step is to solubilize and stabilize the elements of interest for subsequent analysis. Following digestion, the sample solution was carefully diluted to a final concentration of 2% nitric acid (HNO</w:t>
      </w:r>
      <w:r>
        <w:rPr>
          <w:rFonts w:ascii="Times New Roman" w:hAnsi="Times New Roman" w:cs="Times New Roman"/>
          <w:sz w:val="24"/>
          <w:vertAlign w:val="subscript"/>
        </w:rPr>
        <w:t>3</w:t>
      </w:r>
      <w:r>
        <w:rPr>
          <w:rFonts w:ascii="Times New Roman" w:hAnsi="Times New Roman" w:cs="Times New Roman"/>
          <w:sz w:val="24"/>
        </w:rPr>
        <w:t xml:space="preserve">) with a total volume of 10 </w:t>
      </w:r>
      <w:proofErr w:type="spellStart"/>
      <w:r>
        <w:rPr>
          <w:rFonts w:ascii="Times New Roman" w:hAnsi="Times New Roman" w:cs="Times New Roman"/>
          <w:sz w:val="24"/>
        </w:rPr>
        <w:t>mL.</w:t>
      </w:r>
      <w:proofErr w:type="spellEnd"/>
      <w:r>
        <w:rPr>
          <w:rFonts w:ascii="Times New Roman" w:hAnsi="Times New Roman" w:cs="Times New Roman"/>
          <w:sz w:val="24"/>
        </w:rPr>
        <w:t xml:space="preserve"> This dilution step ensures that the sample is in an optimal state for analysis while minimizing interference from excessive acid content. Subsequently, the prepared sample was subjected to analysis using the Perkin Elmer Optima 8300DV </w:t>
      </w:r>
      <w:proofErr w:type="gramStart"/>
      <w:r>
        <w:rPr>
          <w:rFonts w:ascii="Times New Roman" w:hAnsi="Times New Roman" w:cs="Times New Roman"/>
          <w:sz w:val="24"/>
        </w:rPr>
        <w:t>inductively-coupled</w:t>
      </w:r>
      <w:proofErr w:type="gramEnd"/>
      <w:r>
        <w:rPr>
          <w:rFonts w:ascii="Times New Roman" w:hAnsi="Times New Roman" w:cs="Times New Roman"/>
          <w:sz w:val="24"/>
        </w:rPr>
        <w:t xml:space="preserve"> plasma optical emission spectrometer (ICP-OES).</w:t>
      </w:r>
    </w:p>
    <w:p w14:paraId="1BAD29BC" w14:textId="77777777" w:rsidR="00F71119" w:rsidRDefault="00000000">
      <w:pPr>
        <w:widowControl/>
        <w:jc w:val="left"/>
        <w:rPr>
          <w:rFonts w:ascii="Times New Roman" w:hAnsi="Times New Roman" w:cs="Times New Roman"/>
          <w:sz w:val="24"/>
        </w:rPr>
      </w:pPr>
      <w:r>
        <w:rPr>
          <w:rFonts w:ascii="Times New Roman" w:hAnsi="Times New Roman" w:cs="Times New Roman"/>
          <w:sz w:val="24"/>
        </w:rPr>
        <w:br w:type="page"/>
      </w:r>
    </w:p>
    <w:p w14:paraId="5D26C12D" w14:textId="77777777" w:rsidR="00F71119" w:rsidRDefault="00F71119">
      <w:pPr>
        <w:widowControl/>
        <w:jc w:val="left"/>
        <w:rPr>
          <w:rFonts w:ascii="Times New Roman" w:hAnsi="Times New Roman" w:cs="Times New Roman"/>
          <w:sz w:val="24"/>
        </w:rPr>
      </w:pPr>
    </w:p>
    <w:p w14:paraId="32CDCED0" w14:textId="77777777" w:rsidR="00F71119" w:rsidRDefault="00000000">
      <w:pPr>
        <w:rPr>
          <w:rFonts w:ascii="Times New Roman" w:hAnsi="Times New Roman" w:cs="Times New Roman"/>
          <w:sz w:val="24"/>
        </w:rPr>
      </w:pPr>
      <w:r>
        <w:rPr>
          <w:rFonts w:ascii="Times New Roman" w:hAnsi="Times New Roman" w:cs="Times New Roman"/>
          <w:noProof/>
          <w:sz w:val="24"/>
        </w:rPr>
        <w:drawing>
          <wp:inline distT="0" distB="0" distL="0" distR="0" wp14:anchorId="47E0241B" wp14:editId="7CD60DE0">
            <wp:extent cx="5274310" cy="3461385"/>
            <wp:effectExtent l="0" t="0" r="0" b="5715"/>
            <wp:docPr id="3558992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899245" name="图片 1"/>
                    <pic:cNvPicPr>
                      <a:picLocks noChangeAspect="1"/>
                    </pic:cNvPicPr>
                  </pic:nvPicPr>
                  <pic:blipFill>
                    <a:blip r:embed="rId5"/>
                    <a:stretch>
                      <a:fillRect/>
                    </a:stretch>
                  </pic:blipFill>
                  <pic:spPr>
                    <a:xfrm>
                      <a:off x="0" y="0"/>
                      <a:ext cx="5274310" cy="3461385"/>
                    </a:xfrm>
                    <a:prstGeom prst="rect">
                      <a:avLst/>
                    </a:prstGeom>
                  </pic:spPr>
                </pic:pic>
              </a:graphicData>
            </a:graphic>
          </wp:inline>
        </w:drawing>
      </w:r>
    </w:p>
    <w:p w14:paraId="1C83D7E2" w14:textId="77777777" w:rsidR="00F71119" w:rsidRDefault="00000000">
      <w:pPr>
        <w:spacing w:line="480" w:lineRule="auto"/>
        <w:rPr>
          <w:rFonts w:ascii="Times New Roman" w:hAnsi="Times New Roman" w:cs="Times New Roman"/>
          <w:b/>
          <w:bCs/>
          <w:sz w:val="24"/>
        </w:rPr>
      </w:pPr>
      <w:r>
        <w:rPr>
          <w:rFonts w:ascii="Times New Roman" w:hAnsi="Times New Roman" w:cs="Times New Roman"/>
          <w:b/>
          <w:bCs/>
          <w:sz w:val="24"/>
        </w:rPr>
        <w:t xml:space="preserve">Supplementary Figure 1. </w:t>
      </w:r>
      <w:r>
        <w:rPr>
          <w:rFonts w:ascii="Times New Roman" w:hAnsi="Times New Roman" w:cs="Times New Roman"/>
          <w:sz w:val="24"/>
          <w:vertAlign w:val="superscript"/>
        </w:rPr>
        <w:t>19</w:t>
      </w:r>
      <w:r>
        <w:rPr>
          <w:rFonts w:ascii="Times New Roman" w:hAnsi="Times New Roman" w:cs="Times New Roman"/>
          <w:sz w:val="24"/>
        </w:rPr>
        <w:t xml:space="preserve">F NMR spectrum and corresponding assignment of </w:t>
      </w:r>
      <w:proofErr w:type="spellStart"/>
      <w:r>
        <w:rPr>
          <w:rFonts w:ascii="Times New Roman" w:hAnsi="Times New Roman" w:cs="Times New Roman"/>
          <w:sz w:val="24"/>
        </w:rPr>
        <w:t>sPFPE</w:t>
      </w:r>
      <w:proofErr w:type="spellEnd"/>
      <w:r>
        <w:rPr>
          <w:rFonts w:ascii="Times New Roman" w:hAnsi="Times New Roman" w:cs="Times New Roman"/>
          <w:sz w:val="24"/>
        </w:rPr>
        <w:t xml:space="preserve"> in CDCl</w:t>
      </w:r>
      <w:r>
        <w:rPr>
          <w:rFonts w:ascii="Times New Roman" w:hAnsi="Times New Roman" w:cs="Times New Roman"/>
          <w:sz w:val="24"/>
          <w:vertAlign w:val="subscript"/>
        </w:rPr>
        <w:t>3</w:t>
      </w:r>
      <w:r>
        <w:rPr>
          <w:rFonts w:ascii="Times New Roman" w:hAnsi="Times New Roman" w:cs="Times New Roman"/>
          <w:sz w:val="24"/>
        </w:rPr>
        <w:t>.</w:t>
      </w:r>
    </w:p>
    <w:p w14:paraId="08FDB62C" w14:textId="77777777" w:rsidR="00F71119" w:rsidRDefault="00000000">
      <w:pPr>
        <w:rPr>
          <w:rFonts w:ascii="Times New Roman" w:hAnsi="Times New Roman" w:cs="Times New Roman"/>
          <w:sz w:val="24"/>
        </w:rPr>
      </w:pPr>
      <w:r>
        <w:rPr>
          <w:rFonts w:ascii="Times New Roman" w:hAnsi="Times New Roman" w:cs="Times New Roman"/>
          <w:sz w:val="24"/>
        </w:rPr>
        <w:br w:type="page"/>
      </w:r>
    </w:p>
    <w:p w14:paraId="08426AE3" w14:textId="77777777" w:rsidR="00F71119" w:rsidRDefault="00000000">
      <w:pPr>
        <w:widowControl/>
        <w:spacing w:line="480" w:lineRule="auto"/>
        <w:jc w:val="left"/>
        <w:rPr>
          <w:rFonts w:ascii="Times New Roman" w:hAnsi="Times New Roman" w:cs="Times New Roman"/>
          <w:sz w:val="24"/>
        </w:rPr>
      </w:pPr>
      <w:r>
        <w:rPr>
          <w:rFonts w:ascii="Times New Roman" w:hAnsi="Times New Roman" w:cs="Times New Roman"/>
          <w:b/>
          <w:bCs/>
          <w:sz w:val="24"/>
        </w:rPr>
        <w:lastRenderedPageBreak/>
        <w:t>Supplementary</w:t>
      </w:r>
      <w:r>
        <w:rPr>
          <w:rFonts w:ascii="Times New Roman" w:hAnsi="Times New Roman" w:cs="Times New Roman"/>
          <w:sz w:val="24"/>
        </w:rPr>
        <w:t xml:space="preserve"> </w:t>
      </w:r>
      <w:r>
        <w:rPr>
          <w:rFonts w:ascii="Times New Roman" w:hAnsi="Times New Roman" w:cs="Times New Roman"/>
          <w:b/>
          <w:bCs/>
          <w:sz w:val="24"/>
        </w:rPr>
        <w:t>Table 1.</w:t>
      </w:r>
      <w:r>
        <w:rPr>
          <w:rFonts w:ascii="Times New Roman" w:hAnsi="Times New Roman" w:cs="Times New Roman"/>
          <w:sz w:val="24"/>
        </w:rPr>
        <w:t xml:space="preserve"> The preparation of PFPE-IEX resins.</w:t>
      </w:r>
    </w:p>
    <w:tbl>
      <w:tblPr>
        <w:tblW w:w="9073" w:type="dxa"/>
        <w:jc w:val="center"/>
        <w:tblBorders>
          <w:top w:val="single" w:sz="4" w:space="0" w:color="auto"/>
          <w:bottom w:val="single" w:sz="4" w:space="0" w:color="auto"/>
        </w:tblBorders>
        <w:tblLayout w:type="fixed"/>
        <w:tblLook w:val="04A0" w:firstRow="1" w:lastRow="0" w:firstColumn="1" w:lastColumn="0" w:noHBand="0" w:noVBand="1"/>
      </w:tblPr>
      <w:tblGrid>
        <w:gridCol w:w="1702"/>
        <w:gridCol w:w="1559"/>
        <w:gridCol w:w="1843"/>
        <w:gridCol w:w="1701"/>
        <w:gridCol w:w="1417"/>
        <w:gridCol w:w="851"/>
      </w:tblGrid>
      <w:tr w:rsidR="00F71119" w14:paraId="391813A0" w14:textId="77777777">
        <w:trPr>
          <w:trHeight w:val="320"/>
          <w:jc w:val="center"/>
        </w:trPr>
        <w:tc>
          <w:tcPr>
            <w:tcW w:w="1702" w:type="dxa"/>
            <w:tcBorders>
              <w:bottom w:val="single" w:sz="4" w:space="0" w:color="auto"/>
            </w:tcBorders>
            <w:shd w:val="clear" w:color="auto" w:fill="auto"/>
            <w:noWrap/>
            <w:vAlign w:val="center"/>
          </w:tcPr>
          <w:p w14:paraId="770B4314"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Sorbents</w:t>
            </w:r>
          </w:p>
        </w:tc>
        <w:tc>
          <w:tcPr>
            <w:tcW w:w="1559" w:type="dxa"/>
            <w:tcBorders>
              <w:bottom w:val="single" w:sz="4" w:space="0" w:color="auto"/>
            </w:tcBorders>
            <w:shd w:val="clear" w:color="auto" w:fill="auto"/>
            <w:noWrap/>
            <w:vAlign w:val="center"/>
          </w:tcPr>
          <w:p w14:paraId="06195473" w14:textId="77777777" w:rsidR="00F71119" w:rsidRDefault="00000000">
            <w:pPr>
              <w:jc w:val="center"/>
              <w:rPr>
                <w:rFonts w:ascii="Times New Roman" w:eastAsia="DengXian" w:hAnsi="Times New Roman" w:cs="Times New Roman"/>
                <w:color w:val="000000"/>
                <w:sz w:val="24"/>
              </w:rPr>
            </w:pPr>
            <w:proofErr w:type="spellStart"/>
            <w:r>
              <w:rPr>
                <w:rFonts w:ascii="Times New Roman" w:eastAsia="DengXian" w:hAnsi="Times New Roman" w:cs="Times New Roman"/>
                <w:color w:val="000000"/>
                <w:sz w:val="24"/>
              </w:rPr>
              <w:t>sPFPE</w:t>
            </w:r>
            <w:proofErr w:type="spellEnd"/>
            <w:r>
              <w:rPr>
                <w:rFonts w:ascii="Times New Roman" w:eastAsia="DengXian" w:hAnsi="Times New Roman" w:cs="Times New Roman"/>
                <w:color w:val="000000"/>
                <w:sz w:val="24"/>
              </w:rPr>
              <w:t xml:space="preserve"> (mg)</w:t>
            </w:r>
          </w:p>
        </w:tc>
        <w:tc>
          <w:tcPr>
            <w:tcW w:w="1843" w:type="dxa"/>
            <w:tcBorders>
              <w:bottom w:val="single" w:sz="4" w:space="0" w:color="auto"/>
            </w:tcBorders>
            <w:shd w:val="clear" w:color="auto" w:fill="auto"/>
            <w:noWrap/>
            <w:vAlign w:val="center"/>
          </w:tcPr>
          <w:p w14:paraId="14C96EC3"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VBC (mg)</w:t>
            </w:r>
          </w:p>
        </w:tc>
        <w:tc>
          <w:tcPr>
            <w:tcW w:w="1701" w:type="dxa"/>
            <w:tcBorders>
              <w:bottom w:val="single" w:sz="4" w:space="0" w:color="auto"/>
            </w:tcBorders>
            <w:shd w:val="clear" w:color="auto" w:fill="auto"/>
            <w:noWrap/>
            <w:vAlign w:val="center"/>
          </w:tcPr>
          <w:p w14:paraId="0EAADE0C"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DVB (mg)</w:t>
            </w:r>
          </w:p>
        </w:tc>
        <w:tc>
          <w:tcPr>
            <w:tcW w:w="1417" w:type="dxa"/>
            <w:tcBorders>
              <w:bottom w:val="single" w:sz="4" w:space="0" w:color="auto"/>
            </w:tcBorders>
            <w:shd w:val="clear" w:color="auto" w:fill="auto"/>
            <w:noWrap/>
            <w:vAlign w:val="center"/>
          </w:tcPr>
          <w:p w14:paraId="4C153678"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AIBN (mg)</w:t>
            </w:r>
          </w:p>
        </w:tc>
        <w:tc>
          <w:tcPr>
            <w:tcW w:w="851" w:type="dxa"/>
            <w:tcBorders>
              <w:bottom w:val="single" w:sz="4" w:space="0" w:color="auto"/>
            </w:tcBorders>
            <w:shd w:val="clear" w:color="auto" w:fill="auto"/>
            <w:noWrap/>
            <w:vAlign w:val="center"/>
          </w:tcPr>
          <w:p w14:paraId="64D777B4"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TFT (mL)</w:t>
            </w:r>
          </w:p>
        </w:tc>
      </w:tr>
      <w:tr w:rsidR="00F71119" w14:paraId="28D70714" w14:textId="77777777">
        <w:trPr>
          <w:trHeight w:val="320"/>
          <w:jc w:val="center"/>
        </w:trPr>
        <w:tc>
          <w:tcPr>
            <w:tcW w:w="1702" w:type="dxa"/>
            <w:tcBorders>
              <w:top w:val="single" w:sz="4" w:space="0" w:color="auto"/>
            </w:tcBorders>
            <w:shd w:val="clear" w:color="auto" w:fill="auto"/>
            <w:noWrap/>
            <w:vAlign w:val="center"/>
          </w:tcPr>
          <w:p w14:paraId="6BB5B5CB"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PFPE-IEX-4</w:t>
            </w:r>
          </w:p>
        </w:tc>
        <w:tc>
          <w:tcPr>
            <w:tcW w:w="1559" w:type="dxa"/>
            <w:tcBorders>
              <w:top w:val="single" w:sz="4" w:space="0" w:color="auto"/>
            </w:tcBorders>
            <w:shd w:val="clear" w:color="auto" w:fill="auto"/>
            <w:noWrap/>
            <w:vAlign w:val="center"/>
          </w:tcPr>
          <w:p w14:paraId="350C1054"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2000</w:t>
            </w:r>
          </w:p>
        </w:tc>
        <w:tc>
          <w:tcPr>
            <w:tcW w:w="1843" w:type="dxa"/>
            <w:tcBorders>
              <w:top w:val="single" w:sz="4" w:space="0" w:color="auto"/>
            </w:tcBorders>
            <w:shd w:val="clear" w:color="auto" w:fill="auto"/>
            <w:noWrap/>
            <w:vAlign w:val="center"/>
          </w:tcPr>
          <w:p w14:paraId="2ADB296E"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2500</w:t>
            </w:r>
          </w:p>
        </w:tc>
        <w:tc>
          <w:tcPr>
            <w:tcW w:w="1701" w:type="dxa"/>
            <w:tcBorders>
              <w:top w:val="single" w:sz="4" w:space="0" w:color="auto"/>
            </w:tcBorders>
            <w:shd w:val="clear" w:color="auto" w:fill="auto"/>
            <w:noWrap/>
            <w:vAlign w:val="center"/>
          </w:tcPr>
          <w:p w14:paraId="34D11C4E"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191 </w:t>
            </w:r>
          </w:p>
        </w:tc>
        <w:tc>
          <w:tcPr>
            <w:tcW w:w="1417" w:type="dxa"/>
            <w:tcBorders>
              <w:top w:val="single" w:sz="4" w:space="0" w:color="auto"/>
            </w:tcBorders>
            <w:shd w:val="clear" w:color="auto" w:fill="auto"/>
            <w:noWrap/>
            <w:vAlign w:val="center"/>
          </w:tcPr>
          <w:p w14:paraId="5537B0C7"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164</w:t>
            </w:r>
          </w:p>
        </w:tc>
        <w:tc>
          <w:tcPr>
            <w:tcW w:w="851" w:type="dxa"/>
            <w:tcBorders>
              <w:top w:val="single" w:sz="4" w:space="0" w:color="auto"/>
            </w:tcBorders>
            <w:shd w:val="clear" w:color="auto" w:fill="auto"/>
            <w:noWrap/>
            <w:vAlign w:val="center"/>
          </w:tcPr>
          <w:p w14:paraId="5485B754"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4</w:t>
            </w:r>
          </w:p>
        </w:tc>
      </w:tr>
      <w:tr w:rsidR="00F71119" w14:paraId="435A7E6B" w14:textId="77777777">
        <w:trPr>
          <w:trHeight w:val="320"/>
          <w:jc w:val="center"/>
        </w:trPr>
        <w:tc>
          <w:tcPr>
            <w:tcW w:w="1702" w:type="dxa"/>
            <w:shd w:val="clear" w:color="auto" w:fill="auto"/>
            <w:noWrap/>
            <w:vAlign w:val="center"/>
          </w:tcPr>
          <w:p w14:paraId="5C3763E1"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PFPE-IEX-10</w:t>
            </w:r>
          </w:p>
        </w:tc>
        <w:tc>
          <w:tcPr>
            <w:tcW w:w="1559" w:type="dxa"/>
            <w:shd w:val="clear" w:color="auto" w:fill="auto"/>
            <w:noWrap/>
            <w:vAlign w:val="center"/>
          </w:tcPr>
          <w:p w14:paraId="53FF91DE"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2000</w:t>
            </w:r>
          </w:p>
        </w:tc>
        <w:tc>
          <w:tcPr>
            <w:tcW w:w="1843" w:type="dxa"/>
            <w:shd w:val="clear" w:color="auto" w:fill="auto"/>
            <w:noWrap/>
            <w:vAlign w:val="center"/>
          </w:tcPr>
          <w:p w14:paraId="0E8BD768"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2200</w:t>
            </w:r>
          </w:p>
        </w:tc>
        <w:tc>
          <w:tcPr>
            <w:tcW w:w="1701" w:type="dxa"/>
            <w:shd w:val="clear" w:color="auto" w:fill="auto"/>
            <w:noWrap/>
            <w:vAlign w:val="center"/>
          </w:tcPr>
          <w:p w14:paraId="25D35785"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478 </w:t>
            </w:r>
          </w:p>
        </w:tc>
        <w:tc>
          <w:tcPr>
            <w:tcW w:w="1417" w:type="dxa"/>
            <w:shd w:val="clear" w:color="auto" w:fill="auto"/>
            <w:noWrap/>
            <w:vAlign w:val="center"/>
          </w:tcPr>
          <w:p w14:paraId="37D15FA2"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164</w:t>
            </w:r>
          </w:p>
        </w:tc>
        <w:tc>
          <w:tcPr>
            <w:tcW w:w="851" w:type="dxa"/>
            <w:shd w:val="clear" w:color="auto" w:fill="auto"/>
            <w:noWrap/>
            <w:vAlign w:val="center"/>
          </w:tcPr>
          <w:p w14:paraId="764EAD47"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4</w:t>
            </w:r>
          </w:p>
        </w:tc>
      </w:tr>
      <w:tr w:rsidR="00F71119" w14:paraId="2A1D231D" w14:textId="77777777">
        <w:trPr>
          <w:trHeight w:val="320"/>
          <w:jc w:val="center"/>
        </w:trPr>
        <w:tc>
          <w:tcPr>
            <w:tcW w:w="1702" w:type="dxa"/>
            <w:shd w:val="clear" w:color="auto" w:fill="auto"/>
            <w:noWrap/>
            <w:vAlign w:val="center"/>
          </w:tcPr>
          <w:p w14:paraId="01B0B1DB"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PFPE-IEX-20</w:t>
            </w:r>
          </w:p>
        </w:tc>
        <w:tc>
          <w:tcPr>
            <w:tcW w:w="1559" w:type="dxa"/>
            <w:shd w:val="clear" w:color="auto" w:fill="auto"/>
            <w:noWrap/>
            <w:vAlign w:val="center"/>
          </w:tcPr>
          <w:p w14:paraId="72A3D002"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2000</w:t>
            </w:r>
          </w:p>
        </w:tc>
        <w:tc>
          <w:tcPr>
            <w:tcW w:w="1843" w:type="dxa"/>
            <w:shd w:val="clear" w:color="auto" w:fill="auto"/>
            <w:noWrap/>
            <w:vAlign w:val="center"/>
          </w:tcPr>
          <w:p w14:paraId="116FD870"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1700</w:t>
            </w:r>
          </w:p>
        </w:tc>
        <w:tc>
          <w:tcPr>
            <w:tcW w:w="1701" w:type="dxa"/>
            <w:shd w:val="clear" w:color="auto" w:fill="auto"/>
            <w:noWrap/>
            <w:vAlign w:val="center"/>
          </w:tcPr>
          <w:p w14:paraId="0ACF06E6"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960 </w:t>
            </w:r>
          </w:p>
        </w:tc>
        <w:tc>
          <w:tcPr>
            <w:tcW w:w="1417" w:type="dxa"/>
            <w:shd w:val="clear" w:color="auto" w:fill="auto"/>
            <w:noWrap/>
            <w:vAlign w:val="center"/>
          </w:tcPr>
          <w:p w14:paraId="43486099"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164</w:t>
            </w:r>
          </w:p>
        </w:tc>
        <w:tc>
          <w:tcPr>
            <w:tcW w:w="851" w:type="dxa"/>
            <w:shd w:val="clear" w:color="auto" w:fill="auto"/>
            <w:noWrap/>
            <w:vAlign w:val="center"/>
          </w:tcPr>
          <w:p w14:paraId="4AAEAC84" w14:textId="77777777" w:rsidR="00F71119" w:rsidRDefault="00000000">
            <w:pPr>
              <w:jc w:val="center"/>
              <w:rPr>
                <w:rFonts w:ascii="Times New Roman" w:eastAsia="DengXian" w:hAnsi="Times New Roman" w:cs="Times New Roman"/>
                <w:color w:val="000000"/>
                <w:sz w:val="24"/>
              </w:rPr>
            </w:pPr>
            <w:r>
              <w:rPr>
                <w:rFonts w:ascii="Times New Roman" w:eastAsia="DengXian" w:hAnsi="Times New Roman" w:cs="Times New Roman"/>
                <w:color w:val="000000"/>
                <w:sz w:val="24"/>
              </w:rPr>
              <w:t>4</w:t>
            </w:r>
          </w:p>
        </w:tc>
      </w:tr>
    </w:tbl>
    <w:p w14:paraId="3AD8DD3D" w14:textId="77777777" w:rsidR="00F71119" w:rsidRDefault="00000000">
      <w:pPr>
        <w:widowControl/>
        <w:jc w:val="left"/>
        <w:rPr>
          <w:rFonts w:ascii="Times New Roman" w:hAnsi="Times New Roman" w:cs="Times New Roman"/>
          <w:sz w:val="24"/>
        </w:rPr>
      </w:pPr>
      <w:r>
        <w:rPr>
          <w:rFonts w:ascii="Times New Roman" w:hAnsi="Times New Roman" w:cs="Times New Roman"/>
          <w:sz w:val="24"/>
        </w:rPr>
        <w:br w:type="page"/>
      </w:r>
    </w:p>
    <w:p w14:paraId="2CAC2E80" w14:textId="77777777" w:rsidR="00F71119" w:rsidRDefault="00000000">
      <w:pPr>
        <w:widowControl/>
        <w:jc w:val="center"/>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3ADF440F" wp14:editId="2242CCB1">
            <wp:extent cx="2552700" cy="2997200"/>
            <wp:effectExtent l="0" t="0" r="0" b="0"/>
            <wp:docPr id="18315409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540941" name="图片 1"/>
                    <pic:cNvPicPr>
                      <a:picLocks noChangeAspect="1"/>
                    </pic:cNvPicPr>
                  </pic:nvPicPr>
                  <pic:blipFill>
                    <a:blip r:embed="rId6"/>
                    <a:stretch>
                      <a:fillRect/>
                    </a:stretch>
                  </pic:blipFill>
                  <pic:spPr>
                    <a:xfrm>
                      <a:off x="0" y="0"/>
                      <a:ext cx="2552700" cy="2997200"/>
                    </a:xfrm>
                    <a:prstGeom prst="rect">
                      <a:avLst/>
                    </a:prstGeom>
                  </pic:spPr>
                </pic:pic>
              </a:graphicData>
            </a:graphic>
          </wp:inline>
        </w:drawing>
      </w:r>
    </w:p>
    <w:p w14:paraId="6480A6F6" w14:textId="77777777" w:rsidR="00F71119" w:rsidRDefault="00000000">
      <w:pPr>
        <w:widowControl/>
        <w:jc w:val="left"/>
        <w:rPr>
          <w:rFonts w:ascii="Times New Roman" w:hAnsi="Times New Roman" w:cs="Times New Roman"/>
          <w:sz w:val="24"/>
        </w:rPr>
      </w:pPr>
      <w:r>
        <w:rPr>
          <w:rFonts w:ascii="Times New Roman" w:hAnsi="Times New Roman" w:cs="Times New Roman"/>
          <w:b/>
          <w:bCs/>
          <w:sz w:val="24"/>
        </w:rPr>
        <w:t>Supplementary Figure 2. </w:t>
      </w:r>
      <w:r>
        <w:rPr>
          <w:rFonts w:ascii="Times New Roman" w:hAnsi="Times New Roman" w:cs="Times New Roman"/>
          <w:sz w:val="24"/>
        </w:rPr>
        <w:t xml:space="preserve">Swelling ratio test of PFPE-IEX+ having different cross-linking densities at 4, 10 and 20%. </w:t>
      </w:r>
    </w:p>
    <w:p w14:paraId="369209A1" w14:textId="77777777" w:rsidR="00F71119" w:rsidRDefault="00000000">
      <w:pPr>
        <w:widowControl/>
        <w:rPr>
          <w:rFonts w:ascii="Times New Roman" w:hAnsi="Times New Roman" w:cs="Times New Roman"/>
          <w:sz w:val="24"/>
        </w:rPr>
      </w:pPr>
      <w:r>
        <w:rPr>
          <w:rFonts w:ascii="Times New Roman" w:hAnsi="Times New Roman" w:cs="Times New Roman"/>
          <w:sz w:val="24"/>
        </w:rPr>
        <w:br w:type="page"/>
      </w:r>
    </w:p>
    <w:p w14:paraId="1B882C4C" w14:textId="77777777" w:rsidR="00F71119" w:rsidRDefault="00000000">
      <w:pPr>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77B36296" wp14:editId="37DA0EDA">
            <wp:extent cx="5274310" cy="2517140"/>
            <wp:effectExtent l="0" t="0" r="0" b="0"/>
            <wp:docPr id="471461323" name="图片 1"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461323" name="图片 1" descr="图表&#10;&#10;中度可信度描述已自动生成"/>
                    <pic:cNvPicPr>
                      <a:picLocks noChangeAspect="1"/>
                    </pic:cNvPicPr>
                  </pic:nvPicPr>
                  <pic:blipFill>
                    <a:blip r:embed="rId7"/>
                    <a:stretch>
                      <a:fillRect/>
                    </a:stretch>
                  </pic:blipFill>
                  <pic:spPr>
                    <a:xfrm>
                      <a:off x="0" y="0"/>
                      <a:ext cx="5274310" cy="2517140"/>
                    </a:xfrm>
                    <a:prstGeom prst="rect">
                      <a:avLst/>
                    </a:prstGeom>
                  </pic:spPr>
                </pic:pic>
              </a:graphicData>
            </a:graphic>
          </wp:inline>
        </w:drawing>
      </w:r>
    </w:p>
    <w:p w14:paraId="52182C09" w14:textId="77777777" w:rsidR="00F71119" w:rsidRDefault="00000000">
      <w:pPr>
        <w:spacing w:line="480" w:lineRule="auto"/>
        <w:rPr>
          <w:rFonts w:ascii="Times New Roman" w:hAnsi="Times New Roman" w:cs="Times New Roman"/>
          <w:sz w:val="24"/>
        </w:rPr>
      </w:pPr>
      <w:r>
        <w:rPr>
          <w:rFonts w:ascii="Times New Roman" w:hAnsi="Times New Roman" w:cs="Times New Roman"/>
          <w:b/>
          <w:bCs/>
          <w:sz w:val="24"/>
        </w:rPr>
        <w:t xml:space="preserve">Supplementary Figure 3. </w:t>
      </w:r>
      <w:r>
        <w:rPr>
          <w:rFonts w:ascii="Times New Roman" w:hAnsi="Times New Roman" w:cs="Times New Roman"/>
          <w:sz w:val="24"/>
        </w:rPr>
        <w:t xml:space="preserve">Mass loss of PFPE-IEX+ over 56 days in pH = 2.0 and 10.0 water solution at 60 °C. Error bars: standard deviation of two experiments. </w:t>
      </w:r>
    </w:p>
    <w:p w14:paraId="045E399A" w14:textId="77777777" w:rsidR="00F71119" w:rsidRDefault="00F71119">
      <w:pPr>
        <w:rPr>
          <w:rFonts w:ascii="Times New Roman" w:hAnsi="Times New Roman" w:cs="Times New Roman"/>
          <w:sz w:val="24"/>
        </w:rPr>
      </w:pPr>
    </w:p>
    <w:p w14:paraId="2DD484BD" w14:textId="77777777" w:rsidR="00F71119" w:rsidRDefault="00000000">
      <w:pPr>
        <w:rPr>
          <w:rFonts w:ascii="Times New Roman" w:hAnsi="Times New Roman" w:cs="Times New Roman"/>
          <w:sz w:val="24"/>
        </w:rPr>
      </w:pPr>
      <w:r>
        <w:rPr>
          <w:rFonts w:ascii="Times New Roman" w:hAnsi="Times New Roman" w:cs="Times New Roman"/>
          <w:sz w:val="24"/>
        </w:rPr>
        <w:br w:type="page"/>
      </w:r>
    </w:p>
    <w:p w14:paraId="4CF51E8D" w14:textId="77777777" w:rsidR="00F71119" w:rsidRDefault="00000000">
      <w:pPr>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43788C80" wp14:editId="02B2D309">
            <wp:extent cx="5274310" cy="2472690"/>
            <wp:effectExtent l="0" t="0" r="0" b="0"/>
            <wp:docPr id="18813141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314115" name="图片 1"/>
                    <pic:cNvPicPr>
                      <a:picLocks noChangeAspect="1"/>
                    </pic:cNvPicPr>
                  </pic:nvPicPr>
                  <pic:blipFill>
                    <a:blip r:embed="rId8"/>
                    <a:stretch>
                      <a:fillRect/>
                    </a:stretch>
                  </pic:blipFill>
                  <pic:spPr>
                    <a:xfrm>
                      <a:off x="0" y="0"/>
                      <a:ext cx="5274310" cy="2472690"/>
                    </a:xfrm>
                    <a:prstGeom prst="rect">
                      <a:avLst/>
                    </a:prstGeom>
                  </pic:spPr>
                </pic:pic>
              </a:graphicData>
            </a:graphic>
          </wp:inline>
        </w:drawing>
      </w:r>
    </w:p>
    <w:p w14:paraId="72A1E388" w14:textId="77777777" w:rsidR="00F71119" w:rsidRDefault="00000000">
      <w:pPr>
        <w:spacing w:line="480" w:lineRule="auto"/>
        <w:rPr>
          <w:rFonts w:ascii="Times New Roman" w:hAnsi="Times New Roman" w:cs="Times New Roman"/>
          <w:b/>
          <w:bCs/>
          <w:sz w:val="24"/>
        </w:rPr>
      </w:pPr>
      <w:r>
        <w:rPr>
          <w:rFonts w:ascii="Times New Roman" w:hAnsi="Times New Roman" w:cs="Times New Roman"/>
          <w:b/>
          <w:bCs/>
          <w:sz w:val="24"/>
        </w:rPr>
        <w:t xml:space="preserve">Supplementary Figure 4. </w:t>
      </w:r>
      <w:r>
        <w:rPr>
          <w:rFonts w:ascii="Times New Roman" w:hAnsi="Times New Roman" w:cs="Times New Roman"/>
          <w:sz w:val="24"/>
        </w:rPr>
        <w:t>FT-IR spectra of PFPE-IEX+ after 56 days of incubation at pH = 2.0 and 10.0 at 60 °C.</w:t>
      </w:r>
    </w:p>
    <w:p w14:paraId="47A2D037" w14:textId="77777777" w:rsidR="00F71119" w:rsidRDefault="00000000">
      <w:pPr>
        <w:rPr>
          <w:rFonts w:ascii="Times New Roman" w:hAnsi="Times New Roman" w:cs="Times New Roman"/>
          <w:b/>
          <w:bCs/>
          <w:sz w:val="24"/>
        </w:rPr>
      </w:pPr>
      <w:r>
        <w:rPr>
          <w:rFonts w:ascii="Times New Roman" w:hAnsi="Times New Roman" w:cs="Times New Roman"/>
          <w:b/>
          <w:bCs/>
          <w:sz w:val="24"/>
        </w:rPr>
        <w:br w:type="page"/>
      </w:r>
    </w:p>
    <w:p w14:paraId="4C1AB8E7" w14:textId="56CA526A" w:rsidR="00F71119" w:rsidRDefault="00000000">
      <w:pPr>
        <w:jc w:val="center"/>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2156AD27" wp14:editId="153D8372">
            <wp:extent cx="5274310" cy="5417820"/>
            <wp:effectExtent l="0" t="0" r="0" b="5080"/>
            <wp:docPr id="1634438790" name="图片 1"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438790" name="图片 1" descr="图示&#10;&#10;中度可信度描述已自动生成"/>
                    <pic:cNvPicPr>
                      <a:picLocks noChangeAspect="1"/>
                    </pic:cNvPicPr>
                  </pic:nvPicPr>
                  <pic:blipFill>
                    <a:blip r:embed="rId9"/>
                    <a:stretch>
                      <a:fillRect/>
                    </a:stretch>
                  </pic:blipFill>
                  <pic:spPr>
                    <a:xfrm>
                      <a:off x="0" y="0"/>
                      <a:ext cx="5274310" cy="5417820"/>
                    </a:xfrm>
                    <a:prstGeom prst="rect">
                      <a:avLst/>
                    </a:prstGeom>
                  </pic:spPr>
                </pic:pic>
              </a:graphicData>
            </a:graphic>
          </wp:inline>
        </w:drawing>
      </w:r>
    </w:p>
    <w:p w14:paraId="3834577A" w14:textId="77777777" w:rsidR="00F71119" w:rsidRDefault="00000000">
      <w:pPr>
        <w:spacing w:line="480" w:lineRule="auto"/>
        <w:rPr>
          <w:rFonts w:ascii="Times New Roman" w:hAnsi="Times New Roman" w:cs="Times New Roman"/>
          <w:b/>
          <w:bCs/>
          <w:sz w:val="24"/>
        </w:rPr>
      </w:pPr>
      <w:r>
        <w:rPr>
          <w:rFonts w:ascii="Times New Roman" w:hAnsi="Times New Roman" w:cs="Times New Roman"/>
          <w:b/>
          <w:bCs/>
          <w:sz w:val="24"/>
        </w:rPr>
        <w:t>Supplementary Figure 5. </w:t>
      </w:r>
      <w:r>
        <w:rPr>
          <w:rFonts w:ascii="Times New Roman" w:hAnsi="Times New Roman" w:cs="Times New Roman"/>
          <w:sz w:val="24"/>
        </w:rPr>
        <w:t xml:space="preserve">Solid-state </w:t>
      </w:r>
      <w:r>
        <w:rPr>
          <w:rFonts w:ascii="Times New Roman" w:hAnsi="Times New Roman" w:cs="Times New Roman"/>
          <w:sz w:val="24"/>
          <w:vertAlign w:val="superscript"/>
        </w:rPr>
        <w:t>13</w:t>
      </w:r>
      <w:r>
        <w:rPr>
          <w:rFonts w:ascii="Times New Roman" w:hAnsi="Times New Roman" w:cs="Times New Roman"/>
          <w:sz w:val="24"/>
        </w:rPr>
        <w:t>C NMR spectra</w:t>
      </w:r>
      <w:r>
        <w:rPr>
          <w:rFonts w:ascii="Times New Roman" w:hAnsi="Times New Roman" w:cs="Times New Roman"/>
          <w:b/>
          <w:bCs/>
          <w:sz w:val="24"/>
        </w:rPr>
        <w:t xml:space="preserve"> </w:t>
      </w:r>
      <w:r>
        <w:rPr>
          <w:rFonts w:ascii="Times New Roman" w:hAnsi="Times New Roman" w:cs="Times New Roman"/>
          <w:sz w:val="24"/>
        </w:rPr>
        <w:t>of PFPE-IEX+ after 56 days of incubation at pH = 2.0 and 10.0 at 60 °C.</w:t>
      </w:r>
    </w:p>
    <w:p w14:paraId="4B0CA9D4" w14:textId="77777777" w:rsidR="00F71119" w:rsidRDefault="00000000">
      <w:pPr>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70F5DAAA" wp14:editId="22D2AF2F">
            <wp:extent cx="5274310" cy="5950585"/>
            <wp:effectExtent l="0" t="0" r="0" b="5715"/>
            <wp:docPr id="1261683248"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683248" name="图片 1" descr="图表&#10;&#10;描述已自动生成"/>
                    <pic:cNvPicPr>
                      <a:picLocks noChangeAspect="1"/>
                    </pic:cNvPicPr>
                  </pic:nvPicPr>
                  <pic:blipFill>
                    <a:blip r:embed="rId10"/>
                    <a:stretch>
                      <a:fillRect/>
                    </a:stretch>
                  </pic:blipFill>
                  <pic:spPr>
                    <a:xfrm>
                      <a:off x="0" y="0"/>
                      <a:ext cx="5274310" cy="5950585"/>
                    </a:xfrm>
                    <a:prstGeom prst="rect">
                      <a:avLst/>
                    </a:prstGeom>
                  </pic:spPr>
                </pic:pic>
              </a:graphicData>
            </a:graphic>
          </wp:inline>
        </w:drawing>
      </w:r>
    </w:p>
    <w:p w14:paraId="3FDC00EF" w14:textId="77777777" w:rsidR="00F71119" w:rsidRDefault="00000000">
      <w:pPr>
        <w:widowControl/>
        <w:spacing w:line="480" w:lineRule="auto"/>
        <w:rPr>
          <w:rFonts w:ascii="Times New Roman" w:hAnsi="Times New Roman" w:cs="Times New Roman"/>
          <w:sz w:val="24"/>
        </w:rPr>
      </w:pPr>
      <w:r>
        <w:rPr>
          <w:rFonts w:ascii="Times New Roman" w:hAnsi="Times New Roman" w:cs="Times New Roman"/>
          <w:b/>
          <w:bCs/>
          <w:sz w:val="24"/>
        </w:rPr>
        <w:t>Supplementary Figure 6. </w:t>
      </w:r>
      <w:r>
        <w:rPr>
          <w:rFonts w:ascii="Times New Roman" w:hAnsi="Times New Roman" w:cs="Times New Roman"/>
          <w:sz w:val="24"/>
          <w:vertAlign w:val="superscript"/>
        </w:rPr>
        <w:t>19</w:t>
      </w:r>
      <w:r>
        <w:rPr>
          <w:rFonts w:ascii="Times New Roman" w:hAnsi="Times New Roman" w:cs="Times New Roman"/>
          <w:sz w:val="24"/>
        </w:rPr>
        <w:t xml:space="preserve">F NMR spectra of </w:t>
      </w:r>
      <w:r>
        <w:rPr>
          <w:rFonts w:ascii="Times New Roman" w:eastAsia="SimSun" w:hAnsi="Times New Roman" w:cs="Times New Roman"/>
          <w:kern w:val="0"/>
          <w:sz w:val="24"/>
          <w:lang w:val="en-AU" w:eastAsia="en-US" w:bidi="ar"/>
        </w:rPr>
        <w:t xml:space="preserve">the supernatant after </w:t>
      </w:r>
      <w:r>
        <w:rPr>
          <w:rFonts w:ascii="Times New Roman" w:hAnsi="Times New Roman" w:cs="Times New Roman"/>
          <w:sz w:val="24"/>
        </w:rPr>
        <w:t xml:space="preserve">56 days of incubation at 60 </w:t>
      </w:r>
      <w:proofErr w:type="spellStart"/>
      <w:r>
        <w:rPr>
          <w:rFonts w:ascii="Times New Roman" w:hAnsi="Times New Roman" w:cs="Times New Roman"/>
          <w:sz w:val="24"/>
          <w:vertAlign w:val="superscript"/>
        </w:rPr>
        <w:t>o</w:t>
      </w:r>
      <w:r>
        <w:rPr>
          <w:rFonts w:ascii="Times New Roman" w:hAnsi="Times New Roman" w:cs="Times New Roman"/>
          <w:sz w:val="24"/>
        </w:rPr>
        <w:t>C</w:t>
      </w:r>
      <w:proofErr w:type="spellEnd"/>
      <w:r>
        <w:rPr>
          <w:rFonts w:ascii="Times New Roman" w:hAnsi="Times New Roman" w:cs="Times New Roman"/>
          <w:sz w:val="24"/>
        </w:rPr>
        <w:t xml:space="preserve"> at pH = 2.0 and 10.0. No fluorine signal can be detected after incubation, indicating good hydrolytic stability of PFPE-IEX+. </w:t>
      </w:r>
    </w:p>
    <w:p w14:paraId="761C9F45" w14:textId="77777777" w:rsidR="00F71119" w:rsidRDefault="00F71119">
      <w:pPr>
        <w:rPr>
          <w:rFonts w:ascii="Times New Roman" w:hAnsi="Times New Roman" w:cs="Times New Roman"/>
          <w:sz w:val="24"/>
        </w:rPr>
      </w:pPr>
    </w:p>
    <w:p w14:paraId="43172116" w14:textId="77777777" w:rsidR="00F71119" w:rsidRDefault="00F71119">
      <w:pPr>
        <w:rPr>
          <w:rFonts w:ascii="Times New Roman" w:hAnsi="Times New Roman" w:cs="Times New Roman"/>
          <w:sz w:val="24"/>
        </w:rPr>
      </w:pPr>
    </w:p>
    <w:p w14:paraId="695D2EF8" w14:textId="77777777" w:rsidR="00F71119" w:rsidRDefault="00000000">
      <w:pPr>
        <w:jc w:val="center"/>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0797687B" wp14:editId="568FF852">
            <wp:extent cx="4498340" cy="3242310"/>
            <wp:effectExtent l="0" t="0" r="0" b="0"/>
            <wp:docPr id="913883187" name="Picture 1" descr="A red arrow in the d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883187" name="Picture 1" descr="A red arrow in the dark&#10;&#10;Description automatically generated"/>
                    <pic:cNvPicPr>
                      <a:picLocks noChangeAspect="1"/>
                    </pic:cNvPicPr>
                  </pic:nvPicPr>
                  <pic:blipFill>
                    <a:blip r:embed="rId11"/>
                    <a:stretch>
                      <a:fillRect/>
                    </a:stretch>
                  </pic:blipFill>
                  <pic:spPr>
                    <a:xfrm>
                      <a:off x="0" y="0"/>
                      <a:ext cx="4554356" cy="3282799"/>
                    </a:xfrm>
                    <a:prstGeom prst="rect">
                      <a:avLst/>
                    </a:prstGeom>
                  </pic:spPr>
                </pic:pic>
              </a:graphicData>
            </a:graphic>
          </wp:inline>
        </w:drawing>
      </w:r>
    </w:p>
    <w:p w14:paraId="36DFC21A" w14:textId="77777777" w:rsidR="00F71119" w:rsidRDefault="00000000">
      <w:pPr>
        <w:rPr>
          <w:rFonts w:ascii="Times New Roman" w:hAnsi="Times New Roman" w:cs="Times New Roman"/>
          <w:b/>
          <w:bCs/>
          <w:color w:val="000000" w:themeColor="text1"/>
          <w:sz w:val="24"/>
        </w:rPr>
      </w:pPr>
      <w:r>
        <w:rPr>
          <w:rFonts w:ascii="Times New Roman" w:hAnsi="Times New Roman" w:cs="Times New Roman"/>
          <w:b/>
          <w:bCs/>
          <w:sz w:val="24"/>
        </w:rPr>
        <w:t>Supplementary Figure 7. </w:t>
      </w:r>
      <w:r>
        <w:rPr>
          <w:rFonts w:ascii="Times New Roman" w:hAnsi="Times New Roman" w:cs="Times New Roman"/>
          <w:color w:val="000000" w:themeColor="text1"/>
          <w:sz w:val="24"/>
        </w:rPr>
        <w:t>Small-angle X-ray scattering (SAXS) spectrum of the swollen PFPE-IEX+.</w:t>
      </w:r>
    </w:p>
    <w:p w14:paraId="41262966" w14:textId="77777777" w:rsidR="00F71119" w:rsidRDefault="00000000">
      <w:pPr>
        <w:widowControl/>
        <w:jc w:val="left"/>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br w:type="page"/>
      </w:r>
    </w:p>
    <w:p w14:paraId="700F129B" w14:textId="77777777" w:rsidR="00F71119" w:rsidRDefault="00000000">
      <w:pPr>
        <w:jc w:val="center"/>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6C36401F" wp14:editId="7846D966">
            <wp:extent cx="4572000" cy="2768600"/>
            <wp:effectExtent l="0" t="0" r="0" b="0"/>
            <wp:docPr id="978927544" name="图片 1" descr="图表&#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927544" name="图片 1" descr="图表&#10;&#10;低可信度描述已自动生成"/>
                    <pic:cNvPicPr>
                      <a:picLocks noChangeAspect="1"/>
                    </pic:cNvPicPr>
                  </pic:nvPicPr>
                  <pic:blipFill>
                    <a:blip r:embed="rId12"/>
                    <a:stretch>
                      <a:fillRect/>
                    </a:stretch>
                  </pic:blipFill>
                  <pic:spPr>
                    <a:xfrm>
                      <a:off x="0" y="0"/>
                      <a:ext cx="4572000" cy="2768600"/>
                    </a:xfrm>
                    <a:prstGeom prst="rect">
                      <a:avLst/>
                    </a:prstGeom>
                  </pic:spPr>
                </pic:pic>
              </a:graphicData>
            </a:graphic>
          </wp:inline>
        </w:drawing>
      </w:r>
    </w:p>
    <w:p w14:paraId="0D49BB60" w14:textId="77777777" w:rsidR="00F71119" w:rsidRDefault="00000000">
      <w:pPr>
        <w:widowControl/>
        <w:spacing w:line="480" w:lineRule="auto"/>
        <w:rPr>
          <w:rFonts w:ascii="Times New Roman" w:eastAsia="SimSun" w:hAnsi="Times New Roman" w:cs="Times New Roman"/>
          <w:kern w:val="0"/>
          <w:sz w:val="24"/>
          <w:lang w:val="en-AU" w:eastAsia="en-US" w:bidi="ar"/>
        </w:rPr>
      </w:pPr>
      <w:r>
        <w:rPr>
          <w:rFonts w:ascii="Times New Roman" w:hAnsi="Times New Roman" w:cs="Times New Roman"/>
          <w:b/>
          <w:bCs/>
          <w:sz w:val="24"/>
        </w:rPr>
        <w:t xml:space="preserve">Supplementary Figure 8. </w:t>
      </w:r>
      <w:r>
        <w:rPr>
          <w:rFonts w:ascii="Times New Roman" w:eastAsia="SimSun" w:hAnsi="Times New Roman" w:cs="Times New Roman"/>
          <w:kern w:val="0"/>
          <w:sz w:val="24"/>
          <w:lang w:val="en-AU" w:eastAsia="en-US" w:bidi="ar"/>
        </w:rPr>
        <w:t xml:space="preserve">Removal efficiency of eight different PFAS using PFPE-IEX+ determined by </w:t>
      </w:r>
      <w:r>
        <w:rPr>
          <w:rFonts w:ascii="Times New Roman" w:eastAsia="SimSun" w:hAnsi="Times New Roman" w:cs="Times New Roman"/>
          <w:kern w:val="0"/>
          <w:sz w:val="24"/>
          <w:vertAlign w:val="superscript"/>
          <w:lang w:val="en-AU" w:eastAsia="en-US" w:bidi="ar"/>
        </w:rPr>
        <w:t>19</w:t>
      </w:r>
      <w:r>
        <w:rPr>
          <w:rFonts w:ascii="Times New Roman" w:eastAsia="SimSun" w:hAnsi="Times New Roman" w:cs="Times New Roman"/>
          <w:kern w:val="0"/>
          <w:sz w:val="24"/>
          <w:lang w:val="en-AU" w:eastAsia="en-US" w:bidi="ar"/>
        </w:rPr>
        <w:t>F NMR. Sorbent concentration, 0.2 mg/mL; PFAS concentration, 0.4 mg/mL each in Milli-Q water; sorption duration, 24 h.</w:t>
      </w:r>
    </w:p>
    <w:p w14:paraId="60A5F71D" w14:textId="77777777" w:rsidR="00F71119" w:rsidRDefault="00000000">
      <w:pPr>
        <w:widowControl/>
        <w:jc w:val="left"/>
        <w:rPr>
          <w:rFonts w:ascii="Times New Roman" w:hAnsi="Times New Roman" w:cs="Times New Roman"/>
          <w:sz w:val="24"/>
        </w:rPr>
      </w:pPr>
      <w:r>
        <w:rPr>
          <w:rFonts w:ascii="Times New Roman" w:hAnsi="Times New Roman" w:cs="Times New Roman"/>
          <w:sz w:val="24"/>
        </w:rPr>
        <w:br w:type="page"/>
      </w:r>
    </w:p>
    <w:p w14:paraId="5A05F7F0" w14:textId="77777777" w:rsidR="00F71119" w:rsidRDefault="00000000">
      <w:pPr>
        <w:jc w:val="center"/>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510F0CB9" wp14:editId="4967F9FC">
            <wp:extent cx="3771900" cy="2743200"/>
            <wp:effectExtent l="0" t="0" r="0" b="0"/>
            <wp:docPr id="153862631" name="图片 1" descr="图标&#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62631" name="图片 1" descr="图标&#10;&#10;中度可信度描述已自动生成"/>
                    <pic:cNvPicPr>
                      <a:picLocks noChangeAspect="1"/>
                    </pic:cNvPicPr>
                  </pic:nvPicPr>
                  <pic:blipFill>
                    <a:blip r:embed="rId13"/>
                    <a:stretch>
                      <a:fillRect/>
                    </a:stretch>
                  </pic:blipFill>
                  <pic:spPr>
                    <a:xfrm>
                      <a:off x="0" y="0"/>
                      <a:ext cx="3771900" cy="2743200"/>
                    </a:xfrm>
                    <a:prstGeom prst="rect">
                      <a:avLst/>
                    </a:prstGeom>
                  </pic:spPr>
                </pic:pic>
              </a:graphicData>
            </a:graphic>
          </wp:inline>
        </w:drawing>
      </w:r>
    </w:p>
    <w:p w14:paraId="32059B50" w14:textId="77777777" w:rsidR="00F71119" w:rsidRDefault="00000000">
      <w:pPr>
        <w:widowControl/>
        <w:spacing w:line="480" w:lineRule="auto"/>
        <w:rPr>
          <w:rFonts w:ascii="Times New Roman" w:eastAsia="Times New Roman Regular" w:hAnsi="Times New Roman" w:cs="Times New Roman"/>
          <w:kern w:val="0"/>
          <w:sz w:val="24"/>
          <w:lang w:val="en-AU" w:bidi="ar"/>
        </w:rPr>
      </w:pPr>
      <w:r>
        <w:rPr>
          <w:rFonts w:ascii="Times New Roman" w:hAnsi="Times New Roman" w:cs="Times New Roman"/>
          <w:b/>
          <w:bCs/>
          <w:sz w:val="24"/>
        </w:rPr>
        <w:t>Supplementary Figure 9. </w:t>
      </w:r>
      <w:r>
        <w:rPr>
          <w:rFonts w:ascii="Times New Roman" w:eastAsia="Times New Roman Regular" w:hAnsi="Times New Roman" w:cs="Times New Roman"/>
          <w:kern w:val="0"/>
          <w:sz w:val="24"/>
          <w:lang w:val="en-AU" w:bidi="ar"/>
        </w:rPr>
        <w:t>Regeneration ability of PFPE-IEX+ determined by </w:t>
      </w:r>
      <w:r>
        <w:rPr>
          <w:rFonts w:ascii="Times New Roman" w:eastAsia="Times New Roman Regular" w:hAnsi="Times New Roman" w:cs="Times New Roman"/>
          <w:kern w:val="0"/>
          <w:sz w:val="24"/>
          <w:lang w:bidi="ar"/>
        </w:rPr>
        <w:t>LC-MS/MS</w:t>
      </w:r>
      <w:r>
        <w:rPr>
          <w:rFonts w:ascii="Times New Roman" w:eastAsia="Times New Roman Regular" w:hAnsi="Times New Roman" w:cs="Times New Roman"/>
          <w:kern w:val="0"/>
          <w:sz w:val="24"/>
          <w:lang w:val="en-AU" w:bidi="ar"/>
        </w:rPr>
        <w:t xml:space="preserve">. Sorbent concentration, 5 mg/mL; </w:t>
      </w:r>
      <w:r>
        <w:rPr>
          <w:rFonts w:ascii="Times New Roman" w:hAnsi="Times New Roman" w:cs="Times New Roman"/>
          <w:sz w:val="24"/>
        </w:rPr>
        <w:t>HFPO-DA</w:t>
      </w:r>
      <w:r>
        <w:rPr>
          <w:rFonts w:ascii="Times New Roman" w:eastAsia="Times New Roman Regular" w:hAnsi="Times New Roman" w:cs="Times New Roman"/>
          <w:kern w:val="0"/>
          <w:sz w:val="24"/>
          <w:lang w:val="en-AU" w:bidi="ar"/>
        </w:rPr>
        <w:t xml:space="preserve"> concentration, 0.88 mg/mL; sorption and desorption duration, 30 mins. The results are the average of duplicate, and standard deviation is shown. </w:t>
      </w:r>
    </w:p>
    <w:p w14:paraId="1C241FD6" w14:textId="77777777" w:rsidR="00F71119" w:rsidRDefault="00F71119">
      <w:pPr>
        <w:widowControl/>
        <w:jc w:val="left"/>
        <w:rPr>
          <w:rFonts w:ascii="Times New Roman" w:hAnsi="Times New Roman" w:cs="Times New Roman"/>
          <w:bCs/>
          <w:color w:val="000000" w:themeColor="text1"/>
          <w:sz w:val="24"/>
        </w:rPr>
      </w:pPr>
    </w:p>
    <w:p w14:paraId="30E60B11" w14:textId="77777777" w:rsidR="00F71119" w:rsidRDefault="00000000">
      <w:pPr>
        <w:widowControl/>
        <w:jc w:val="left"/>
        <w:rPr>
          <w:rFonts w:ascii="Times New Roman" w:hAnsi="Times New Roman" w:cs="Times New Roman"/>
          <w:bCs/>
          <w:color w:val="000000" w:themeColor="text1"/>
          <w:sz w:val="24"/>
        </w:rPr>
      </w:pPr>
      <w:r>
        <w:rPr>
          <w:rFonts w:ascii="Times New Roman" w:hAnsi="Times New Roman" w:cs="Times New Roman"/>
          <w:b/>
          <w:color w:val="000000" w:themeColor="text1"/>
          <w:sz w:val="24"/>
        </w:rPr>
        <w:t>Supplementary Table 2. Metal ion concentrations for potable water and landfill leachate determined by ICP-OES.</w:t>
      </w:r>
    </w:p>
    <w:tbl>
      <w:tblPr>
        <w:tblW w:w="9940" w:type="dxa"/>
        <w:jc w:val="center"/>
        <w:tblLook w:val="04A0" w:firstRow="1" w:lastRow="0" w:firstColumn="1" w:lastColumn="0" w:noHBand="0" w:noVBand="1"/>
      </w:tblPr>
      <w:tblGrid>
        <w:gridCol w:w="1740"/>
        <w:gridCol w:w="820"/>
        <w:gridCol w:w="820"/>
        <w:gridCol w:w="876"/>
        <w:gridCol w:w="820"/>
        <w:gridCol w:w="820"/>
        <w:gridCol w:w="820"/>
        <w:gridCol w:w="820"/>
        <w:gridCol w:w="820"/>
        <w:gridCol w:w="820"/>
        <w:gridCol w:w="820"/>
      </w:tblGrid>
      <w:tr w:rsidR="00F71119" w14:paraId="031665BD" w14:textId="77777777" w:rsidTr="00A4276F">
        <w:trPr>
          <w:trHeight w:val="320"/>
          <w:jc w:val="center"/>
        </w:trPr>
        <w:tc>
          <w:tcPr>
            <w:tcW w:w="1740" w:type="dxa"/>
            <w:tcBorders>
              <w:top w:val="single" w:sz="4" w:space="0" w:color="auto"/>
              <w:left w:val="nil"/>
              <w:bottom w:val="nil"/>
              <w:right w:val="nil"/>
            </w:tcBorders>
            <w:shd w:val="clear" w:color="auto" w:fill="auto"/>
            <w:noWrap/>
            <w:vAlign w:val="bottom"/>
          </w:tcPr>
          <w:p w14:paraId="0443591B"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Sample</w:t>
            </w:r>
          </w:p>
        </w:tc>
        <w:tc>
          <w:tcPr>
            <w:tcW w:w="820" w:type="dxa"/>
            <w:tcBorders>
              <w:top w:val="single" w:sz="4" w:space="0" w:color="auto"/>
              <w:left w:val="nil"/>
              <w:bottom w:val="nil"/>
              <w:right w:val="nil"/>
            </w:tcBorders>
            <w:shd w:val="clear" w:color="auto" w:fill="auto"/>
            <w:noWrap/>
            <w:vAlign w:val="bottom"/>
          </w:tcPr>
          <w:p w14:paraId="26BE10B1"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Al</w:t>
            </w:r>
          </w:p>
        </w:tc>
        <w:tc>
          <w:tcPr>
            <w:tcW w:w="820" w:type="dxa"/>
            <w:tcBorders>
              <w:top w:val="single" w:sz="4" w:space="0" w:color="auto"/>
              <w:left w:val="nil"/>
              <w:bottom w:val="nil"/>
              <w:right w:val="nil"/>
            </w:tcBorders>
            <w:shd w:val="clear" w:color="auto" w:fill="auto"/>
            <w:noWrap/>
            <w:vAlign w:val="bottom"/>
          </w:tcPr>
          <w:p w14:paraId="64930C66"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B</w:t>
            </w:r>
          </w:p>
        </w:tc>
        <w:tc>
          <w:tcPr>
            <w:tcW w:w="820" w:type="dxa"/>
            <w:tcBorders>
              <w:top w:val="single" w:sz="4" w:space="0" w:color="auto"/>
              <w:left w:val="nil"/>
              <w:bottom w:val="nil"/>
              <w:right w:val="nil"/>
            </w:tcBorders>
            <w:shd w:val="clear" w:color="auto" w:fill="auto"/>
            <w:noWrap/>
            <w:vAlign w:val="bottom"/>
          </w:tcPr>
          <w:p w14:paraId="784F846F"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As</w:t>
            </w:r>
          </w:p>
        </w:tc>
        <w:tc>
          <w:tcPr>
            <w:tcW w:w="820" w:type="dxa"/>
            <w:tcBorders>
              <w:top w:val="single" w:sz="4" w:space="0" w:color="auto"/>
              <w:left w:val="nil"/>
              <w:bottom w:val="nil"/>
              <w:right w:val="nil"/>
            </w:tcBorders>
            <w:shd w:val="clear" w:color="auto" w:fill="auto"/>
            <w:noWrap/>
            <w:vAlign w:val="bottom"/>
          </w:tcPr>
          <w:p w14:paraId="1D989F4C"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Ba</w:t>
            </w:r>
          </w:p>
        </w:tc>
        <w:tc>
          <w:tcPr>
            <w:tcW w:w="820" w:type="dxa"/>
            <w:tcBorders>
              <w:top w:val="single" w:sz="4" w:space="0" w:color="auto"/>
              <w:left w:val="nil"/>
              <w:bottom w:val="nil"/>
              <w:right w:val="nil"/>
            </w:tcBorders>
            <w:shd w:val="clear" w:color="auto" w:fill="auto"/>
            <w:noWrap/>
            <w:vAlign w:val="bottom"/>
          </w:tcPr>
          <w:p w14:paraId="0323DB96"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Ca</w:t>
            </w:r>
          </w:p>
        </w:tc>
        <w:tc>
          <w:tcPr>
            <w:tcW w:w="820" w:type="dxa"/>
            <w:tcBorders>
              <w:top w:val="single" w:sz="4" w:space="0" w:color="auto"/>
              <w:left w:val="nil"/>
              <w:bottom w:val="nil"/>
              <w:right w:val="nil"/>
            </w:tcBorders>
            <w:shd w:val="clear" w:color="auto" w:fill="auto"/>
            <w:noWrap/>
            <w:vAlign w:val="bottom"/>
          </w:tcPr>
          <w:p w14:paraId="11ABCD15"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Co</w:t>
            </w:r>
          </w:p>
        </w:tc>
        <w:tc>
          <w:tcPr>
            <w:tcW w:w="820" w:type="dxa"/>
            <w:tcBorders>
              <w:top w:val="single" w:sz="4" w:space="0" w:color="auto"/>
              <w:left w:val="nil"/>
              <w:bottom w:val="nil"/>
              <w:right w:val="nil"/>
            </w:tcBorders>
            <w:shd w:val="clear" w:color="auto" w:fill="auto"/>
            <w:noWrap/>
            <w:vAlign w:val="bottom"/>
          </w:tcPr>
          <w:p w14:paraId="06E74BF7"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Cr</w:t>
            </w:r>
          </w:p>
        </w:tc>
        <w:tc>
          <w:tcPr>
            <w:tcW w:w="820" w:type="dxa"/>
            <w:tcBorders>
              <w:top w:val="single" w:sz="4" w:space="0" w:color="auto"/>
              <w:left w:val="nil"/>
              <w:bottom w:val="nil"/>
              <w:right w:val="nil"/>
            </w:tcBorders>
            <w:shd w:val="clear" w:color="auto" w:fill="auto"/>
            <w:noWrap/>
            <w:vAlign w:val="bottom"/>
          </w:tcPr>
          <w:p w14:paraId="725A0916"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Cu</w:t>
            </w:r>
          </w:p>
        </w:tc>
        <w:tc>
          <w:tcPr>
            <w:tcW w:w="820" w:type="dxa"/>
            <w:tcBorders>
              <w:top w:val="single" w:sz="4" w:space="0" w:color="auto"/>
              <w:left w:val="nil"/>
              <w:bottom w:val="nil"/>
              <w:right w:val="nil"/>
            </w:tcBorders>
            <w:shd w:val="clear" w:color="auto" w:fill="auto"/>
            <w:noWrap/>
            <w:vAlign w:val="bottom"/>
          </w:tcPr>
          <w:p w14:paraId="031B8057"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Fe</w:t>
            </w:r>
          </w:p>
        </w:tc>
        <w:tc>
          <w:tcPr>
            <w:tcW w:w="820" w:type="dxa"/>
            <w:tcBorders>
              <w:top w:val="single" w:sz="4" w:space="0" w:color="auto"/>
              <w:left w:val="nil"/>
              <w:bottom w:val="nil"/>
              <w:right w:val="nil"/>
            </w:tcBorders>
            <w:shd w:val="clear" w:color="auto" w:fill="auto"/>
            <w:noWrap/>
            <w:vAlign w:val="bottom"/>
          </w:tcPr>
          <w:p w14:paraId="511739EF"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K</w:t>
            </w:r>
          </w:p>
        </w:tc>
      </w:tr>
      <w:tr w:rsidR="00F71119" w14:paraId="2ECE4DF7" w14:textId="77777777" w:rsidTr="00A4276F">
        <w:trPr>
          <w:trHeight w:val="320"/>
          <w:jc w:val="center"/>
        </w:trPr>
        <w:tc>
          <w:tcPr>
            <w:tcW w:w="1740" w:type="dxa"/>
            <w:tcBorders>
              <w:top w:val="nil"/>
              <w:left w:val="nil"/>
              <w:bottom w:val="single" w:sz="4" w:space="0" w:color="auto"/>
              <w:right w:val="nil"/>
            </w:tcBorders>
            <w:shd w:val="clear" w:color="auto" w:fill="auto"/>
            <w:noWrap/>
            <w:vAlign w:val="bottom"/>
          </w:tcPr>
          <w:p w14:paraId="0D49BAF6"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 xml:space="preserve">　</w:t>
            </w:r>
          </w:p>
        </w:tc>
        <w:tc>
          <w:tcPr>
            <w:tcW w:w="820" w:type="dxa"/>
            <w:tcBorders>
              <w:top w:val="nil"/>
              <w:left w:val="nil"/>
              <w:bottom w:val="single" w:sz="4" w:space="0" w:color="auto"/>
              <w:right w:val="nil"/>
            </w:tcBorders>
            <w:shd w:val="clear" w:color="auto" w:fill="auto"/>
            <w:noWrap/>
            <w:vAlign w:val="bottom"/>
          </w:tcPr>
          <w:p w14:paraId="609624CB"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mg/L</w:t>
            </w:r>
          </w:p>
        </w:tc>
        <w:tc>
          <w:tcPr>
            <w:tcW w:w="820" w:type="dxa"/>
            <w:tcBorders>
              <w:top w:val="nil"/>
              <w:left w:val="nil"/>
              <w:bottom w:val="single" w:sz="4" w:space="0" w:color="auto"/>
              <w:right w:val="nil"/>
            </w:tcBorders>
            <w:shd w:val="clear" w:color="auto" w:fill="auto"/>
            <w:noWrap/>
            <w:vAlign w:val="bottom"/>
          </w:tcPr>
          <w:p w14:paraId="7B0E5DC5"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mg/L</w:t>
            </w:r>
          </w:p>
        </w:tc>
        <w:tc>
          <w:tcPr>
            <w:tcW w:w="820" w:type="dxa"/>
            <w:tcBorders>
              <w:top w:val="nil"/>
              <w:left w:val="nil"/>
              <w:bottom w:val="single" w:sz="4" w:space="0" w:color="auto"/>
              <w:right w:val="nil"/>
            </w:tcBorders>
            <w:shd w:val="clear" w:color="auto" w:fill="auto"/>
            <w:noWrap/>
            <w:vAlign w:val="bottom"/>
          </w:tcPr>
          <w:p w14:paraId="71303DE8"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mg/L</w:t>
            </w:r>
          </w:p>
        </w:tc>
        <w:tc>
          <w:tcPr>
            <w:tcW w:w="820" w:type="dxa"/>
            <w:tcBorders>
              <w:top w:val="nil"/>
              <w:left w:val="nil"/>
              <w:bottom w:val="single" w:sz="4" w:space="0" w:color="auto"/>
              <w:right w:val="nil"/>
            </w:tcBorders>
            <w:shd w:val="clear" w:color="auto" w:fill="auto"/>
            <w:noWrap/>
            <w:vAlign w:val="bottom"/>
          </w:tcPr>
          <w:p w14:paraId="62C3EA56"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mg/L</w:t>
            </w:r>
          </w:p>
        </w:tc>
        <w:tc>
          <w:tcPr>
            <w:tcW w:w="820" w:type="dxa"/>
            <w:tcBorders>
              <w:top w:val="nil"/>
              <w:left w:val="nil"/>
              <w:bottom w:val="single" w:sz="4" w:space="0" w:color="auto"/>
              <w:right w:val="nil"/>
            </w:tcBorders>
            <w:shd w:val="clear" w:color="auto" w:fill="auto"/>
            <w:noWrap/>
            <w:vAlign w:val="bottom"/>
          </w:tcPr>
          <w:p w14:paraId="1101C53B"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mg/L</w:t>
            </w:r>
          </w:p>
        </w:tc>
        <w:tc>
          <w:tcPr>
            <w:tcW w:w="820" w:type="dxa"/>
            <w:tcBorders>
              <w:top w:val="nil"/>
              <w:left w:val="nil"/>
              <w:bottom w:val="single" w:sz="4" w:space="0" w:color="auto"/>
              <w:right w:val="nil"/>
            </w:tcBorders>
            <w:shd w:val="clear" w:color="auto" w:fill="auto"/>
            <w:noWrap/>
            <w:vAlign w:val="bottom"/>
          </w:tcPr>
          <w:p w14:paraId="0BF80FB3"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mg/L</w:t>
            </w:r>
          </w:p>
        </w:tc>
        <w:tc>
          <w:tcPr>
            <w:tcW w:w="820" w:type="dxa"/>
            <w:tcBorders>
              <w:top w:val="nil"/>
              <w:left w:val="nil"/>
              <w:bottom w:val="single" w:sz="4" w:space="0" w:color="auto"/>
              <w:right w:val="nil"/>
            </w:tcBorders>
            <w:shd w:val="clear" w:color="auto" w:fill="auto"/>
            <w:noWrap/>
            <w:vAlign w:val="bottom"/>
          </w:tcPr>
          <w:p w14:paraId="467F0065"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mg/L</w:t>
            </w:r>
          </w:p>
        </w:tc>
        <w:tc>
          <w:tcPr>
            <w:tcW w:w="820" w:type="dxa"/>
            <w:tcBorders>
              <w:top w:val="nil"/>
              <w:left w:val="nil"/>
              <w:bottom w:val="single" w:sz="4" w:space="0" w:color="auto"/>
              <w:right w:val="nil"/>
            </w:tcBorders>
            <w:shd w:val="clear" w:color="auto" w:fill="auto"/>
            <w:noWrap/>
            <w:vAlign w:val="bottom"/>
          </w:tcPr>
          <w:p w14:paraId="113F0FA4"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mg/L</w:t>
            </w:r>
          </w:p>
        </w:tc>
        <w:tc>
          <w:tcPr>
            <w:tcW w:w="820" w:type="dxa"/>
            <w:tcBorders>
              <w:top w:val="nil"/>
              <w:left w:val="nil"/>
              <w:bottom w:val="single" w:sz="4" w:space="0" w:color="auto"/>
              <w:right w:val="nil"/>
            </w:tcBorders>
            <w:shd w:val="clear" w:color="auto" w:fill="auto"/>
            <w:noWrap/>
            <w:vAlign w:val="bottom"/>
          </w:tcPr>
          <w:p w14:paraId="3B47BE1A"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mg/L</w:t>
            </w:r>
          </w:p>
        </w:tc>
        <w:tc>
          <w:tcPr>
            <w:tcW w:w="820" w:type="dxa"/>
            <w:tcBorders>
              <w:top w:val="nil"/>
              <w:left w:val="nil"/>
              <w:bottom w:val="single" w:sz="4" w:space="0" w:color="auto"/>
              <w:right w:val="nil"/>
            </w:tcBorders>
            <w:shd w:val="clear" w:color="auto" w:fill="auto"/>
            <w:noWrap/>
            <w:vAlign w:val="bottom"/>
          </w:tcPr>
          <w:p w14:paraId="4A54B5C6"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mg/L</w:t>
            </w:r>
          </w:p>
        </w:tc>
      </w:tr>
      <w:tr w:rsidR="00F71119" w14:paraId="76D4ECB2" w14:textId="77777777" w:rsidTr="00A4276F">
        <w:trPr>
          <w:trHeight w:val="320"/>
          <w:jc w:val="center"/>
        </w:trPr>
        <w:tc>
          <w:tcPr>
            <w:tcW w:w="1740" w:type="dxa"/>
            <w:tcBorders>
              <w:top w:val="nil"/>
              <w:left w:val="nil"/>
              <w:bottom w:val="nil"/>
              <w:right w:val="nil"/>
            </w:tcBorders>
            <w:shd w:val="clear" w:color="auto" w:fill="auto"/>
            <w:noWrap/>
            <w:vAlign w:val="bottom"/>
          </w:tcPr>
          <w:p w14:paraId="3B91B8D3"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Potable water</w:t>
            </w:r>
          </w:p>
        </w:tc>
        <w:tc>
          <w:tcPr>
            <w:tcW w:w="820" w:type="dxa"/>
            <w:tcBorders>
              <w:top w:val="nil"/>
              <w:left w:val="nil"/>
              <w:bottom w:val="nil"/>
              <w:right w:val="nil"/>
            </w:tcBorders>
            <w:shd w:val="clear" w:color="auto" w:fill="auto"/>
            <w:noWrap/>
            <w:vAlign w:val="bottom"/>
          </w:tcPr>
          <w:p w14:paraId="606C440D"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0.001</w:t>
            </w:r>
          </w:p>
        </w:tc>
        <w:tc>
          <w:tcPr>
            <w:tcW w:w="820" w:type="dxa"/>
            <w:tcBorders>
              <w:top w:val="nil"/>
              <w:left w:val="nil"/>
              <w:bottom w:val="nil"/>
              <w:right w:val="nil"/>
            </w:tcBorders>
            <w:shd w:val="clear" w:color="auto" w:fill="auto"/>
            <w:noWrap/>
            <w:vAlign w:val="bottom"/>
          </w:tcPr>
          <w:p w14:paraId="347B98EA"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0.137</w:t>
            </w:r>
          </w:p>
        </w:tc>
        <w:tc>
          <w:tcPr>
            <w:tcW w:w="820" w:type="dxa"/>
            <w:tcBorders>
              <w:top w:val="nil"/>
              <w:left w:val="nil"/>
              <w:bottom w:val="nil"/>
              <w:right w:val="nil"/>
            </w:tcBorders>
            <w:shd w:val="clear" w:color="auto" w:fill="auto"/>
            <w:noWrap/>
            <w:vAlign w:val="bottom"/>
          </w:tcPr>
          <w:p w14:paraId="04A61BF5"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0.025</w:t>
            </w:r>
          </w:p>
        </w:tc>
        <w:tc>
          <w:tcPr>
            <w:tcW w:w="820" w:type="dxa"/>
            <w:tcBorders>
              <w:top w:val="nil"/>
              <w:left w:val="nil"/>
              <w:bottom w:val="nil"/>
              <w:right w:val="nil"/>
            </w:tcBorders>
            <w:shd w:val="clear" w:color="auto" w:fill="auto"/>
            <w:noWrap/>
            <w:vAlign w:val="bottom"/>
          </w:tcPr>
          <w:p w14:paraId="738B3C66"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0.068</w:t>
            </w:r>
          </w:p>
        </w:tc>
        <w:tc>
          <w:tcPr>
            <w:tcW w:w="820" w:type="dxa"/>
            <w:tcBorders>
              <w:top w:val="nil"/>
              <w:left w:val="nil"/>
              <w:bottom w:val="nil"/>
              <w:right w:val="nil"/>
            </w:tcBorders>
            <w:shd w:val="clear" w:color="auto" w:fill="auto"/>
            <w:noWrap/>
            <w:vAlign w:val="bottom"/>
          </w:tcPr>
          <w:p w14:paraId="3F991050"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33.2</w:t>
            </w:r>
          </w:p>
        </w:tc>
        <w:tc>
          <w:tcPr>
            <w:tcW w:w="820" w:type="dxa"/>
            <w:tcBorders>
              <w:top w:val="nil"/>
              <w:left w:val="nil"/>
              <w:bottom w:val="nil"/>
              <w:right w:val="nil"/>
            </w:tcBorders>
            <w:shd w:val="clear" w:color="auto" w:fill="auto"/>
            <w:noWrap/>
            <w:vAlign w:val="bottom"/>
          </w:tcPr>
          <w:p w14:paraId="6E139F42"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0.001</w:t>
            </w:r>
          </w:p>
        </w:tc>
        <w:tc>
          <w:tcPr>
            <w:tcW w:w="820" w:type="dxa"/>
            <w:tcBorders>
              <w:top w:val="nil"/>
              <w:left w:val="nil"/>
              <w:bottom w:val="nil"/>
              <w:right w:val="nil"/>
            </w:tcBorders>
            <w:shd w:val="clear" w:color="auto" w:fill="auto"/>
            <w:noWrap/>
            <w:vAlign w:val="bottom"/>
          </w:tcPr>
          <w:p w14:paraId="01D18AC9"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0.006</w:t>
            </w:r>
          </w:p>
        </w:tc>
        <w:tc>
          <w:tcPr>
            <w:tcW w:w="820" w:type="dxa"/>
            <w:tcBorders>
              <w:top w:val="nil"/>
              <w:left w:val="nil"/>
              <w:bottom w:val="nil"/>
              <w:right w:val="nil"/>
            </w:tcBorders>
            <w:shd w:val="clear" w:color="auto" w:fill="auto"/>
            <w:noWrap/>
            <w:vAlign w:val="bottom"/>
          </w:tcPr>
          <w:p w14:paraId="5EC5F265"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0.192</w:t>
            </w:r>
          </w:p>
        </w:tc>
        <w:tc>
          <w:tcPr>
            <w:tcW w:w="820" w:type="dxa"/>
            <w:tcBorders>
              <w:top w:val="nil"/>
              <w:left w:val="nil"/>
              <w:bottom w:val="nil"/>
              <w:right w:val="nil"/>
            </w:tcBorders>
            <w:shd w:val="clear" w:color="auto" w:fill="auto"/>
            <w:noWrap/>
            <w:vAlign w:val="bottom"/>
          </w:tcPr>
          <w:p w14:paraId="6AF1016E"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0.005</w:t>
            </w:r>
          </w:p>
        </w:tc>
        <w:tc>
          <w:tcPr>
            <w:tcW w:w="820" w:type="dxa"/>
            <w:tcBorders>
              <w:top w:val="nil"/>
              <w:left w:val="nil"/>
              <w:bottom w:val="nil"/>
              <w:right w:val="nil"/>
            </w:tcBorders>
            <w:shd w:val="clear" w:color="auto" w:fill="auto"/>
            <w:noWrap/>
            <w:vAlign w:val="bottom"/>
          </w:tcPr>
          <w:p w14:paraId="3AD0C9A7"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3.6</w:t>
            </w:r>
          </w:p>
        </w:tc>
      </w:tr>
      <w:tr w:rsidR="00F71119" w14:paraId="03CBF3BE" w14:textId="77777777" w:rsidTr="00A4276F">
        <w:trPr>
          <w:trHeight w:val="320"/>
          <w:jc w:val="center"/>
        </w:trPr>
        <w:tc>
          <w:tcPr>
            <w:tcW w:w="1740" w:type="dxa"/>
            <w:tcBorders>
              <w:top w:val="nil"/>
              <w:left w:val="nil"/>
              <w:bottom w:val="single" w:sz="4" w:space="0" w:color="auto"/>
              <w:right w:val="nil"/>
            </w:tcBorders>
            <w:shd w:val="clear" w:color="auto" w:fill="auto"/>
            <w:noWrap/>
            <w:vAlign w:val="center"/>
          </w:tcPr>
          <w:p w14:paraId="6189717B"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Landfill leachate</w:t>
            </w:r>
          </w:p>
        </w:tc>
        <w:tc>
          <w:tcPr>
            <w:tcW w:w="820" w:type="dxa"/>
            <w:tcBorders>
              <w:top w:val="nil"/>
              <w:left w:val="nil"/>
              <w:bottom w:val="single" w:sz="4" w:space="0" w:color="auto"/>
              <w:right w:val="nil"/>
            </w:tcBorders>
            <w:shd w:val="clear" w:color="auto" w:fill="auto"/>
            <w:noWrap/>
            <w:vAlign w:val="center"/>
          </w:tcPr>
          <w:p w14:paraId="70D36F72"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0.422</w:t>
            </w:r>
          </w:p>
        </w:tc>
        <w:tc>
          <w:tcPr>
            <w:tcW w:w="820" w:type="dxa"/>
            <w:tcBorders>
              <w:top w:val="nil"/>
              <w:left w:val="nil"/>
              <w:bottom w:val="single" w:sz="4" w:space="0" w:color="auto"/>
              <w:right w:val="nil"/>
            </w:tcBorders>
            <w:shd w:val="clear" w:color="auto" w:fill="auto"/>
            <w:noWrap/>
            <w:vAlign w:val="center"/>
          </w:tcPr>
          <w:p w14:paraId="7A675A9A"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3.809</w:t>
            </w:r>
          </w:p>
        </w:tc>
        <w:tc>
          <w:tcPr>
            <w:tcW w:w="820" w:type="dxa"/>
            <w:tcBorders>
              <w:top w:val="nil"/>
              <w:left w:val="nil"/>
              <w:bottom w:val="single" w:sz="4" w:space="0" w:color="auto"/>
              <w:right w:val="nil"/>
            </w:tcBorders>
            <w:shd w:val="clear" w:color="auto" w:fill="auto"/>
            <w:noWrap/>
            <w:vAlign w:val="center"/>
          </w:tcPr>
          <w:p w14:paraId="6A0BBF41"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3.474</w:t>
            </w:r>
          </w:p>
        </w:tc>
        <w:tc>
          <w:tcPr>
            <w:tcW w:w="820" w:type="dxa"/>
            <w:tcBorders>
              <w:top w:val="nil"/>
              <w:left w:val="nil"/>
              <w:bottom w:val="single" w:sz="4" w:space="0" w:color="auto"/>
              <w:right w:val="nil"/>
            </w:tcBorders>
            <w:shd w:val="clear" w:color="auto" w:fill="auto"/>
            <w:noWrap/>
            <w:vAlign w:val="center"/>
          </w:tcPr>
          <w:p w14:paraId="5FB4FD73"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0.377</w:t>
            </w:r>
          </w:p>
        </w:tc>
        <w:tc>
          <w:tcPr>
            <w:tcW w:w="820" w:type="dxa"/>
            <w:tcBorders>
              <w:top w:val="nil"/>
              <w:left w:val="nil"/>
              <w:bottom w:val="single" w:sz="4" w:space="0" w:color="auto"/>
              <w:right w:val="nil"/>
            </w:tcBorders>
            <w:shd w:val="clear" w:color="auto" w:fill="auto"/>
            <w:noWrap/>
            <w:vAlign w:val="center"/>
          </w:tcPr>
          <w:p w14:paraId="3D6C00A4"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59.3</w:t>
            </w:r>
          </w:p>
        </w:tc>
        <w:tc>
          <w:tcPr>
            <w:tcW w:w="820" w:type="dxa"/>
            <w:tcBorders>
              <w:top w:val="nil"/>
              <w:left w:val="nil"/>
              <w:bottom w:val="single" w:sz="4" w:space="0" w:color="auto"/>
              <w:right w:val="nil"/>
            </w:tcBorders>
            <w:shd w:val="clear" w:color="auto" w:fill="auto"/>
            <w:noWrap/>
            <w:vAlign w:val="center"/>
          </w:tcPr>
          <w:p w14:paraId="73616193"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0.569</w:t>
            </w:r>
          </w:p>
        </w:tc>
        <w:tc>
          <w:tcPr>
            <w:tcW w:w="820" w:type="dxa"/>
            <w:tcBorders>
              <w:top w:val="nil"/>
              <w:left w:val="nil"/>
              <w:bottom w:val="single" w:sz="4" w:space="0" w:color="auto"/>
              <w:right w:val="nil"/>
            </w:tcBorders>
            <w:shd w:val="clear" w:color="auto" w:fill="auto"/>
            <w:noWrap/>
            <w:vAlign w:val="center"/>
          </w:tcPr>
          <w:p w14:paraId="79E947F9"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6.600</w:t>
            </w:r>
          </w:p>
        </w:tc>
        <w:tc>
          <w:tcPr>
            <w:tcW w:w="820" w:type="dxa"/>
            <w:tcBorders>
              <w:top w:val="nil"/>
              <w:left w:val="nil"/>
              <w:bottom w:val="single" w:sz="4" w:space="0" w:color="auto"/>
              <w:right w:val="nil"/>
            </w:tcBorders>
            <w:shd w:val="clear" w:color="auto" w:fill="auto"/>
            <w:noWrap/>
            <w:vAlign w:val="center"/>
          </w:tcPr>
          <w:p w14:paraId="057B1A2A"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0.048</w:t>
            </w:r>
          </w:p>
        </w:tc>
        <w:tc>
          <w:tcPr>
            <w:tcW w:w="820" w:type="dxa"/>
            <w:tcBorders>
              <w:top w:val="nil"/>
              <w:left w:val="nil"/>
              <w:bottom w:val="single" w:sz="4" w:space="0" w:color="auto"/>
              <w:right w:val="nil"/>
            </w:tcBorders>
            <w:shd w:val="clear" w:color="auto" w:fill="auto"/>
            <w:noWrap/>
            <w:vAlign w:val="center"/>
          </w:tcPr>
          <w:p w14:paraId="5EA776BA"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3.653</w:t>
            </w:r>
          </w:p>
        </w:tc>
        <w:tc>
          <w:tcPr>
            <w:tcW w:w="820" w:type="dxa"/>
            <w:tcBorders>
              <w:top w:val="nil"/>
              <w:left w:val="nil"/>
              <w:bottom w:val="single" w:sz="4" w:space="0" w:color="auto"/>
              <w:right w:val="nil"/>
            </w:tcBorders>
            <w:shd w:val="clear" w:color="auto" w:fill="auto"/>
            <w:noWrap/>
            <w:vAlign w:val="center"/>
          </w:tcPr>
          <w:p w14:paraId="5982A39F"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994.9</w:t>
            </w:r>
          </w:p>
        </w:tc>
      </w:tr>
      <w:tr w:rsidR="00F71119" w14:paraId="4BB92223" w14:textId="77777777" w:rsidTr="00A4276F">
        <w:trPr>
          <w:trHeight w:val="320"/>
          <w:jc w:val="center"/>
        </w:trPr>
        <w:tc>
          <w:tcPr>
            <w:tcW w:w="1740" w:type="dxa"/>
            <w:tcBorders>
              <w:top w:val="nil"/>
              <w:left w:val="nil"/>
              <w:bottom w:val="nil"/>
              <w:right w:val="nil"/>
            </w:tcBorders>
            <w:shd w:val="clear" w:color="auto" w:fill="auto"/>
            <w:noWrap/>
            <w:vAlign w:val="bottom"/>
          </w:tcPr>
          <w:p w14:paraId="42525F7E" w14:textId="77777777" w:rsidR="00F71119" w:rsidRDefault="00F71119">
            <w:pPr>
              <w:widowControl/>
              <w:jc w:val="center"/>
              <w:rPr>
                <w:rFonts w:ascii="Times New Roman" w:eastAsia="DengXian" w:hAnsi="Times New Roman" w:cs="Times New Roman"/>
                <w:color w:val="000000"/>
                <w:kern w:val="0"/>
                <w:sz w:val="24"/>
              </w:rPr>
            </w:pPr>
          </w:p>
        </w:tc>
        <w:tc>
          <w:tcPr>
            <w:tcW w:w="820" w:type="dxa"/>
            <w:tcBorders>
              <w:top w:val="nil"/>
              <w:left w:val="nil"/>
              <w:bottom w:val="nil"/>
              <w:right w:val="nil"/>
            </w:tcBorders>
            <w:shd w:val="clear" w:color="auto" w:fill="auto"/>
            <w:noWrap/>
            <w:vAlign w:val="bottom"/>
          </w:tcPr>
          <w:p w14:paraId="6D2649B3" w14:textId="77777777" w:rsidR="00F71119" w:rsidRDefault="00F71119">
            <w:pPr>
              <w:widowControl/>
              <w:jc w:val="left"/>
              <w:rPr>
                <w:rFonts w:ascii="Times New Roman" w:eastAsia="Times New Roman" w:hAnsi="Times New Roman" w:cs="Times New Roman"/>
                <w:kern w:val="0"/>
                <w:sz w:val="24"/>
              </w:rPr>
            </w:pPr>
          </w:p>
        </w:tc>
        <w:tc>
          <w:tcPr>
            <w:tcW w:w="820" w:type="dxa"/>
            <w:tcBorders>
              <w:top w:val="nil"/>
              <w:left w:val="nil"/>
              <w:bottom w:val="nil"/>
              <w:right w:val="nil"/>
            </w:tcBorders>
            <w:shd w:val="clear" w:color="auto" w:fill="auto"/>
            <w:noWrap/>
            <w:vAlign w:val="bottom"/>
          </w:tcPr>
          <w:p w14:paraId="70E64B90" w14:textId="77777777" w:rsidR="00F71119" w:rsidRDefault="00F71119">
            <w:pPr>
              <w:widowControl/>
              <w:jc w:val="center"/>
              <w:rPr>
                <w:rFonts w:ascii="Times New Roman" w:eastAsia="Times New Roman" w:hAnsi="Times New Roman" w:cs="Times New Roman"/>
                <w:kern w:val="0"/>
                <w:sz w:val="24"/>
              </w:rPr>
            </w:pPr>
          </w:p>
        </w:tc>
        <w:tc>
          <w:tcPr>
            <w:tcW w:w="820" w:type="dxa"/>
            <w:tcBorders>
              <w:top w:val="nil"/>
              <w:left w:val="nil"/>
              <w:bottom w:val="nil"/>
              <w:right w:val="nil"/>
            </w:tcBorders>
            <w:shd w:val="clear" w:color="auto" w:fill="auto"/>
            <w:noWrap/>
            <w:vAlign w:val="bottom"/>
          </w:tcPr>
          <w:p w14:paraId="4DEDD6F6" w14:textId="77777777" w:rsidR="00F71119" w:rsidRDefault="00F71119">
            <w:pPr>
              <w:widowControl/>
              <w:jc w:val="center"/>
              <w:rPr>
                <w:rFonts w:ascii="Times New Roman" w:eastAsia="Times New Roman" w:hAnsi="Times New Roman" w:cs="Times New Roman"/>
                <w:kern w:val="0"/>
                <w:sz w:val="24"/>
              </w:rPr>
            </w:pPr>
          </w:p>
        </w:tc>
        <w:tc>
          <w:tcPr>
            <w:tcW w:w="820" w:type="dxa"/>
            <w:tcBorders>
              <w:top w:val="nil"/>
              <w:left w:val="nil"/>
              <w:bottom w:val="nil"/>
              <w:right w:val="nil"/>
            </w:tcBorders>
            <w:shd w:val="clear" w:color="auto" w:fill="auto"/>
            <w:noWrap/>
            <w:vAlign w:val="bottom"/>
          </w:tcPr>
          <w:p w14:paraId="385C7AC0" w14:textId="77777777" w:rsidR="00F71119" w:rsidRDefault="00F71119">
            <w:pPr>
              <w:widowControl/>
              <w:jc w:val="center"/>
              <w:rPr>
                <w:rFonts w:ascii="Times New Roman" w:eastAsia="Times New Roman" w:hAnsi="Times New Roman" w:cs="Times New Roman"/>
                <w:kern w:val="0"/>
                <w:sz w:val="24"/>
              </w:rPr>
            </w:pPr>
          </w:p>
        </w:tc>
        <w:tc>
          <w:tcPr>
            <w:tcW w:w="820" w:type="dxa"/>
            <w:tcBorders>
              <w:top w:val="nil"/>
              <w:left w:val="nil"/>
              <w:bottom w:val="nil"/>
              <w:right w:val="nil"/>
            </w:tcBorders>
            <w:shd w:val="clear" w:color="auto" w:fill="auto"/>
            <w:noWrap/>
            <w:vAlign w:val="bottom"/>
          </w:tcPr>
          <w:p w14:paraId="4EDDFA5B" w14:textId="77777777" w:rsidR="00F71119" w:rsidRDefault="00F71119">
            <w:pPr>
              <w:widowControl/>
              <w:jc w:val="center"/>
              <w:rPr>
                <w:rFonts w:ascii="Times New Roman" w:eastAsia="Times New Roman" w:hAnsi="Times New Roman" w:cs="Times New Roman"/>
                <w:kern w:val="0"/>
                <w:sz w:val="24"/>
              </w:rPr>
            </w:pPr>
          </w:p>
        </w:tc>
        <w:tc>
          <w:tcPr>
            <w:tcW w:w="820" w:type="dxa"/>
            <w:tcBorders>
              <w:top w:val="nil"/>
              <w:left w:val="nil"/>
              <w:bottom w:val="nil"/>
              <w:right w:val="nil"/>
            </w:tcBorders>
            <w:shd w:val="clear" w:color="auto" w:fill="auto"/>
            <w:noWrap/>
            <w:vAlign w:val="bottom"/>
          </w:tcPr>
          <w:p w14:paraId="34DA5066" w14:textId="77777777" w:rsidR="00F71119" w:rsidRDefault="00F71119">
            <w:pPr>
              <w:widowControl/>
              <w:jc w:val="center"/>
              <w:rPr>
                <w:rFonts w:ascii="Times New Roman" w:eastAsia="Times New Roman" w:hAnsi="Times New Roman" w:cs="Times New Roman"/>
                <w:kern w:val="0"/>
                <w:sz w:val="24"/>
              </w:rPr>
            </w:pPr>
          </w:p>
        </w:tc>
        <w:tc>
          <w:tcPr>
            <w:tcW w:w="820" w:type="dxa"/>
            <w:tcBorders>
              <w:top w:val="nil"/>
              <w:left w:val="nil"/>
              <w:bottom w:val="nil"/>
              <w:right w:val="nil"/>
            </w:tcBorders>
            <w:shd w:val="clear" w:color="auto" w:fill="auto"/>
            <w:noWrap/>
            <w:vAlign w:val="bottom"/>
          </w:tcPr>
          <w:p w14:paraId="364B1CA4" w14:textId="77777777" w:rsidR="00F71119" w:rsidRDefault="00F71119">
            <w:pPr>
              <w:widowControl/>
              <w:jc w:val="center"/>
              <w:rPr>
                <w:rFonts w:ascii="Times New Roman" w:eastAsia="Times New Roman" w:hAnsi="Times New Roman" w:cs="Times New Roman"/>
                <w:kern w:val="0"/>
                <w:sz w:val="24"/>
              </w:rPr>
            </w:pPr>
          </w:p>
        </w:tc>
        <w:tc>
          <w:tcPr>
            <w:tcW w:w="820" w:type="dxa"/>
            <w:tcBorders>
              <w:top w:val="nil"/>
              <w:left w:val="nil"/>
              <w:bottom w:val="nil"/>
              <w:right w:val="nil"/>
            </w:tcBorders>
            <w:shd w:val="clear" w:color="auto" w:fill="auto"/>
            <w:noWrap/>
            <w:vAlign w:val="bottom"/>
          </w:tcPr>
          <w:p w14:paraId="7A969345" w14:textId="77777777" w:rsidR="00F71119" w:rsidRDefault="00F71119">
            <w:pPr>
              <w:widowControl/>
              <w:jc w:val="center"/>
              <w:rPr>
                <w:rFonts w:ascii="Times New Roman" w:eastAsia="Times New Roman" w:hAnsi="Times New Roman" w:cs="Times New Roman"/>
                <w:kern w:val="0"/>
                <w:sz w:val="24"/>
              </w:rPr>
            </w:pPr>
          </w:p>
        </w:tc>
        <w:tc>
          <w:tcPr>
            <w:tcW w:w="820" w:type="dxa"/>
            <w:tcBorders>
              <w:top w:val="nil"/>
              <w:left w:val="nil"/>
              <w:bottom w:val="nil"/>
              <w:right w:val="nil"/>
            </w:tcBorders>
            <w:shd w:val="clear" w:color="auto" w:fill="auto"/>
            <w:noWrap/>
            <w:vAlign w:val="bottom"/>
          </w:tcPr>
          <w:p w14:paraId="7D9CBA25" w14:textId="77777777" w:rsidR="00F71119" w:rsidRDefault="00F71119">
            <w:pPr>
              <w:widowControl/>
              <w:jc w:val="center"/>
              <w:rPr>
                <w:rFonts w:ascii="Times New Roman" w:eastAsia="Times New Roman" w:hAnsi="Times New Roman" w:cs="Times New Roman"/>
                <w:kern w:val="0"/>
                <w:sz w:val="24"/>
              </w:rPr>
            </w:pPr>
          </w:p>
        </w:tc>
        <w:tc>
          <w:tcPr>
            <w:tcW w:w="820" w:type="dxa"/>
            <w:tcBorders>
              <w:top w:val="nil"/>
              <w:left w:val="nil"/>
              <w:bottom w:val="nil"/>
              <w:right w:val="nil"/>
            </w:tcBorders>
            <w:shd w:val="clear" w:color="auto" w:fill="auto"/>
            <w:noWrap/>
            <w:vAlign w:val="bottom"/>
          </w:tcPr>
          <w:p w14:paraId="009E15DB" w14:textId="77777777" w:rsidR="00F71119" w:rsidRDefault="00F71119">
            <w:pPr>
              <w:widowControl/>
              <w:jc w:val="center"/>
              <w:rPr>
                <w:rFonts w:ascii="Times New Roman" w:eastAsia="Times New Roman" w:hAnsi="Times New Roman" w:cs="Times New Roman"/>
                <w:kern w:val="0"/>
                <w:sz w:val="24"/>
              </w:rPr>
            </w:pPr>
          </w:p>
        </w:tc>
      </w:tr>
      <w:tr w:rsidR="00F71119" w14:paraId="47809456" w14:textId="77777777" w:rsidTr="00A4276F">
        <w:trPr>
          <w:trHeight w:val="320"/>
          <w:jc w:val="center"/>
        </w:trPr>
        <w:tc>
          <w:tcPr>
            <w:tcW w:w="1740" w:type="dxa"/>
            <w:tcBorders>
              <w:top w:val="single" w:sz="4" w:space="0" w:color="auto"/>
              <w:left w:val="nil"/>
              <w:bottom w:val="nil"/>
              <w:right w:val="nil"/>
            </w:tcBorders>
            <w:shd w:val="clear" w:color="auto" w:fill="auto"/>
            <w:noWrap/>
            <w:vAlign w:val="bottom"/>
          </w:tcPr>
          <w:p w14:paraId="185F7FAC"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Sample</w:t>
            </w:r>
          </w:p>
        </w:tc>
        <w:tc>
          <w:tcPr>
            <w:tcW w:w="820" w:type="dxa"/>
            <w:tcBorders>
              <w:top w:val="single" w:sz="4" w:space="0" w:color="auto"/>
              <w:left w:val="nil"/>
              <w:bottom w:val="nil"/>
              <w:right w:val="nil"/>
            </w:tcBorders>
            <w:shd w:val="clear" w:color="auto" w:fill="auto"/>
            <w:noWrap/>
            <w:vAlign w:val="bottom"/>
          </w:tcPr>
          <w:p w14:paraId="22B19818"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w:t>
            </w:r>
          </w:p>
        </w:tc>
        <w:tc>
          <w:tcPr>
            <w:tcW w:w="820" w:type="dxa"/>
            <w:tcBorders>
              <w:top w:val="single" w:sz="4" w:space="0" w:color="auto"/>
              <w:left w:val="nil"/>
              <w:bottom w:val="nil"/>
              <w:right w:val="nil"/>
            </w:tcBorders>
            <w:shd w:val="clear" w:color="auto" w:fill="auto"/>
            <w:noWrap/>
            <w:vAlign w:val="bottom"/>
          </w:tcPr>
          <w:p w14:paraId="12248373"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Mn</w:t>
            </w:r>
          </w:p>
        </w:tc>
        <w:tc>
          <w:tcPr>
            <w:tcW w:w="820" w:type="dxa"/>
            <w:tcBorders>
              <w:top w:val="single" w:sz="4" w:space="0" w:color="auto"/>
              <w:left w:val="nil"/>
              <w:bottom w:val="nil"/>
              <w:right w:val="nil"/>
            </w:tcBorders>
            <w:shd w:val="clear" w:color="auto" w:fill="auto"/>
            <w:noWrap/>
            <w:vAlign w:val="bottom"/>
          </w:tcPr>
          <w:p w14:paraId="1DD38522"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Na</w:t>
            </w:r>
          </w:p>
        </w:tc>
        <w:tc>
          <w:tcPr>
            <w:tcW w:w="820" w:type="dxa"/>
            <w:tcBorders>
              <w:top w:val="single" w:sz="4" w:space="0" w:color="auto"/>
              <w:left w:val="nil"/>
              <w:bottom w:val="nil"/>
              <w:right w:val="nil"/>
            </w:tcBorders>
            <w:shd w:val="clear" w:color="auto" w:fill="auto"/>
            <w:noWrap/>
            <w:vAlign w:val="bottom"/>
          </w:tcPr>
          <w:p w14:paraId="56A71F39"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Ni</w:t>
            </w:r>
          </w:p>
        </w:tc>
        <w:tc>
          <w:tcPr>
            <w:tcW w:w="820" w:type="dxa"/>
            <w:tcBorders>
              <w:top w:val="single" w:sz="4" w:space="0" w:color="auto"/>
              <w:left w:val="nil"/>
              <w:bottom w:val="nil"/>
              <w:right w:val="nil"/>
            </w:tcBorders>
            <w:shd w:val="clear" w:color="auto" w:fill="auto"/>
            <w:noWrap/>
            <w:vAlign w:val="bottom"/>
          </w:tcPr>
          <w:p w14:paraId="6465BE8C"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P</w:t>
            </w:r>
          </w:p>
        </w:tc>
        <w:tc>
          <w:tcPr>
            <w:tcW w:w="820" w:type="dxa"/>
            <w:tcBorders>
              <w:top w:val="single" w:sz="4" w:space="0" w:color="auto"/>
              <w:left w:val="nil"/>
              <w:bottom w:val="nil"/>
              <w:right w:val="nil"/>
            </w:tcBorders>
            <w:shd w:val="clear" w:color="auto" w:fill="auto"/>
            <w:noWrap/>
            <w:vAlign w:val="bottom"/>
          </w:tcPr>
          <w:p w14:paraId="2E4BEFD4"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Si</w:t>
            </w:r>
          </w:p>
        </w:tc>
        <w:tc>
          <w:tcPr>
            <w:tcW w:w="820" w:type="dxa"/>
            <w:tcBorders>
              <w:top w:val="single" w:sz="4" w:space="0" w:color="auto"/>
              <w:left w:val="nil"/>
              <w:bottom w:val="nil"/>
              <w:right w:val="nil"/>
            </w:tcBorders>
            <w:shd w:val="clear" w:color="auto" w:fill="auto"/>
            <w:noWrap/>
            <w:vAlign w:val="bottom"/>
          </w:tcPr>
          <w:p w14:paraId="323C723B"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S</w:t>
            </w:r>
          </w:p>
        </w:tc>
        <w:tc>
          <w:tcPr>
            <w:tcW w:w="820" w:type="dxa"/>
            <w:tcBorders>
              <w:top w:val="single" w:sz="4" w:space="0" w:color="auto"/>
              <w:left w:val="nil"/>
              <w:bottom w:val="nil"/>
              <w:right w:val="nil"/>
            </w:tcBorders>
            <w:shd w:val="clear" w:color="auto" w:fill="auto"/>
            <w:noWrap/>
            <w:vAlign w:val="bottom"/>
          </w:tcPr>
          <w:p w14:paraId="53F70F95"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Sr</w:t>
            </w:r>
          </w:p>
        </w:tc>
        <w:tc>
          <w:tcPr>
            <w:tcW w:w="820" w:type="dxa"/>
            <w:tcBorders>
              <w:top w:val="single" w:sz="4" w:space="0" w:color="auto"/>
              <w:left w:val="nil"/>
              <w:bottom w:val="nil"/>
              <w:right w:val="nil"/>
            </w:tcBorders>
            <w:shd w:val="clear" w:color="auto" w:fill="auto"/>
            <w:noWrap/>
            <w:vAlign w:val="bottom"/>
          </w:tcPr>
          <w:p w14:paraId="481DB247"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Zn</w:t>
            </w:r>
          </w:p>
        </w:tc>
        <w:tc>
          <w:tcPr>
            <w:tcW w:w="820" w:type="dxa"/>
            <w:tcBorders>
              <w:top w:val="nil"/>
              <w:left w:val="nil"/>
              <w:bottom w:val="nil"/>
              <w:right w:val="nil"/>
            </w:tcBorders>
            <w:shd w:val="clear" w:color="auto" w:fill="auto"/>
            <w:noWrap/>
            <w:vAlign w:val="bottom"/>
          </w:tcPr>
          <w:p w14:paraId="364D1DE4" w14:textId="77777777" w:rsidR="00F71119" w:rsidRDefault="00F71119">
            <w:pPr>
              <w:widowControl/>
              <w:jc w:val="center"/>
              <w:rPr>
                <w:rFonts w:ascii="Times New Roman" w:eastAsia="DengXian" w:hAnsi="Times New Roman" w:cs="Times New Roman"/>
                <w:color w:val="000000"/>
                <w:kern w:val="0"/>
                <w:sz w:val="24"/>
              </w:rPr>
            </w:pPr>
          </w:p>
        </w:tc>
      </w:tr>
      <w:tr w:rsidR="00F71119" w14:paraId="6EA81AC5" w14:textId="77777777" w:rsidTr="00A4276F">
        <w:trPr>
          <w:trHeight w:val="320"/>
          <w:jc w:val="center"/>
        </w:trPr>
        <w:tc>
          <w:tcPr>
            <w:tcW w:w="1740" w:type="dxa"/>
            <w:tcBorders>
              <w:top w:val="nil"/>
              <w:left w:val="nil"/>
              <w:bottom w:val="single" w:sz="4" w:space="0" w:color="auto"/>
              <w:right w:val="nil"/>
            </w:tcBorders>
            <w:shd w:val="clear" w:color="auto" w:fill="auto"/>
            <w:noWrap/>
            <w:vAlign w:val="bottom"/>
          </w:tcPr>
          <w:p w14:paraId="2AC77F49"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 xml:space="preserve">　</w:t>
            </w:r>
          </w:p>
        </w:tc>
        <w:tc>
          <w:tcPr>
            <w:tcW w:w="820" w:type="dxa"/>
            <w:tcBorders>
              <w:top w:val="nil"/>
              <w:left w:val="nil"/>
              <w:bottom w:val="single" w:sz="4" w:space="0" w:color="auto"/>
              <w:right w:val="nil"/>
            </w:tcBorders>
            <w:shd w:val="clear" w:color="auto" w:fill="auto"/>
            <w:noWrap/>
            <w:vAlign w:val="bottom"/>
          </w:tcPr>
          <w:p w14:paraId="426AD768"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mg/L</w:t>
            </w:r>
          </w:p>
        </w:tc>
        <w:tc>
          <w:tcPr>
            <w:tcW w:w="820" w:type="dxa"/>
            <w:tcBorders>
              <w:top w:val="nil"/>
              <w:left w:val="nil"/>
              <w:bottom w:val="single" w:sz="4" w:space="0" w:color="auto"/>
              <w:right w:val="nil"/>
            </w:tcBorders>
            <w:shd w:val="clear" w:color="auto" w:fill="auto"/>
            <w:noWrap/>
            <w:vAlign w:val="bottom"/>
          </w:tcPr>
          <w:p w14:paraId="17D679FD"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mg/L</w:t>
            </w:r>
          </w:p>
        </w:tc>
        <w:tc>
          <w:tcPr>
            <w:tcW w:w="820" w:type="dxa"/>
            <w:tcBorders>
              <w:top w:val="nil"/>
              <w:left w:val="nil"/>
              <w:bottom w:val="single" w:sz="4" w:space="0" w:color="auto"/>
              <w:right w:val="nil"/>
            </w:tcBorders>
            <w:shd w:val="clear" w:color="auto" w:fill="auto"/>
            <w:noWrap/>
            <w:vAlign w:val="bottom"/>
          </w:tcPr>
          <w:p w14:paraId="1A12A426"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mg/L</w:t>
            </w:r>
          </w:p>
        </w:tc>
        <w:tc>
          <w:tcPr>
            <w:tcW w:w="820" w:type="dxa"/>
            <w:tcBorders>
              <w:top w:val="nil"/>
              <w:left w:val="nil"/>
              <w:bottom w:val="single" w:sz="4" w:space="0" w:color="auto"/>
              <w:right w:val="nil"/>
            </w:tcBorders>
            <w:shd w:val="clear" w:color="auto" w:fill="auto"/>
            <w:noWrap/>
            <w:vAlign w:val="bottom"/>
          </w:tcPr>
          <w:p w14:paraId="582FF2FC"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mg/L</w:t>
            </w:r>
          </w:p>
        </w:tc>
        <w:tc>
          <w:tcPr>
            <w:tcW w:w="820" w:type="dxa"/>
            <w:tcBorders>
              <w:top w:val="nil"/>
              <w:left w:val="nil"/>
              <w:bottom w:val="single" w:sz="4" w:space="0" w:color="auto"/>
              <w:right w:val="nil"/>
            </w:tcBorders>
            <w:shd w:val="clear" w:color="auto" w:fill="auto"/>
            <w:noWrap/>
            <w:vAlign w:val="bottom"/>
          </w:tcPr>
          <w:p w14:paraId="42899BB1"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mg/L</w:t>
            </w:r>
          </w:p>
        </w:tc>
        <w:tc>
          <w:tcPr>
            <w:tcW w:w="820" w:type="dxa"/>
            <w:tcBorders>
              <w:top w:val="nil"/>
              <w:left w:val="nil"/>
              <w:bottom w:val="single" w:sz="4" w:space="0" w:color="auto"/>
              <w:right w:val="nil"/>
            </w:tcBorders>
            <w:shd w:val="clear" w:color="auto" w:fill="auto"/>
            <w:noWrap/>
            <w:vAlign w:val="bottom"/>
          </w:tcPr>
          <w:p w14:paraId="3426AF97"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mg/L</w:t>
            </w:r>
          </w:p>
        </w:tc>
        <w:tc>
          <w:tcPr>
            <w:tcW w:w="820" w:type="dxa"/>
            <w:tcBorders>
              <w:top w:val="nil"/>
              <w:left w:val="nil"/>
              <w:bottom w:val="single" w:sz="4" w:space="0" w:color="auto"/>
              <w:right w:val="nil"/>
            </w:tcBorders>
            <w:shd w:val="clear" w:color="auto" w:fill="auto"/>
            <w:noWrap/>
            <w:vAlign w:val="bottom"/>
          </w:tcPr>
          <w:p w14:paraId="4B2B08F9"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mg/L</w:t>
            </w:r>
          </w:p>
        </w:tc>
        <w:tc>
          <w:tcPr>
            <w:tcW w:w="820" w:type="dxa"/>
            <w:tcBorders>
              <w:top w:val="nil"/>
              <w:left w:val="nil"/>
              <w:bottom w:val="single" w:sz="4" w:space="0" w:color="auto"/>
              <w:right w:val="nil"/>
            </w:tcBorders>
            <w:shd w:val="clear" w:color="auto" w:fill="auto"/>
            <w:noWrap/>
            <w:vAlign w:val="bottom"/>
          </w:tcPr>
          <w:p w14:paraId="4D041F7C"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mg/L</w:t>
            </w:r>
          </w:p>
        </w:tc>
        <w:tc>
          <w:tcPr>
            <w:tcW w:w="820" w:type="dxa"/>
            <w:tcBorders>
              <w:top w:val="nil"/>
              <w:left w:val="nil"/>
              <w:bottom w:val="single" w:sz="4" w:space="0" w:color="auto"/>
              <w:right w:val="nil"/>
            </w:tcBorders>
            <w:shd w:val="clear" w:color="auto" w:fill="auto"/>
            <w:noWrap/>
            <w:vAlign w:val="bottom"/>
          </w:tcPr>
          <w:p w14:paraId="3238A885"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mg/L</w:t>
            </w:r>
          </w:p>
        </w:tc>
        <w:tc>
          <w:tcPr>
            <w:tcW w:w="820" w:type="dxa"/>
            <w:tcBorders>
              <w:top w:val="nil"/>
              <w:left w:val="nil"/>
              <w:bottom w:val="nil"/>
              <w:right w:val="nil"/>
            </w:tcBorders>
            <w:shd w:val="clear" w:color="auto" w:fill="auto"/>
            <w:noWrap/>
            <w:vAlign w:val="bottom"/>
          </w:tcPr>
          <w:p w14:paraId="42A5D34D" w14:textId="77777777" w:rsidR="00F71119" w:rsidRDefault="00F71119">
            <w:pPr>
              <w:widowControl/>
              <w:jc w:val="center"/>
              <w:rPr>
                <w:rFonts w:ascii="Times New Roman" w:eastAsia="DengXian" w:hAnsi="Times New Roman" w:cs="Times New Roman"/>
                <w:color w:val="000000"/>
                <w:kern w:val="0"/>
                <w:sz w:val="24"/>
              </w:rPr>
            </w:pPr>
          </w:p>
        </w:tc>
      </w:tr>
      <w:tr w:rsidR="00F71119" w14:paraId="0ACB4EF3" w14:textId="77777777" w:rsidTr="00A4276F">
        <w:trPr>
          <w:trHeight w:val="320"/>
          <w:jc w:val="center"/>
        </w:trPr>
        <w:tc>
          <w:tcPr>
            <w:tcW w:w="1740" w:type="dxa"/>
            <w:tcBorders>
              <w:top w:val="nil"/>
              <w:left w:val="nil"/>
              <w:bottom w:val="nil"/>
              <w:right w:val="nil"/>
            </w:tcBorders>
            <w:shd w:val="clear" w:color="auto" w:fill="auto"/>
            <w:noWrap/>
            <w:vAlign w:val="bottom"/>
          </w:tcPr>
          <w:p w14:paraId="4217E3B0"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Potable water</w:t>
            </w:r>
          </w:p>
        </w:tc>
        <w:tc>
          <w:tcPr>
            <w:tcW w:w="820" w:type="dxa"/>
            <w:tcBorders>
              <w:top w:val="nil"/>
              <w:left w:val="nil"/>
              <w:bottom w:val="nil"/>
              <w:right w:val="nil"/>
            </w:tcBorders>
            <w:shd w:val="clear" w:color="auto" w:fill="auto"/>
            <w:noWrap/>
            <w:vAlign w:val="bottom"/>
          </w:tcPr>
          <w:p w14:paraId="2986B4F9"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13.9</w:t>
            </w:r>
          </w:p>
        </w:tc>
        <w:tc>
          <w:tcPr>
            <w:tcW w:w="820" w:type="dxa"/>
            <w:tcBorders>
              <w:top w:val="nil"/>
              <w:left w:val="nil"/>
              <w:bottom w:val="nil"/>
              <w:right w:val="nil"/>
            </w:tcBorders>
            <w:shd w:val="clear" w:color="auto" w:fill="auto"/>
            <w:noWrap/>
            <w:vAlign w:val="bottom"/>
          </w:tcPr>
          <w:p w14:paraId="2FD98CB9"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0.003</w:t>
            </w:r>
          </w:p>
        </w:tc>
        <w:tc>
          <w:tcPr>
            <w:tcW w:w="820" w:type="dxa"/>
            <w:tcBorders>
              <w:top w:val="nil"/>
              <w:left w:val="nil"/>
              <w:bottom w:val="nil"/>
              <w:right w:val="nil"/>
            </w:tcBorders>
            <w:shd w:val="clear" w:color="auto" w:fill="auto"/>
            <w:noWrap/>
            <w:vAlign w:val="bottom"/>
          </w:tcPr>
          <w:p w14:paraId="47F86DFF"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32.7</w:t>
            </w:r>
          </w:p>
        </w:tc>
        <w:tc>
          <w:tcPr>
            <w:tcW w:w="820" w:type="dxa"/>
            <w:tcBorders>
              <w:top w:val="nil"/>
              <w:left w:val="nil"/>
              <w:bottom w:val="nil"/>
              <w:right w:val="nil"/>
            </w:tcBorders>
            <w:shd w:val="clear" w:color="auto" w:fill="auto"/>
            <w:noWrap/>
            <w:vAlign w:val="bottom"/>
          </w:tcPr>
          <w:p w14:paraId="20A0B2D8"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0.009</w:t>
            </w:r>
          </w:p>
        </w:tc>
        <w:tc>
          <w:tcPr>
            <w:tcW w:w="820" w:type="dxa"/>
            <w:tcBorders>
              <w:top w:val="nil"/>
              <w:left w:val="nil"/>
              <w:bottom w:val="nil"/>
              <w:right w:val="nil"/>
            </w:tcBorders>
            <w:shd w:val="clear" w:color="auto" w:fill="auto"/>
            <w:noWrap/>
            <w:vAlign w:val="bottom"/>
          </w:tcPr>
          <w:p w14:paraId="4FF9CED3"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0.005</w:t>
            </w:r>
          </w:p>
        </w:tc>
        <w:tc>
          <w:tcPr>
            <w:tcW w:w="820" w:type="dxa"/>
            <w:tcBorders>
              <w:top w:val="nil"/>
              <w:left w:val="nil"/>
              <w:bottom w:val="nil"/>
              <w:right w:val="nil"/>
            </w:tcBorders>
            <w:shd w:val="clear" w:color="auto" w:fill="auto"/>
            <w:noWrap/>
            <w:vAlign w:val="bottom"/>
          </w:tcPr>
          <w:p w14:paraId="3D8063FF"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4.191</w:t>
            </w:r>
          </w:p>
        </w:tc>
        <w:tc>
          <w:tcPr>
            <w:tcW w:w="820" w:type="dxa"/>
            <w:tcBorders>
              <w:top w:val="nil"/>
              <w:left w:val="nil"/>
              <w:bottom w:val="nil"/>
              <w:right w:val="nil"/>
            </w:tcBorders>
            <w:shd w:val="clear" w:color="auto" w:fill="auto"/>
            <w:noWrap/>
            <w:vAlign w:val="bottom"/>
          </w:tcPr>
          <w:p w14:paraId="01890455"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11.8</w:t>
            </w:r>
          </w:p>
        </w:tc>
        <w:tc>
          <w:tcPr>
            <w:tcW w:w="820" w:type="dxa"/>
            <w:tcBorders>
              <w:top w:val="nil"/>
              <w:left w:val="nil"/>
              <w:bottom w:val="nil"/>
              <w:right w:val="nil"/>
            </w:tcBorders>
            <w:shd w:val="clear" w:color="auto" w:fill="auto"/>
            <w:noWrap/>
            <w:vAlign w:val="bottom"/>
          </w:tcPr>
          <w:p w14:paraId="0077EA6E"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0.194</w:t>
            </w:r>
          </w:p>
        </w:tc>
        <w:tc>
          <w:tcPr>
            <w:tcW w:w="820" w:type="dxa"/>
            <w:tcBorders>
              <w:top w:val="nil"/>
              <w:left w:val="nil"/>
              <w:bottom w:val="nil"/>
              <w:right w:val="nil"/>
            </w:tcBorders>
            <w:shd w:val="clear" w:color="auto" w:fill="auto"/>
            <w:noWrap/>
            <w:vAlign w:val="bottom"/>
          </w:tcPr>
          <w:p w14:paraId="13691E42"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0.058</w:t>
            </w:r>
          </w:p>
        </w:tc>
        <w:tc>
          <w:tcPr>
            <w:tcW w:w="820" w:type="dxa"/>
            <w:tcBorders>
              <w:top w:val="nil"/>
              <w:left w:val="nil"/>
              <w:bottom w:val="nil"/>
              <w:right w:val="nil"/>
            </w:tcBorders>
            <w:shd w:val="clear" w:color="auto" w:fill="auto"/>
            <w:noWrap/>
            <w:vAlign w:val="bottom"/>
          </w:tcPr>
          <w:p w14:paraId="42BA93F7" w14:textId="77777777" w:rsidR="00F71119" w:rsidRDefault="00F71119">
            <w:pPr>
              <w:widowControl/>
              <w:jc w:val="center"/>
              <w:rPr>
                <w:rFonts w:ascii="Times New Roman" w:eastAsia="DengXian" w:hAnsi="Times New Roman" w:cs="Times New Roman"/>
                <w:color w:val="000000"/>
                <w:kern w:val="0"/>
                <w:sz w:val="24"/>
              </w:rPr>
            </w:pPr>
          </w:p>
        </w:tc>
      </w:tr>
      <w:tr w:rsidR="00F71119" w14:paraId="138E3D96" w14:textId="77777777" w:rsidTr="00A4276F">
        <w:trPr>
          <w:trHeight w:val="320"/>
          <w:jc w:val="center"/>
        </w:trPr>
        <w:tc>
          <w:tcPr>
            <w:tcW w:w="1740" w:type="dxa"/>
            <w:tcBorders>
              <w:top w:val="nil"/>
              <w:left w:val="nil"/>
              <w:bottom w:val="single" w:sz="4" w:space="0" w:color="auto"/>
              <w:right w:val="nil"/>
            </w:tcBorders>
            <w:shd w:val="clear" w:color="auto" w:fill="auto"/>
            <w:noWrap/>
            <w:vAlign w:val="center"/>
          </w:tcPr>
          <w:p w14:paraId="34A084D6"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Landfill leachate</w:t>
            </w:r>
          </w:p>
        </w:tc>
        <w:tc>
          <w:tcPr>
            <w:tcW w:w="820" w:type="dxa"/>
            <w:tcBorders>
              <w:top w:val="nil"/>
              <w:left w:val="nil"/>
              <w:bottom w:val="single" w:sz="4" w:space="0" w:color="auto"/>
              <w:right w:val="nil"/>
            </w:tcBorders>
            <w:shd w:val="clear" w:color="auto" w:fill="auto"/>
            <w:noWrap/>
            <w:vAlign w:val="center"/>
          </w:tcPr>
          <w:p w14:paraId="0D14E74D"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53.6</w:t>
            </w:r>
          </w:p>
        </w:tc>
        <w:tc>
          <w:tcPr>
            <w:tcW w:w="820" w:type="dxa"/>
            <w:tcBorders>
              <w:top w:val="nil"/>
              <w:left w:val="nil"/>
              <w:bottom w:val="single" w:sz="4" w:space="0" w:color="auto"/>
              <w:right w:val="nil"/>
            </w:tcBorders>
            <w:shd w:val="clear" w:color="auto" w:fill="auto"/>
            <w:noWrap/>
            <w:vAlign w:val="center"/>
          </w:tcPr>
          <w:p w14:paraId="75FA3B7A"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0.230</w:t>
            </w:r>
          </w:p>
        </w:tc>
        <w:tc>
          <w:tcPr>
            <w:tcW w:w="820" w:type="dxa"/>
            <w:tcBorders>
              <w:top w:val="nil"/>
              <w:left w:val="nil"/>
              <w:bottom w:val="single" w:sz="4" w:space="0" w:color="auto"/>
              <w:right w:val="nil"/>
            </w:tcBorders>
            <w:shd w:val="clear" w:color="auto" w:fill="auto"/>
            <w:noWrap/>
            <w:vAlign w:val="center"/>
          </w:tcPr>
          <w:p w14:paraId="1BC8B49A"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2288.7</w:t>
            </w:r>
          </w:p>
        </w:tc>
        <w:tc>
          <w:tcPr>
            <w:tcW w:w="820" w:type="dxa"/>
            <w:tcBorders>
              <w:top w:val="nil"/>
              <w:left w:val="nil"/>
              <w:bottom w:val="single" w:sz="4" w:space="0" w:color="auto"/>
              <w:right w:val="nil"/>
            </w:tcBorders>
            <w:shd w:val="clear" w:color="auto" w:fill="auto"/>
            <w:noWrap/>
            <w:vAlign w:val="center"/>
          </w:tcPr>
          <w:p w14:paraId="7DC54664"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1.693</w:t>
            </w:r>
          </w:p>
        </w:tc>
        <w:tc>
          <w:tcPr>
            <w:tcW w:w="820" w:type="dxa"/>
            <w:tcBorders>
              <w:top w:val="nil"/>
              <w:left w:val="nil"/>
              <w:bottom w:val="single" w:sz="4" w:space="0" w:color="auto"/>
              <w:right w:val="nil"/>
            </w:tcBorders>
            <w:shd w:val="clear" w:color="auto" w:fill="auto"/>
            <w:noWrap/>
            <w:vAlign w:val="center"/>
          </w:tcPr>
          <w:p w14:paraId="142A715A"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14.3</w:t>
            </w:r>
          </w:p>
        </w:tc>
        <w:tc>
          <w:tcPr>
            <w:tcW w:w="820" w:type="dxa"/>
            <w:tcBorders>
              <w:top w:val="nil"/>
              <w:left w:val="nil"/>
              <w:bottom w:val="single" w:sz="4" w:space="0" w:color="auto"/>
              <w:right w:val="nil"/>
            </w:tcBorders>
            <w:shd w:val="clear" w:color="auto" w:fill="auto"/>
            <w:noWrap/>
            <w:vAlign w:val="center"/>
          </w:tcPr>
          <w:p w14:paraId="3B4B494F"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30.9</w:t>
            </w:r>
          </w:p>
        </w:tc>
        <w:tc>
          <w:tcPr>
            <w:tcW w:w="820" w:type="dxa"/>
            <w:tcBorders>
              <w:top w:val="nil"/>
              <w:left w:val="nil"/>
              <w:bottom w:val="single" w:sz="4" w:space="0" w:color="auto"/>
              <w:right w:val="nil"/>
            </w:tcBorders>
            <w:shd w:val="clear" w:color="auto" w:fill="auto"/>
            <w:noWrap/>
            <w:vAlign w:val="center"/>
          </w:tcPr>
          <w:p w14:paraId="52483DB4"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38.1</w:t>
            </w:r>
          </w:p>
        </w:tc>
        <w:tc>
          <w:tcPr>
            <w:tcW w:w="820" w:type="dxa"/>
            <w:tcBorders>
              <w:top w:val="nil"/>
              <w:left w:val="nil"/>
              <w:bottom w:val="single" w:sz="4" w:space="0" w:color="auto"/>
              <w:right w:val="nil"/>
            </w:tcBorders>
            <w:shd w:val="clear" w:color="auto" w:fill="auto"/>
            <w:noWrap/>
            <w:vAlign w:val="center"/>
          </w:tcPr>
          <w:p w14:paraId="387412B5"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0.609</w:t>
            </w:r>
          </w:p>
        </w:tc>
        <w:tc>
          <w:tcPr>
            <w:tcW w:w="820" w:type="dxa"/>
            <w:tcBorders>
              <w:top w:val="nil"/>
              <w:left w:val="nil"/>
              <w:bottom w:val="single" w:sz="4" w:space="0" w:color="auto"/>
              <w:right w:val="nil"/>
            </w:tcBorders>
            <w:shd w:val="clear" w:color="auto" w:fill="auto"/>
            <w:noWrap/>
            <w:vAlign w:val="center"/>
          </w:tcPr>
          <w:p w14:paraId="57FE8E4E" w14:textId="77777777" w:rsidR="00F71119" w:rsidRDefault="00000000">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0.221</w:t>
            </w:r>
          </w:p>
        </w:tc>
        <w:tc>
          <w:tcPr>
            <w:tcW w:w="820" w:type="dxa"/>
            <w:tcBorders>
              <w:top w:val="nil"/>
              <w:left w:val="nil"/>
              <w:bottom w:val="nil"/>
              <w:right w:val="nil"/>
            </w:tcBorders>
            <w:shd w:val="clear" w:color="auto" w:fill="auto"/>
            <w:noWrap/>
            <w:vAlign w:val="bottom"/>
          </w:tcPr>
          <w:p w14:paraId="5BA63D65" w14:textId="77777777" w:rsidR="00F71119" w:rsidRDefault="00F71119">
            <w:pPr>
              <w:widowControl/>
              <w:jc w:val="center"/>
              <w:rPr>
                <w:rFonts w:ascii="Times New Roman" w:eastAsia="DengXian" w:hAnsi="Times New Roman" w:cs="Times New Roman"/>
                <w:color w:val="000000"/>
                <w:kern w:val="0"/>
                <w:sz w:val="24"/>
              </w:rPr>
            </w:pPr>
          </w:p>
        </w:tc>
      </w:tr>
    </w:tbl>
    <w:p w14:paraId="52DD5A90" w14:textId="77777777" w:rsidR="00F71119" w:rsidRDefault="00000000">
      <w:pPr>
        <w:widowControl/>
        <w:jc w:val="left"/>
        <w:rPr>
          <w:rFonts w:ascii="Times New Roman" w:eastAsia="Times New Roman Regular" w:hAnsi="Times New Roman" w:cs="Times New Roman"/>
          <w:kern w:val="0"/>
          <w:sz w:val="24"/>
          <w:lang w:val="en-AU" w:bidi="ar"/>
        </w:rPr>
      </w:pPr>
      <w:r>
        <w:rPr>
          <w:rFonts w:ascii="Times New Roman" w:eastAsia="Times New Roman Regular" w:hAnsi="Times New Roman" w:cs="Times New Roman"/>
          <w:kern w:val="0"/>
          <w:sz w:val="24"/>
          <w:lang w:val="en-AU" w:bidi="ar"/>
        </w:rPr>
        <w:t xml:space="preserve"> </w:t>
      </w:r>
      <w:r>
        <w:rPr>
          <w:rFonts w:ascii="Times New Roman" w:eastAsia="Times New Roman Regular" w:hAnsi="Times New Roman" w:cs="Times New Roman"/>
          <w:kern w:val="0"/>
          <w:sz w:val="24"/>
          <w:lang w:val="en-AU" w:bidi="ar"/>
        </w:rPr>
        <w:br w:type="page"/>
      </w:r>
    </w:p>
    <w:p w14:paraId="10E83390" w14:textId="77777777" w:rsidR="00F71119" w:rsidRDefault="00000000">
      <w:pPr>
        <w:widowControl/>
        <w:spacing w:line="480" w:lineRule="auto"/>
        <w:rPr>
          <w:rFonts w:ascii="Times New Roman" w:eastAsia="Times New Roman Regular" w:hAnsi="Times New Roman" w:cs="Times New Roman"/>
          <w:b/>
          <w:bCs/>
          <w:kern w:val="0"/>
          <w:sz w:val="24"/>
          <w:lang w:val="en-AU" w:bidi="ar"/>
        </w:rPr>
      </w:pPr>
      <w:r>
        <w:rPr>
          <w:rFonts w:ascii="Times New Roman" w:hAnsi="Times New Roman" w:cs="Times New Roman"/>
          <w:b/>
          <w:bCs/>
          <w:sz w:val="24"/>
        </w:rPr>
        <w:lastRenderedPageBreak/>
        <w:t>References</w:t>
      </w:r>
    </w:p>
    <w:p w14:paraId="370EC858" w14:textId="77777777" w:rsidR="00F71119" w:rsidRDefault="00000000">
      <w:pPr>
        <w:pStyle w:val="EndNoteBibliography"/>
        <w:spacing w:line="480" w:lineRule="auto"/>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 ADDIN EN.REFLIST </w:instrText>
      </w:r>
      <w:r>
        <w:rPr>
          <w:rFonts w:ascii="Times New Roman" w:hAnsi="Times New Roman" w:cs="Times New Roman"/>
          <w:sz w:val="24"/>
        </w:rPr>
        <w:fldChar w:fldCharType="separate"/>
      </w:r>
      <w:r>
        <w:rPr>
          <w:rFonts w:ascii="Times New Roman" w:hAnsi="Times New Roman" w:cs="Times New Roman"/>
          <w:sz w:val="24"/>
        </w:rPr>
        <w:t xml:space="preserve">(1) Zhou, Z.; Dominey, R. N.; Rolland, J. P.; Maynor, B. W.; Pandya, A. A.; DeSimone, J. M. Molded, high surface area polymer electrolyte membranes from cured liquid precursors. </w:t>
      </w:r>
      <w:r>
        <w:rPr>
          <w:rFonts w:ascii="Times New Roman" w:hAnsi="Times New Roman" w:cs="Times New Roman"/>
          <w:i/>
          <w:sz w:val="24"/>
        </w:rPr>
        <w:t xml:space="preserve">J. Am. Chem. Soc. </w:t>
      </w:r>
      <w:r>
        <w:rPr>
          <w:rFonts w:ascii="Times New Roman" w:hAnsi="Times New Roman" w:cs="Times New Roman"/>
          <w:b/>
          <w:sz w:val="24"/>
        </w:rPr>
        <w:t>2006</w:t>
      </w:r>
      <w:r>
        <w:rPr>
          <w:rFonts w:ascii="Times New Roman" w:hAnsi="Times New Roman" w:cs="Times New Roman"/>
          <w:sz w:val="24"/>
        </w:rPr>
        <w:t xml:space="preserve">, </w:t>
      </w:r>
      <w:r>
        <w:rPr>
          <w:rFonts w:ascii="Times New Roman" w:hAnsi="Times New Roman" w:cs="Times New Roman"/>
          <w:i/>
          <w:sz w:val="24"/>
        </w:rPr>
        <w:t>128</w:t>
      </w:r>
      <w:r>
        <w:rPr>
          <w:rFonts w:ascii="Times New Roman" w:hAnsi="Times New Roman" w:cs="Times New Roman"/>
          <w:sz w:val="24"/>
        </w:rPr>
        <w:t xml:space="preserve"> (39), 12963-12972.</w:t>
      </w:r>
    </w:p>
    <w:p w14:paraId="4D28B82D" w14:textId="77777777" w:rsidR="00F71119" w:rsidRDefault="00000000">
      <w:pPr>
        <w:pStyle w:val="EndNoteBibliography"/>
        <w:spacing w:line="480" w:lineRule="auto"/>
        <w:rPr>
          <w:rFonts w:ascii="Times New Roman" w:hAnsi="Times New Roman" w:cs="Times New Roman"/>
          <w:sz w:val="24"/>
        </w:rPr>
      </w:pPr>
      <w:r>
        <w:rPr>
          <w:rFonts w:ascii="Times New Roman" w:hAnsi="Times New Roman" w:cs="Times New Roman"/>
          <w:sz w:val="24"/>
        </w:rPr>
        <w:t xml:space="preserve">(2) Zhang, K.; Feng, W.; Jin, C. Protocol efficiently measuring the swelling rate of hydrogels. </w:t>
      </w:r>
      <w:r>
        <w:rPr>
          <w:rFonts w:ascii="Times New Roman" w:hAnsi="Times New Roman" w:cs="Times New Roman"/>
          <w:i/>
          <w:sz w:val="24"/>
        </w:rPr>
        <w:t xml:space="preserve">MethodsX </w:t>
      </w:r>
      <w:r>
        <w:rPr>
          <w:rFonts w:ascii="Times New Roman" w:hAnsi="Times New Roman" w:cs="Times New Roman"/>
          <w:b/>
          <w:sz w:val="24"/>
        </w:rPr>
        <w:t>2020</w:t>
      </w:r>
      <w:r>
        <w:rPr>
          <w:rFonts w:ascii="Times New Roman" w:hAnsi="Times New Roman" w:cs="Times New Roman"/>
          <w:sz w:val="24"/>
        </w:rPr>
        <w:t xml:space="preserve">, </w:t>
      </w:r>
      <w:r>
        <w:rPr>
          <w:rFonts w:ascii="Times New Roman" w:hAnsi="Times New Roman" w:cs="Times New Roman"/>
          <w:i/>
          <w:sz w:val="24"/>
        </w:rPr>
        <w:t>7</w:t>
      </w:r>
      <w:r>
        <w:rPr>
          <w:rFonts w:ascii="Times New Roman" w:hAnsi="Times New Roman" w:cs="Times New Roman"/>
          <w:sz w:val="24"/>
        </w:rPr>
        <w:t>, 100779. DOI: 10.1016/j.mex.2019.100779.</w:t>
      </w:r>
    </w:p>
    <w:p w14:paraId="2E2E78E1" w14:textId="77777777" w:rsidR="00F71119" w:rsidRDefault="00000000">
      <w:pPr>
        <w:widowControl/>
        <w:spacing w:line="480" w:lineRule="auto"/>
        <w:rPr>
          <w:rFonts w:ascii="Times New Roman" w:hAnsi="Times New Roman" w:cs="Times New Roman"/>
          <w:sz w:val="24"/>
        </w:rPr>
      </w:pPr>
      <w:r>
        <w:rPr>
          <w:rFonts w:ascii="Times New Roman" w:hAnsi="Times New Roman" w:cs="Times New Roman"/>
          <w:sz w:val="24"/>
        </w:rPr>
        <w:fldChar w:fldCharType="end"/>
      </w:r>
    </w:p>
    <w:sectPr w:rsidR="00F7111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Times New Roman Regular">
    <w:altName w:val="Times New Roman"/>
    <w:panose1 w:val="020B0604020202020204"/>
    <w:charset w:val="0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9raxwxapv2a96ez5afx0dwoavw29vsee2r9&quot;&gt;PhD - 1&lt;record-ids&gt;&lt;item&gt;48&lt;/item&gt;&lt;/record-ids&gt;&lt;/item&gt;&lt;/Libraries&gt;"/>
  </w:docVars>
  <w:rsids>
    <w:rsidRoot w:val="0084543B"/>
    <w:rsid w:val="EEFB183F"/>
    <w:rsid w:val="FD3F0F60"/>
    <w:rsid w:val="FEFF25FF"/>
    <w:rsid w:val="FFFB534B"/>
    <w:rsid w:val="0000143A"/>
    <w:rsid w:val="000077B3"/>
    <w:rsid w:val="00021A3C"/>
    <w:rsid w:val="000232FD"/>
    <w:rsid w:val="00023EF5"/>
    <w:rsid w:val="000327FB"/>
    <w:rsid w:val="00057CCA"/>
    <w:rsid w:val="00094F61"/>
    <w:rsid w:val="000E33AA"/>
    <w:rsid w:val="000E517B"/>
    <w:rsid w:val="000E6738"/>
    <w:rsid w:val="000F0258"/>
    <w:rsid w:val="000F6F21"/>
    <w:rsid w:val="00104B04"/>
    <w:rsid w:val="00106C5E"/>
    <w:rsid w:val="00111172"/>
    <w:rsid w:val="00114114"/>
    <w:rsid w:val="001258B3"/>
    <w:rsid w:val="00135F6C"/>
    <w:rsid w:val="0014452D"/>
    <w:rsid w:val="00161A4B"/>
    <w:rsid w:val="00164367"/>
    <w:rsid w:val="001648E8"/>
    <w:rsid w:val="00165528"/>
    <w:rsid w:val="00181FD9"/>
    <w:rsid w:val="0018560D"/>
    <w:rsid w:val="00187876"/>
    <w:rsid w:val="001A1FA6"/>
    <w:rsid w:val="001A6410"/>
    <w:rsid w:val="001D033A"/>
    <w:rsid w:val="001E0EA4"/>
    <w:rsid w:val="001E4C45"/>
    <w:rsid w:val="00200100"/>
    <w:rsid w:val="00205C3A"/>
    <w:rsid w:val="00216125"/>
    <w:rsid w:val="00241738"/>
    <w:rsid w:val="0029330A"/>
    <w:rsid w:val="002953F1"/>
    <w:rsid w:val="002A0F6A"/>
    <w:rsid w:val="002C2947"/>
    <w:rsid w:val="002D25F8"/>
    <w:rsid w:val="002D651E"/>
    <w:rsid w:val="002E4CF4"/>
    <w:rsid w:val="00321002"/>
    <w:rsid w:val="0035102A"/>
    <w:rsid w:val="00371E21"/>
    <w:rsid w:val="00382F07"/>
    <w:rsid w:val="003A23DB"/>
    <w:rsid w:val="003B446F"/>
    <w:rsid w:val="003E1B10"/>
    <w:rsid w:val="003E61C3"/>
    <w:rsid w:val="00416800"/>
    <w:rsid w:val="004359D2"/>
    <w:rsid w:val="00451CA7"/>
    <w:rsid w:val="00455C42"/>
    <w:rsid w:val="00470374"/>
    <w:rsid w:val="00480B9E"/>
    <w:rsid w:val="004A3455"/>
    <w:rsid w:val="004C1C24"/>
    <w:rsid w:val="00500C51"/>
    <w:rsid w:val="005028E7"/>
    <w:rsid w:val="00506E39"/>
    <w:rsid w:val="00535E8E"/>
    <w:rsid w:val="005513FB"/>
    <w:rsid w:val="005608CC"/>
    <w:rsid w:val="00562984"/>
    <w:rsid w:val="00565F99"/>
    <w:rsid w:val="00566D5A"/>
    <w:rsid w:val="00570FE6"/>
    <w:rsid w:val="005B0237"/>
    <w:rsid w:val="005B0BFF"/>
    <w:rsid w:val="005B2CD3"/>
    <w:rsid w:val="005D0792"/>
    <w:rsid w:val="005E32C0"/>
    <w:rsid w:val="005F0CAE"/>
    <w:rsid w:val="005F698F"/>
    <w:rsid w:val="005F707D"/>
    <w:rsid w:val="0065511D"/>
    <w:rsid w:val="006706A7"/>
    <w:rsid w:val="006745D5"/>
    <w:rsid w:val="00681780"/>
    <w:rsid w:val="0068701A"/>
    <w:rsid w:val="006C0853"/>
    <w:rsid w:val="006E0975"/>
    <w:rsid w:val="00705B4A"/>
    <w:rsid w:val="00705D6D"/>
    <w:rsid w:val="007352CA"/>
    <w:rsid w:val="00743D95"/>
    <w:rsid w:val="00766D22"/>
    <w:rsid w:val="007B7B99"/>
    <w:rsid w:val="00816A63"/>
    <w:rsid w:val="00835820"/>
    <w:rsid w:val="0084543B"/>
    <w:rsid w:val="0085670A"/>
    <w:rsid w:val="008B2AE8"/>
    <w:rsid w:val="008F48B8"/>
    <w:rsid w:val="00932435"/>
    <w:rsid w:val="009341FE"/>
    <w:rsid w:val="00941951"/>
    <w:rsid w:val="00967623"/>
    <w:rsid w:val="0096766C"/>
    <w:rsid w:val="00990691"/>
    <w:rsid w:val="009934DA"/>
    <w:rsid w:val="009C0D2A"/>
    <w:rsid w:val="009C2086"/>
    <w:rsid w:val="009C6CD9"/>
    <w:rsid w:val="009E0B7E"/>
    <w:rsid w:val="009F32BF"/>
    <w:rsid w:val="00A23F72"/>
    <w:rsid w:val="00A3422E"/>
    <w:rsid w:val="00A4276F"/>
    <w:rsid w:val="00A46561"/>
    <w:rsid w:val="00A53574"/>
    <w:rsid w:val="00A568AA"/>
    <w:rsid w:val="00A73807"/>
    <w:rsid w:val="00A8620A"/>
    <w:rsid w:val="00A867D9"/>
    <w:rsid w:val="00A9519E"/>
    <w:rsid w:val="00A95B58"/>
    <w:rsid w:val="00A97050"/>
    <w:rsid w:val="00AA1C08"/>
    <w:rsid w:val="00AA358F"/>
    <w:rsid w:val="00AB1D16"/>
    <w:rsid w:val="00AF15F5"/>
    <w:rsid w:val="00B01570"/>
    <w:rsid w:val="00B03FDA"/>
    <w:rsid w:val="00B2146E"/>
    <w:rsid w:val="00B225D6"/>
    <w:rsid w:val="00B351F9"/>
    <w:rsid w:val="00B4454E"/>
    <w:rsid w:val="00B54239"/>
    <w:rsid w:val="00B74882"/>
    <w:rsid w:val="00B76F33"/>
    <w:rsid w:val="00B801BF"/>
    <w:rsid w:val="00B94AF4"/>
    <w:rsid w:val="00BA21C0"/>
    <w:rsid w:val="00BE2343"/>
    <w:rsid w:val="00BE310B"/>
    <w:rsid w:val="00BE3DB1"/>
    <w:rsid w:val="00C03EEE"/>
    <w:rsid w:val="00C36F96"/>
    <w:rsid w:val="00C461D0"/>
    <w:rsid w:val="00C71593"/>
    <w:rsid w:val="00C74505"/>
    <w:rsid w:val="00C8626B"/>
    <w:rsid w:val="00CA5524"/>
    <w:rsid w:val="00CA6F7D"/>
    <w:rsid w:val="00CD1CE4"/>
    <w:rsid w:val="00D14208"/>
    <w:rsid w:val="00D14D80"/>
    <w:rsid w:val="00D24222"/>
    <w:rsid w:val="00D30C20"/>
    <w:rsid w:val="00D31198"/>
    <w:rsid w:val="00D47629"/>
    <w:rsid w:val="00D57AE7"/>
    <w:rsid w:val="00D717A8"/>
    <w:rsid w:val="00D766C7"/>
    <w:rsid w:val="00D84191"/>
    <w:rsid w:val="00D853CC"/>
    <w:rsid w:val="00D93C04"/>
    <w:rsid w:val="00DA65D9"/>
    <w:rsid w:val="00DE5625"/>
    <w:rsid w:val="00E07B0F"/>
    <w:rsid w:val="00E117AD"/>
    <w:rsid w:val="00E35264"/>
    <w:rsid w:val="00E81DFE"/>
    <w:rsid w:val="00EC5B9C"/>
    <w:rsid w:val="00EC78A8"/>
    <w:rsid w:val="00F00C7D"/>
    <w:rsid w:val="00F072CB"/>
    <w:rsid w:val="00F264BD"/>
    <w:rsid w:val="00F30881"/>
    <w:rsid w:val="00F3166D"/>
    <w:rsid w:val="00F47977"/>
    <w:rsid w:val="00F6320B"/>
    <w:rsid w:val="00F71119"/>
    <w:rsid w:val="00F80A1E"/>
    <w:rsid w:val="00F82CC9"/>
    <w:rsid w:val="00F82FDC"/>
    <w:rsid w:val="00F87473"/>
    <w:rsid w:val="00FA3FA9"/>
    <w:rsid w:val="00FA7EAA"/>
    <w:rsid w:val="00FB295A"/>
    <w:rsid w:val="00FB5A9A"/>
    <w:rsid w:val="00FD5990"/>
    <w:rsid w:val="00FF2069"/>
    <w:rsid w:val="2A3E2F7A"/>
    <w:rsid w:val="2FED4334"/>
    <w:rsid w:val="3F7B6AC3"/>
    <w:rsid w:val="5EE3EA16"/>
    <w:rsid w:val="6F601C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B4371BB"/>
  <w15:docId w15:val="{384F40EB-25D3-3B47-B5DE-CA601F36D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DengXian" w:eastAsia="DengXian" w:hAnsi="DengXian" w:cs="DengXian"/>
        <w:lang w:val="en-AU"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lsdException w:name="annotation text" w:unhideWhenUsed="1" w:qFormat="1"/>
    <w:lsdException w:name="header" w:semiHidden="1" w:unhideWhenUsed="1"/>
    <w:lsdException w:name="footer" w:semiHidden="1"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unhideWhenUsed="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rPr>
  </w:style>
  <w:style w:type="paragraph" w:styleId="Heading1">
    <w:name w:val="heading 1"/>
    <w:basedOn w:val="Normal"/>
    <w:next w:val="Normal"/>
    <w:link w:val="Heading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unhideWhenUsed/>
    <w:qFormat/>
    <w:pPr>
      <w:keepNext/>
      <w:keepLines/>
      <w:widowControl/>
      <w:spacing w:before="120" w:line="360" w:lineRule="auto"/>
      <w:ind w:left="576" w:hanging="576"/>
      <w:outlineLvl w:val="1"/>
    </w:pPr>
    <w:rPr>
      <w:rFonts w:ascii="Times New Roman" w:eastAsiaTheme="majorEastAsia" w:hAnsi="Times New Roman" w:cstheme="majorBidi"/>
      <w:b/>
      <w:sz w:val="28"/>
      <w:szCs w:val="26"/>
      <w:lang w:val="en-AU"/>
    </w:rPr>
  </w:style>
  <w:style w:type="paragraph" w:styleId="Heading3">
    <w:name w:val="heading 3"/>
    <w:basedOn w:val="Normal"/>
    <w:next w:val="Normal"/>
    <w:link w:val="Heading3Char"/>
    <w:uiPriority w:val="9"/>
    <w:unhideWhenUsed/>
    <w:qFormat/>
    <w:pPr>
      <w:keepNext/>
      <w:keepLines/>
      <w:widowControl/>
      <w:spacing w:before="120" w:line="360" w:lineRule="auto"/>
      <w:ind w:left="720" w:hanging="720"/>
      <w:outlineLvl w:val="2"/>
    </w:pPr>
    <w:rPr>
      <w:rFonts w:ascii="Times New Roman" w:eastAsiaTheme="majorEastAsia" w:hAnsi="Times New Roman" w:cstheme="majorBidi"/>
      <w:b/>
      <w:sz w:val="24"/>
      <w:lang w:val="en-AU"/>
    </w:rPr>
  </w:style>
  <w:style w:type="paragraph" w:styleId="Heading4">
    <w:name w:val="heading 4"/>
    <w:basedOn w:val="Normal"/>
    <w:next w:val="Normal"/>
    <w:link w:val="Heading4Char"/>
    <w:uiPriority w:val="9"/>
    <w:semiHidden/>
    <w:unhideWhenUsed/>
    <w:qFormat/>
    <w:pPr>
      <w:keepNext/>
      <w:keepLines/>
      <w:widowControl/>
      <w:spacing w:before="40" w:line="360" w:lineRule="auto"/>
      <w:ind w:left="864" w:hanging="864"/>
      <w:outlineLvl w:val="3"/>
    </w:pPr>
    <w:rPr>
      <w:rFonts w:asciiTheme="majorHAnsi" w:eastAsiaTheme="majorEastAsia" w:hAnsiTheme="majorHAnsi" w:cstheme="majorBidi"/>
      <w:i/>
      <w:iCs/>
      <w:color w:val="2F5496" w:themeColor="accent1" w:themeShade="BF"/>
      <w:sz w:val="24"/>
      <w:szCs w:val="22"/>
    </w:rPr>
  </w:style>
  <w:style w:type="paragraph" w:styleId="Heading5">
    <w:name w:val="heading 5"/>
    <w:basedOn w:val="Normal"/>
    <w:next w:val="Normal"/>
    <w:link w:val="Heading5Char"/>
    <w:uiPriority w:val="9"/>
    <w:semiHidden/>
    <w:unhideWhenUsed/>
    <w:qFormat/>
    <w:pPr>
      <w:keepNext/>
      <w:keepLines/>
      <w:widowControl/>
      <w:spacing w:before="40" w:line="360" w:lineRule="auto"/>
      <w:ind w:left="1008" w:hanging="1008"/>
      <w:outlineLvl w:val="4"/>
    </w:pPr>
    <w:rPr>
      <w:rFonts w:asciiTheme="majorHAnsi" w:eastAsiaTheme="majorEastAsia" w:hAnsiTheme="majorHAnsi" w:cstheme="majorBidi"/>
      <w:color w:val="2F5496" w:themeColor="accent1" w:themeShade="BF"/>
      <w:sz w:val="24"/>
      <w:szCs w:val="22"/>
    </w:rPr>
  </w:style>
  <w:style w:type="paragraph" w:styleId="Heading6">
    <w:name w:val="heading 6"/>
    <w:basedOn w:val="Normal"/>
    <w:next w:val="Normal"/>
    <w:link w:val="Heading6Char"/>
    <w:uiPriority w:val="9"/>
    <w:semiHidden/>
    <w:unhideWhenUsed/>
    <w:qFormat/>
    <w:pPr>
      <w:keepNext/>
      <w:keepLines/>
      <w:widowControl/>
      <w:spacing w:before="40" w:line="360" w:lineRule="auto"/>
      <w:ind w:left="1152" w:hanging="1152"/>
      <w:outlineLvl w:val="5"/>
    </w:pPr>
    <w:rPr>
      <w:rFonts w:asciiTheme="majorHAnsi" w:eastAsiaTheme="majorEastAsia" w:hAnsiTheme="majorHAnsi" w:cstheme="majorBidi"/>
      <w:color w:val="1F3864" w:themeColor="accent1" w:themeShade="80"/>
      <w:sz w:val="24"/>
      <w:szCs w:val="22"/>
    </w:rPr>
  </w:style>
  <w:style w:type="paragraph" w:styleId="Heading7">
    <w:name w:val="heading 7"/>
    <w:basedOn w:val="Normal"/>
    <w:next w:val="Normal"/>
    <w:link w:val="Heading7Char"/>
    <w:uiPriority w:val="9"/>
    <w:semiHidden/>
    <w:unhideWhenUsed/>
    <w:qFormat/>
    <w:pPr>
      <w:keepNext/>
      <w:keepLines/>
      <w:widowControl/>
      <w:spacing w:before="40" w:line="360" w:lineRule="auto"/>
      <w:ind w:left="1296" w:hanging="1296"/>
      <w:outlineLvl w:val="6"/>
    </w:pPr>
    <w:rPr>
      <w:rFonts w:asciiTheme="majorHAnsi" w:eastAsiaTheme="majorEastAsia" w:hAnsiTheme="majorHAnsi" w:cstheme="majorBidi"/>
      <w:i/>
      <w:iCs/>
      <w:color w:val="1F3864" w:themeColor="accent1" w:themeShade="80"/>
      <w:sz w:val="24"/>
      <w:szCs w:val="22"/>
    </w:rPr>
  </w:style>
  <w:style w:type="paragraph" w:styleId="Heading8">
    <w:name w:val="heading 8"/>
    <w:basedOn w:val="Normal"/>
    <w:next w:val="Normal"/>
    <w:link w:val="Heading8Char"/>
    <w:uiPriority w:val="9"/>
    <w:semiHidden/>
    <w:unhideWhenUsed/>
    <w:qFormat/>
    <w:pPr>
      <w:keepNext/>
      <w:keepLines/>
      <w:widowControl/>
      <w:spacing w:before="40" w:line="360" w:lineRule="auto"/>
      <w:ind w:left="1440" w:hanging="1440"/>
      <w:outlineLvl w:val="7"/>
    </w:pPr>
    <w:rPr>
      <w:rFonts w:asciiTheme="majorHAnsi" w:eastAsiaTheme="majorEastAsia" w:hAnsiTheme="majorHAnsi" w:cstheme="majorBidi"/>
      <w:color w:val="262626" w:themeColor="text1" w:themeTint="D9"/>
      <w:szCs w:val="21"/>
    </w:rPr>
  </w:style>
  <w:style w:type="paragraph" w:styleId="Heading9">
    <w:name w:val="heading 9"/>
    <w:basedOn w:val="Normal"/>
    <w:next w:val="Normal"/>
    <w:link w:val="Heading9Char"/>
    <w:uiPriority w:val="9"/>
    <w:semiHidden/>
    <w:unhideWhenUsed/>
    <w:qFormat/>
    <w:pPr>
      <w:keepNext/>
      <w:keepLines/>
      <w:widowControl/>
      <w:spacing w:before="40" w:line="360" w:lineRule="auto"/>
      <w:ind w:left="1584" w:hanging="1584"/>
      <w:outlineLvl w:val="8"/>
    </w:pPr>
    <w:rPr>
      <w:rFonts w:asciiTheme="majorHAnsi" w:eastAsiaTheme="majorEastAsia" w:hAnsiTheme="majorHAnsi" w:cstheme="majorBidi"/>
      <w:i/>
      <w:iCs/>
      <w:color w:val="262626" w:themeColor="text1" w:themeTint="D9"/>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pPr>
      <w:widowControl/>
      <w:spacing w:after="200"/>
      <w:jc w:val="left"/>
    </w:pPr>
    <w:rPr>
      <w:i/>
      <w:iCs/>
      <w:color w:val="44546A" w:themeColor="text2"/>
      <w:kern w:val="0"/>
      <w:sz w:val="18"/>
      <w:szCs w:val="18"/>
      <w:lang w:val="en-AU" w:eastAsia="en-US"/>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unhideWhenUsed/>
    <w:qFormat/>
    <w:rPr>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qFormat/>
    <w:rPr>
      <w:color w:val="0563C1" w:themeColor="hyperlink"/>
      <w:u w:val="single"/>
    </w:rPr>
  </w:style>
  <w:style w:type="paragraph" w:styleId="NormalWeb">
    <w:name w:val="Normal (Web)"/>
    <w:basedOn w:val="Normal"/>
    <w:uiPriority w:val="99"/>
    <w:unhideWhenUsed/>
    <w:qFormat/>
    <w:pPr>
      <w:widowControl/>
      <w:spacing w:before="100" w:beforeAutospacing="1" w:after="100" w:afterAutospacing="1"/>
      <w:jc w:val="left"/>
    </w:pPr>
    <w:rPr>
      <w:rFonts w:ascii="SimSun" w:eastAsia="SimSun" w:hAnsi="SimSun" w:cs="SimSun"/>
      <w:kern w:val="0"/>
      <w:sz w:val="24"/>
    </w:rPr>
  </w:style>
  <w:style w:type="table" w:styleId="TableGrid">
    <w:name w:val="Table Grid"/>
    <w:basedOn w:val="TableNormal"/>
    <w:uiPriority w:val="39"/>
    <w:qFormat/>
    <w:rPr>
      <w:rFonts w:asciiTheme="minorHAnsi" w:eastAsiaTheme="minorEastAsia"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uiPriority w:val="39"/>
    <w:semiHidden/>
    <w:unhideWhenUsed/>
    <w:pPr>
      <w:spacing w:before="120"/>
      <w:jc w:val="left"/>
    </w:pPr>
    <w:rPr>
      <w:rFonts w:eastAsiaTheme="minorHAnsi"/>
      <w:b/>
      <w:bCs/>
      <w:i/>
      <w:iCs/>
      <w:sz w:val="24"/>
    </w:rPr>
  </w:style>
  <w:style w:type="paragraph" w:styleId="TOC2">
    <w:name w:val="toc 2"/>
    <w:basedOn w:val="Normal"/>
    <w:next w:val="Normal"/>
    <w:uiPriority w:val="39"/>
    <w:semiHidden/>
    <w:unhideWhenUsed/>
    <w:qFormat/>
    <w:pPr>
      <w:spacing w:before="120"/>
      <w:ind w:left="210"/>
      <w:jc w:val="left"/>
    </w:pPr>
    <w:rPr>
      <w:rFonts w:eastAsiaTheme="minorHAnsi"/>
      <w:b/>
      <w:bCs/>
      <w:sz w:val="22"/>
      <w:szCs w:val="22"/>
    </w:rPr>
  </w:style>
  <w:style w:type="paragraph" w:styleId="TOC3">
    <w:name w:val="toc 3"/>
    <w:basedOn w:val="Normal"/>
    <w:next w:val="Normal"/>
    <w:uiPriority w:val="39"/>
    <w:semiHidden/>
    <w:unhideWhenUsed/>
    <w:pPr>
      <w:ind w:left="420"/>
      <w:jc w:val="left"/>
    </w:pPr>
    <w:rPr>
      <w:rFonts w:eastAsiaTheme="minorHAnsi"/>
      <w:sz w:val="20"/>
      <w:szCs w:val="20"/>
    </w:rPr>
  </w:style>
  <w:style w:type="paragraph" w:styleId="TOC4">
    <w:name w:val="toc 4"/>
    <w:basedOn w:val="Normal"/>
    <w:next w:val="Normal"/>
    <w:uiPriority w:val="39"/>
    <w:semiHidden/>
    <w:unhideWhenUsed/>
    <w:qFormat/>
    <w:pPr>
      <w:ind w:left="630"/>
      <w:jc w:val="left"/>
    </w:pPr>
    <w:rPr>
      <w:rFonts w:eastAsiaTheme="minorHAnsi"/>
      <w:sz w:val="20"/>
      <w:szCs w:val="20"/>
    </w:rPr>
  </w:style>
  <w:style w:type="paragraph" w:styleId="TOC5">
    <w:name w:val="toc 5"/>
    <w:basedOn w:val="Normal"/>
    <w:next w:val="Normal"/>
    <w:uiPriority w:val="39"/>
    <w:semiHidden/>
    <w:unhideWhenUsed/>
    <w:qFormat/>
    <w:pPr>
      <w:ind w:left="840"/>
      <w:jc w:val="left"/>
    </w:pPr>
    <w:rPr>
      <w:rFonts w:eastAsiaTheme="minorHAnsi"/>
      <w:sz w:val="20"/>
      <w:szCs w:val="20"/>
    </w:rPr>
  </w:style>
  <w:style w:type="paragraph" w:styleId="TOC6">
    <w:name w:val="toc 6"/>
    <w:basedOn w:val="Normal"/>
    <w:next w:val="Normal"/>
    <w:uiPriority w:val="39"/>
    <w:semiHidden/>
    <w:unhideWhenUsed/>
    <w:qFormat/>
    <w:pPr>
      <w:ind w:left="1050"/>
      <w:jc w:val="left"/>
    </w:pPr>
    <w:rPr>
      <w:rFonts w:eastAsiaTheme="minorHAnsi"/>
      <w:sz w:val="20"/>
      <w:szCs w:val="20"/>
    </w:rPr>
  </w:style>
  <w:style w:type="paragraph" w:styleId="TOC7">
    <w:name w:val="toc 7"/>
    <w:basedOn w:val="Normal"/>
    <w:next w:val="Normal"/>
    <w:uiPriority w:val="39"/>
    <w:semiHidden/>
    <w:unhideWhenUsed/>
    <w:qFormat/>
    <w:pPr>
      <w:ind w:left="1260"/>
      <w:jc w:val="left"/>
    </w:pPr>
    <w:rPr>
      <w:rFonts w:eastAsiaTheme="minorHAnsi"/>
      <w:sz w:val="20"/>
      <w:szCs w:val="20"/>
    </w:rPr>
  </w:style>
  <w:style w:type="paragraph" w:styleId="TOC8">
    <w:name w:val="toc 8"/>
    <w:basedOn w:val="Normal"/>
    <w:next w:val="Normal"/>
    <w:uiPriority w:val="39"/>
    <w:semiHidden/>
    <w:unhideWhenUsed/>
    <w:qFormat/>
    <w:pPr>
      <w:ind w:left="1470"/>
      <w:jc w:val="left"/>
    </w:pPr>
    <w:rPr>
      <w:rFonts w:eastAsiaTheme="minorHAnsi"/>
      <w:sz w:val="20"/>
      <w:szCs w:val="20"/>
    </w:rPr>
  </w:style>
  <w:style w:type="paragraph" w:styleId="TOC9">
    <w:name w:val="toc 9"/>
    <w:basedOn w:val="Normal"/>
    <w:next w:val="Normal"/>
    <w:uiPriority w:val="39"/>
    <w:semiHidden/>
    <w:unhideWhenUsed/>
    <w:qFormat/>
    <w:pPr>
      <w:ind w:left="1680"/>
      <w:jc w:val="left"/>
    </w:pPr>
    <w:rPr>
      <w:rFonts w:eastAsiaTheme="minorHAnsi"/>
      <w:sz w:val="20"/>
      <w:szCs w:val="20"/>
    </w:rPr>
  </w:style>
  <w:style w:type="character" w:customStyle="1" w:styleId="Heading1Char">
    <w:name w:val="Heading 1 Char"/>
    <w:basedOn w:val="DefaultParagraphFont"/>
    <w:link w:val="Heading1"/>
    <w:uiPriority w:val="9"/>
    <w:qFormat/>
    <w:rPr>
      <w:b/>
      <w:bCs/>
      <w:kern w:val="44"/>
      <w:sz w:val="44"/>
      <w:szCs w:val="44"/>
    </w:rPr>
  </w:style>
  <w:style w:type="paragraph" w:customStyle="1" w:styleId="TOCHeading1">
    <w:name w:val="TOC Heading1"/>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color w:val="2F5496" w:themeColor="accent1" w:themeShade="BF"/>
      <w:kern w:val="0"/>
      <w:sz w:val="28"/>
      <w:szCs w:val="28"/>
    </w:rPr>
  </w:style>
  <w:style w:type="paragraph" w:customStyle="1" w:styleId="1">
    <w:name w:val="修订1"/>
    <w:hidden/>
    <w:uiPriority w:val="99"/>
    <w:unhideWhenUsed/>
    <w:qFormat/>
    <w:rPr>
      <w:rFonts w:asciiTheme="minorHAnsi" w:eastAsiaTheme="minorEastAsia" w:hAnsiTheme="minorHAnsi" w:cstheme="minorBidi"/>
      <w:kern w:val="2"/>
      <w:sz w:val="21"/>
      <w:szCs w:val="24"/>
      <w:lang w:val="en-US"/>
    </w:rPr>
  </w:style>
  <w:style w:type="character" w:customStyle="1" w:styleId="CommentTextChar">
    <w:name w:val="Comment Text Char"/>
    <w:basedOn w:val="DefaultParagraphFont"/>
    <w:link w:val="CommentText"/>
    <w:uiPriority w:val="99"/>
    <w:qFormat/>
    <w:rPr>
      <w:rFonts w:asciiTheme="minorHAnsi" w:eastAsiaTheme="minorEastAsia" w:hAnsiTheme="minorHAnsi" w:cstheme="minorBidi"/>
      <w:kern w:val="2"/>
      <w:lang w:val="en-US"/>
    </w:rPr>
  </w:style>
  <w:style w:type="character" w:customStyle="1" w:styleId="CommentSubjectChar">
    <w:name w:val="Comment Subject Char"/>
    <w:basedOn w:val="CommentTextChar"/>
    <w:link w:val="CommentSubject"/>
    <w:uiPriority w:val="99"/>
    <w:semiHidden/>
    <w:qFormat/>
    <w:rPr>
      <w:rFonts w:asciiTheme="minorHAnsi" w:eastAsiaTheme="minorEastAsia" w:hAnsiTheme="minorHAnsi" w:cstheme="minorBidi"/>
      <w:b/>
      <w:bCs/>
      <w:kern w:val="2"/>
      <w:lang w:val="en-US"/>
    </w:rPr>
  </w:style>
  <w:style w:type="character" w:customStyle="1" w:styleId="accordion-tabbedtab-mobile">
    <w:name w:val="accordion-tabbed__tab-mobile"/>
    <w:basedOn w:val="DefaultParagraphFont"/>
    <w:qFormat/>
  </w:style>
  <w:style w:type="paragraph" w:customStyle="1" w:styleId="EndNoteBibliographyTitle">
    <w:name w:val="EndNote Bibliography Title"/>
    <w:basedOn w:val="Normal"/>
    <w:link w:val="EndNoteBibliographyTitle0"/>
    <w:qFormat/>
    <w:pPr>
      <w:jc w:val="center"/>
    </w:pPr>
    <w:rPr>
      <w:rFonts w:ascii="DengXian" w:eastAsia="DengXian" w:hAnsi="DengXian"/>
      <w:sz w:val="20"/>
    </w:rPr>
  </w:style>
  <w:style w:type="character" w:customStyle="1" w:styleId="EndNoteBibliographyTitle0">
    <w:name w:val="EndNote Bibliography Title 字符"/>
    <w:basedOn w:val="DefaultParagraphFont"/>
    <w:link w:val="EndNoteBibliographyTitle"/>
    <w:qFormat/>
    <w:rPr>
      <w:rFonts w:cstheme="minorBidi"/>
      <w:kern w:val="2"/>
      <w:szCs w:val="24"/>
    </w:rPr>
  </w:style>
  <w:style w:type="paragraph" w:customStyle="1" w:styleId="EndNoteBibliography">
    <w:name w:val="EndNote Bibliography"/>
    <w:basedOn w:val="Normal"/>
    <w:link w:val="EndNoteBibliography0"/>
    <w:qFormat/>
    <w:rPr>
      <w:rFonts w:ascii="DengXian" w:eastAsia="DengXian" w:hAnsi="DengXian"/>
      <w:sz w:val="20"/>
    </w:rPr>
  </w:style>
  <w:style w:type="character" w:customStyle="1" w:styleId="EndNoteBibliography0">
    <w:name w:val="EndNote Bibliography 字符"/>
    <w:basedOn w:val="DefaultParagraphFont"/>
    <w:link w:val="EndNoteBibliography"/>
    <w:qFormat/>
    <w:rPr>
      <w:rFonts w:cstheme="minorBidi"/>
      <w:kern w:val="2"/>
      <w:szCs w:val="24"/>
    </w:rPr>
  </w:style>
  <w:style w:type="character" w:customStyle="1" w:styleId="Heading2Char">
    <w:name w:val="Heading 2 Char"/>
    <w:basedOn w:val="DefaultParagraphFont"/>
    <w:link w:val="Heading2"/>
    <w:uiPriority w:val="9"/>
    <w:qFormat/>
    <w:rPr>
      <w:rFonts w:ascii="Times New Roman" w:eastAsiaTheme="majorEastAsia" w:hAnsi="Times New Roman" w:cstheme="majorBidi"/>
      <w:b/>
      <w:kern w:val="2"/>
      <w:sz w:val="28"/>
      <w:szCs w:val="26"/>
      <w:lang w:val="en-AU"/>
    </w:rPr>
  </w:style>
  <w:style w:type="character" w:customStyle="1" w:styleId="Heading3Char">
    <w:name w:val="Heading 3 Char"/>
    <w:basedOn w:val="DefaultParagraphFont"/>
    <w:link w:val="Heading3"/>
    <w:uiPriority w:val="9"/>
    <w:qFormat/>
    <w:rPr>
      <w:rFonts w:ascii="Times New Roman" w:eastAsiaTheme="majorEastAsia" w:hAnsi="Times New Roman" w:cstheme="majorBidi"/>
      <w:b/>
      <w:kern w:val="2"/>
      <w:sz w:val="24"/>
      <w:szCs w:val="24"/>
      <w:lang w:val="en-AU"/>
    </w:rPr>
  </w:style>
  <w:style w:type="character" w:customStyle="1" w:styleId="Heading4Char">
    <w:name w:val="Heading 4 Char"/>
    <w:basedOn w:val="DefaultParagraphFont"/>
    <w:link w:val="Heading4"/>
    <w:uiPriority w:val="9"/>
    <w:semiHidden/>
    <w:qFormat/>
    <w:rPr>
      <w:rFonts w:asciiTheme="majorHAnsi" w:eastAsiaTheme="majorEastAsia" w:hAnsiTheme="majorHAnsi" w:cstheme="majorBidi"/>
      <w:i/>
      <w:iCs/>
      <w:color w:val="2F5496" w:themeColor="accent1" w:themeShade="BF"/>
      <w:kern w:val="2"/>
      <w:sz w:val="24"/>
      <w:szCs w:val="22"/>
    </w:rPr>
  </w:style>
  <w:style w:type="character" w:customStyle="1" w:styleId="Heading5Char">
    <w:name w:val="Heading 5 Char"/>
    <w:basedOn w:val="DefaultParagraphFont"/>
    <w:link w:val="Heading5"/>
    <w:uiPriority w:val="9"/>
    <w:semiHidden/>
    <w:qFormat/>
    <w:rPr>
      <w:rFonts w:asciiTheme="majorHAnsi" w:eastAsiaTheme="majorEastAsia" w:hAnsiTheme="majorHAnsi" w:cstheme="majorBidi"/>
      <w:color w:val="2F5496" w:themeColor="accent1" w:themeShade="BF"/>
      <w:kern w:val="2"/>
      <w:sz w:val="24"/>
      <w:szCs w:val="22"/>
    </w:rPr>
  </w:style>
  <w:style w:type="character" w:customStyle="1" w:styleId="Heading6Char">
    <w:name w:val="Heading 6 Char"/>
    <w:basedOn w:val="DefaultParagraphFont"/>
    <w:link w:val="Heading6"/>
    <w:uiPriority w:val="9"/>
    <w:semiHidden/>
    <w:qFormat/>
    <w:rPr>
      <w:rFonts w:asciiTheme="majorHAnsi" w:eastAsiaTheme="majorEastAsia" w:hAnsiTheme="majorHAnsi" w:cstheme="majorBidi"/>
      <w:color w:val="1F3864" w:themeColor="accent1" w:themeShade="80"/>
      <w:kern w:val="2"/>
      <w:sz w:val="24"/>
      <w:szCs w:val="22"/>
    </w:rPr>
  </w:style>
  <w:style w:type="character" w:customStyle="1" w:styleId="Heading7Char">
    <w:name w:val="Heading 7 Char"/>
    <w:basedOn w:val="DefaultParagraphFont"/>
    <w:link w:val="Heading7"/>
    <w:uiPriority w:val="9"/>
    <w:semiHidden/>
    <w:qFormat/>
    <w:rPr>
      <w:rFonts w:asciiTheme="majorHAnsi" w:eastAsiaTheme="majorEastAsia" w:hAnsiTheme="majorHAnsi" w:cstheme="majorBidi"/>
      <w:i/>
      <w:iCs/>
      <w:color w:val="1F3864" w:themeColor="accent1" w:themeShade="80"/>
      <w:kern w:val="2"/>
      <w:sz w:val="24"/>
      <w:szCs w:val="22"/>
    </w:rPr>
  </w:style>
  <w:style w:type="character" w:customStyle="1" w:styleId="Heading8Char">
    <w:name w:val="Heading 8 Char"/>
    <w:basedOn w:val="DefaultParagraphFont"/>
    <w:link w:val="Heading8"/>
    <w:uiPriority w:val="9"/>
    <w:semiHidden/>
    <w:qFormat/>
    <w:rPr>
      <w:rFonts w:asciiTheme="majorHAnsi" w:eastAsiaTheme="majorEastAsia" w:hAnsiTheme="majorHAnsi" w:cstheme="majorBidi"/>
      <w:color w:val="262626" w:themeColor="text1" w:themeTint="D9"/>
      <w:kern w:val="2"/>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62626" w:themeColor="text1" w:themeTint="D9"/>
      <w:kern w:val="2"/>
      <w:sz w:val="21"/>
      <w:szCs w:val="21"/>
    </w:rPr>
  </w:style>
  <w:style w:type="character" w:styleId="PlaceholderText">
    <w:name w:val="Placeholder Text"/>
    <w:basedOn w:val="DefaultParagraphFont"/>
    <w:uiPriority w:val="99"/>
    <w:unhideWhenUsed/>
    <w:qFormat/>
    <w:rPr>
      <w:color w:val="808080"/>
    </w:rPr>
  </w:style>
  <w:style w:type="paragraph" w:customStyle="1" w:styleId="Revision1">
    <w:name w:val="Revision1"/>
    <w:hidden/>
    <w:uiPriority w:val="99"/>
    <w:unhideWhenUsed/>
    <w:qFormat/>
    <w:rPr>
      <w:rFonts w:asciiTheme="minorHAnsi" w:eastAsiaTheme="minorEastAsia" w:hAnsiTheme="minorHAnsi" w:cstheme="minorBidi"/>
      <w:kern w:val="2"/>
      <w:sz w:val="21"/>
      <w:szCs w:val="24"/>
      <w:lang w:val="en-US"/>
    </w:rPr>
  </w:style>
  <w:style w:type="paragraph" w:styleId="Revision">
    <w:name w:val="Revision"/>
    <w:hidden/>
    <w:uiPriority w:val="99"/>
    <w:unhideWhenUsed/>
    <w:rsid w:val="00A4276F"/>
    <w:rPr>
      <w:rFonts w:asciiTheme="minorHAnsi" w:eastAsiaTheme="minorEastAsia" w:hAnsiTheme="minorHAnsi" w:cstheme="minorBidi"/>
      <w:kern w:val="2"/>
      <w:sz w:val="21"/>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hyperlink" Target="mailto:c.zhang3@uq.edu.au" TargetMode="Externa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18</Pages>
  <Words>2605</Words>
  <Characters>14850</Characters>
  <Application>Microsoft Office Word</Application>
  <DocSecurity>0</DocSecurity>
  <Lines>123</Lines>
  <Paragraphs>34</Paragraphs>
  <ScaleCrop>false</ScaleCrop>
  <Company/>
  <LinksUpToDate>false</LinksUpToDate>
  <CharactersWithSpaces>17421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Zhuojing Yang</dc:creator>
  <cp:lastModifiedBy>Cheng Zhang</cp:lastModifiedBy>
  <cp:revision>17</cp:revision>
  <cp:lastPrinted>2023-08-09T23:09:00Z</cp:lastPrinted>
  <dcterms:created xsi:type="dcterms:W3CDTF">2023-10-09T00:56:00Z</dcterms:created>
  <dcterms:modified xsi:type="dcterms:W3CDTF">2023-11-13T06:10:00Z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1033-12.2.0.13306</vt:lpwstr>
  </property>
  <property fmtid="{D5CDD505-2E9C-101B-9397-08002B2CF9AE}" pid="3" name="ICV">
    <vt:lpwstr>73E667AB0B00388D7292896406D979C7</vt:lpwstr>
  </property>
  <property fmtid="{D5CDD505-2E9C-101B-9397-08002B2CF9AE}" pid="4" name="MSIP_Label_0f488380-630a-4f55-a077-a19445e3f360_Enabled">
    <vt:lpwstr>true</vt:lpwstr>
  </property>
  <property fmtid="{D5CDD505-2E9C-101B-9397-08002B2CF9AE}" pid="5" name="MSIP_Label_0f488380-630a-4f55-a077-a19445e3f360_SetDate">
    <vt:lpwstr>2023-06-15T02:21:14Z</vt:lpwstr>
  </property>
  <property fmtid="{D5CDD505-2E9C-101B-9397-08002B2CF9AE}" pid="6" name="MSIP_Label_0f488380-630a-4f55-a077-a19445e3f360_Method">
    <vt:lpwstr>Standard</vt:lpwstr>
  </property>
  <property fmtid="{D5CDD505-2E9C-101B-9397-08002B2CF9AE}" pid="7" name="MSIP_Label_0f488380-630a-4f55-a077-a19445e3f360_Name">
    <vt:lpwstr>OFFICIAL - INTERNAL</vt:lpwstr>
  </property>
  <property fmtid="{D5CDD505-2E9C-101B-9397-08002B2CF9AE}" pid="8" name="MSIP_Label_0f488380-630a-4f55-a077-a19445e3f360_SiteId">
    <vt:lpwstr>b6e377cf-9db3-46cb-91a2-fad9605bb15c</vt:lpwstr>
  </property>
  <property fmtid="{D5CDD505-2E9C-101B-9397-08002B2CF9AE}" pid="9" name="MSIP_Label_0f488380-630a-4f55-a077-a19445e3f360_ActionId">
    <vt:lpwstr>f1f8b007-f9a9-4dd7-9f03-53cec236edec</vt:lpwstr>
  </property>
  <property fmtid="{D5CDD505-2E9C-101B-9397-08002B2CF9AE}" pid="10" name="MSIP_Label_0f488380-630a-4f55-a077-a19445e3f360_ContentBits">
    <vt:lpwstr>0</vt:lpwstr>
  </property>
</Properties>
</file>