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 xml:space="preserve">Table </w:t>
      </w:r>
      <w:r>
        <w:rPr>
          <w:rFonts w:hint="eastAsia" w:ascii="Times New Roman" w:hAnsi="Times New Roman"/>
          <w:b/>
          <w:sz w:val="24"/>
          <w:lang w:val="en-US" w:eastAsia="zh-CN"/>
        </w:rPr>
        <w:t>S</w:t>
      </w:r>
      <w:r>
        <w:rPr>
          <w:rFonts w:ascii="Times New Roman" w:hAnsi="Times New Roman"/>
          <w:b/>
          <w:sz w:val="24"/>
        </w:rPr>
        <w:t>1</w:t>
      </w:r>
      <w:r>
        <w:rPr>
          <w:rFonts w:hint="eastAsia" w:ascii="Times New Roman" w:hAnsi="Times New Roman"/>
          <w:b/>
          <w:sz w:val="24"/>
        </w:rPr>
        <w:t>.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hint="eastAsia" w:ascii="Times New Roman" w:hAnsi="Times New Roman"/>
          <w:b/>
          <w:sz w:val="24"/>
        </w:rPr>
        <w:t>Detail information in the processing</w:t>
      </w:r>
      <w:r>
        <w:rPr>
          <w:rFonts w:ascii="Times New Roman" w:hAnsi="Times New Roman"/>
          <w:b/>
          <w:sz w:val="24"/>
        </w:rPr>
        <w:t xml:space="preserve"> of PacBio </w:t>
      </w:r>
      <w:r>
        <w:rPr>
          <w:rFonts w:hint="eastAsia" w:ascii="Times New Roman" w:hAnsi="Times New Roman"/>
          <w:b/>
          <w:sz w:val="24"/>
        </w:rPr>
        <w:t>sequencing</w:t>
      </w:r>
      <w:r>
        <w:rPr>
          <w:rFonts w:ascii="Times New Roman" w:hAnsi="Times New Roman"/>
          <w:b/>
          <w:sz w:val="24"/>
        </w:rPr>
        <w:t xml:space="preserve"> data</w:t>
      </w:r>
    </w:p>
    <w:p>
      <w:pPr>
        <w:jc w:val="center"/>
        <w:rPr>
          <w:rFonts w:ascii="Times New Roman" w:hAnsi="Times New Roman"/>
          <w:sz w:val="24"/>
        </w:rPr>
      </w:pPr>
    </w:p>
    <w:tbl>
      <w:tblPr>
        <w:tblStyle w:val="5"/>
        <w:tblW w:w="7615" w:type="dxa"/>
        <w:tblInd w:w="375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3"/>
        <w:gridCol w:w="2592"/>
      </w:tblGrid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bottom w:val="single" w:color="000000" w:sz="6" w:space="0"/>
              <w:right w:val="single" w:color="000000" w:sz="6" w:space="0"/>
              <w:insideH w:val="single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i w:val="0"/>
                <w:iCs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b/>
                <w:bCs/>
                <w:i w:val="0"/>
                <w:iCs/>
                <w:kern w:val="0"/>
                <w:sz w:val="20"/>
                <w:szCs w:val="21"/>
                <w:lang w:bidi="ar"/>
              </w:rPr>
              <w:t>Terms</w:t>
            </w:r>
          </w:p>
        </w:tc>
        <w:tc>
          <w:tcPr>
            <w:tcW w:w="2592" w:type="dxa"/>
            <w:tcBorders>
              <w:bottom w:val="single" w:color="000000" w:sz="6" w:space="0"/>
              <w:insideH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</w:pPr>
            <w:r>
              <w:rPr>
                <w:rFonts w:hint="eastAsia" w:ascii="Times New Roman" w:hAnsi="Times New Roman"/>
                <w:b/>
                <w:i w:val="0"/>
                <w:iCs/>
                <w:kern w:val="0"/>
                <w:sz w:val="20"/>
                <w:szCs w:val="21"/>
                <w:lang w:bidi="ar"/>
              </w:rPr>
              <w:t>Numbers or ratio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Subreads base (G)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19.81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 xml:space="preserve">Number of subread 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12,869,707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 xml:space="preserve">Average length of subread 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1,540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N50 of subread</w:t>
            </w:r>
            <w:bookmarkStart w:id="0" w:name="_GoBack"/>
            <w:bookmarkEnd w:id="0"/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013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Number of CCS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384,042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Number of sequences with 5 'terminal primer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362,429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Number of sequences with 3 'terminal primer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362,580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Number of sequences with poly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(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>A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>)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tail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335,541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Number of </w:t>
            </w: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full length sequence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317,094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Number of </w:t>
            </w:r>
            <w:r>
              <w:rPr>
                <w:rStyle w:val="9"/>
                <w:rFonts w:ascii="Times New Roman" w:hAnsi="Times New Roman"/>
                <w:kern w:val="0"/>
                <w:sz w:val="21"/>
                <w:szCs w:val="21"/>
              </w:rPr>
              <w:t>full-length non-chimeric reads</w:t>
            </w:r>
            <w:r>
              <w:rPr>
                <w:rFonts w:ascii="Times New Roman" w:hAnsi="Times New Roman"/>
                <w:kern w:val="0"/>
                <w:sz w:val="20"/>
                <w:szCs w:val="21"/>
              </w:rPr>
              <w:t xml:space="preserve"> (Flnc)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312,444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 xml:space="preserve">Average length of Flnc read 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919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Percentage of Flnc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</w:rPr>
              <w:t xml:space="preserve"> (%)</w:t>
            </w:r>
          </w:p>
        </w:tc>
        <w:tc>
          <w:tcPr>
            <w:tcW w:w="2592" w:type="dxa"/>
            <w:shd w:val="clear" w:color="auto" w:fill="auto"/>
          </w:tcPr>
          <w:p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0.81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Number of polished consensus read</w:t>
            </w:r>
          </w:p>
        </w:tc>
        <w:tc>
          <w:tcPr>
            <w:tcW w:w="2592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</w:rPr>
              <w:t>165,883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Min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imum</w:t>
            </w: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 xml:space="preserve"> length of consensus read</w:t>
            </w:r>
          </w:p>
        </w:tc>
        <w:tc>
          <w:tcPr>
            <w:tcW w:w="2592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167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Max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imum</w:t>
            </w: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 xml:space="preserve"> length of consensus read</w:t>
            </w:r>
          </w:p>
        </w:tc>
        <w:tc>
          <w:tcPr>
            <w:tcW w:w="2592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13,816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 xml:space="preserve">Average length of consensus read </w:t>
            </w:r>
          </w:p>
        </w:tc>
        <w:tc>
          <w:tcPr>
            <w:tcW w:w="2592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1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847</w:t>
            </w:r>
          </w:p>
        </w:tc>
      </w:tr>
      <w:tr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23" w:type="dxa"/>
            <w:tcBorders>
              <w:right w:val="single" w:color="000000" w:sz="6" w:space="0"/>
              <w:insideV w:val="single" w:sz="6" w:space="0"/>
              <w:tl2br w:val="nil"/>
              <w:tr2bl w:val="nil"/>
            </w:tcBorders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N50 of consensus read</w:t>
            </w:r>
          </w:p>
        </w:tc>
        <w:tc>
          <w:tcPr>
            <w:tcW w:w="2592" w:type="dxa"/>
            <w:shd w:val="clear" w:color="auto" w:fill="auto"/>
          </w:tcPr>
          <w:p>
            <w:pPr>
              <w:widowControl/>
              <w:jc w:val="center"/>
              <w:textAlignment w:val="center"/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</w:pP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2</w:t>
            </w:r>
            <w:r>
              <w:rPr>
                <w:rFonts w:hint="eastAsia" w:ascii="Times New Roman" w:hAnsi="Times New Roman"/>
                <w:kern w:val="0"/>
                <w:sz w:val="20"/>
                <w:szCs w:val="21"/>
                <w:lang w:bidi="ar"/>
              </w:rPr>
              <w:t>,</w:t>
            </w:r>
            <w:r>
              <w:rPr>
                <w:rFonts w:ascii="Times New Roman" w:hAnsi="Times New Roman"/>
                <w:kern w:val="0"/>
                <w:sz w:val="20"/>
                <w:szCs w:val="21"/>
                <w:lang w:bidi="ar"/>
              </w:rPr>
              <w:t>245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RjfvbsAdvTT86d47313">
    <w:altName w:val="华光中圆_CNKI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04D"/>
    <w:rsid w:val="007F004D"/>
    <w:rsid w:val="00C10AB7"/>
    <w:rsid w:val="00C138A0"/>
    <w:rsid w:val="00DE0423"/>
    <w:rsid w:val="45315B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Classic 1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style01"/>
    <w:qFormat/>
    <w:uiPriority w:val="0"/>
    <w:rPr>
      <w:rFonts w:ascii="RjfvbsAdvTT86d47313" w:hAnsi="RjfvbsAdvTT86d47313" w:eastAsia="RjfvbsAdvTT86d47313" w:cs="RjfvbsAdvTT86d47313"/>
      <w:color w:val="131413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630</Characters>
  <Lines>5</Lines>
  <Paragraphs>1</Paragraphs>
  <TotalTime>0</TotalTime>
  <ScaleCrop>false</ScaleCrop>
  <LinksUpToDate>false</LinksUpToDate>
  <CharactersWithSpaces>739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2020-09-14T01:57:00Z</dcterms:created>
  <dc:creator>lenovo</dc:creator>
  <cp:lastModifiedBy>侯晨</cp:lastModifiedBy>
  <dcterms:modified xsi:type="dcterms:W3CDTF">2020-09-15T13:12:41Z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