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4D70DA" w14:textId="77777777" w:rsidR="0086769E" w:rsidRPr="00903DDB" w:rsidRDefault="0086769E" w:rsidP="0086769E">
      <w:pPr>
        <w:ind w:left="0"/>
        <w:rPr>
          <w:rFonts w:ascii="Times New Roman" w:hAnsi="Times New Roman" w:cs="Times New Roman"/>
          <w:sz w:val="22"/>
          <w:szCs w:val="22"/>
          <w:lang w:val="en-US"/>
        </w:rPr>
      </w:pPr>
      <w:r w:rsidRPr="00903DDB">
        <w:rPr>
          <w:rFonts w:ascii="Times New Roman" w:hAnsi="Times New Roman" w:cs="Times New Roman"/>
          <w:b/>
          <w:bCs/>
          <w:sz w:val="22"/>
          <w:szCs w:val="22"/>
          <w:lang w:val="en-US"/>
        </w:rPr>
        <w:t>Supplementary Table 2</w:t>
      </w:r>
      <w:r w:rsidRPr="00903DDB">
        <w:rPr>
          <w:rFonts w:ascii="Times New Roman" w:hAnsi="Times New Roman" w:cs="Times New Roman"/>
          <w:sz w:val="22"/>
          <w:szCs w:val="22"/>
          <w:lang w:val="en-US"/>
        </w:rPr>
        <w:t xml:space="preserve">. Antioxidant activity of </w:t>
      </w:r>
      <w:r w:rsidRPr="00903DDB">
        <w:rPr>
          <w:rFonts w:ascii="Times New Roman" w:hAnsi="Times New Roman" w:cs="Times New Roman"/>
          <w:i/>
          <w:iCs/>
          <w:sz w:val="22"/>
          <w:szCs w:val="22"/>
          <w:lang w:val="en-US"/>
        </w:rPr>
        <w:t>Artemisia</w:t>
      </w:r>
      <w:r w:rsidRPr="00903DDB">
        <w:rPr>
          <w:rFonts w:ascii="Times New Roman" w:hAnsi="Times New Roman" w:cs="Times New Roman"/>
          <w:sz w:val="22"/>
          <w:szCs w:val="22"/>
          <w:lang w:val="en-US"/>
        </w:rPr>
        <w:t xml:space="preserve"> spp. methanolic extracts assayed by various authors (the original values reported in the articles have been converted to </w:t>
      </w:r>
      <w:proofErr w:type="spellStart"/>
      <w:r w:rsidRPr="00903DDB">
        <w:rPr>
          <w:rFonts w:ascii="Times New Roman" w:hAnsi="Times New Roman" w:cs="Times New Roman"/>
          <w:sz w:val="22"/>
          <w:szCs w:val="22"/>
          <w:lang w:val="en-US"/>
        </w:rPr>
        <w:t>mmolTE</w:t>
      </w:r>
      <w:proofErr w:type="spellEnd"/>
      <w:r w:rsidRPr="00903DDB">
        <w:rPr>
          <w:rFonts w:ascii="Times New Roman" w:hAnsi="Times New Roman" w:cs="Times New Roman"/>
          <w:sz w:val="22"/>
          <w:szCs w:val="22"/>
          <w:lang w:val="en-US"/>
        </w:rPr>
        <w:t xml:space="preserve">/Kg for comparison with our data; </w:t>
      </w:r>
      <w:proofErr w:type="spellStart"/>
      <w:r w:rsidRPr="00903DDB">
        <w:rPr>
          <w:rFonts w:ascii="Times New Roman" w:hAnsi="Times New Roman" w:cs="Times New Roman"/>
          <w:sz w:val="22"/>
          <w:szCs w:val="22"/>
          <w:lang w:val="en-US"/>
        </w:rPr>
        <w:t>na</w:t>
      </w:r>
      <w:proofErr w:type="spellEnd"/>
      <w:r w:rsidRPr="00903DDB">
        <w:rPr>
          <w:rFonts w:ascii="Times New Roman" w:hAnsi="Times New Roman" w:cs="Times New Roman"/>
          <w:sz w:val="22"/>
          <w:szCs w:val="22"/>
          <w:lang w:val="en-US"/>
        </w:rPr>
        <w:t>, not available).</w:t>
      </w:r>
    </w:p>
    <w:p w14:paraId="51B0B014" w14:textId="77777777" w:rsidR="00764EA8" w:rsidRPr="00903DDB" w:rsidRDefault="00764EA8" w:rsidP="00764EA8">
      <w:pPr>
        <w:ind w:left="0"/>
        <w:rPr>
          <w:rFonts w:ascii="Times New Roman" w:hAnsi="Times New Roman" w:cs="Times New Roman"/>
          <w:sz w:val="22"/>
          <w:szCs w:val="22"/>
          <w:lang w:val="en-GB"/>
        </w:rPr>
      </w:pPr>
    </w:p>
    <w:tbl>
      <w:tblPr>
        <w:tblStyle w:val="Tabellagriglia1chiar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74"/>
        <w:gridCol w:w="2254"/>
        <w:gridCol w:w="2524"/>
        <w:gridCol w:w="2221"/>
      </w:tblGrid>
      <w:tr w:rsidR="00764EA8" w:rsidRPr="00903DDB" w14:paraId="4B1E74DE" w14:textId="77777777" w:rsidTr="008912F5">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74" w:type="dxa"/>
            <w:tcBorders>
              <w:top w:val="single" w:sz="4" w:space="0" w:color="auto"/>
              <w:bottom w:val="single" w:sz="4" w:space="0" w:color="auto"/>
            </w:tcBorders>
            <w:tcMar>
              <w:left w:w="108" w:type="dxa"/>
              <w:right w:w="108" w:type="dxa"/>
            </w:tcMar>
          </w:tcPr>
          <w:p w14:paraId="025FBEEB" w14:textId="77777777" w:rsidR="00764EA8" w:rsidRPr="00903DDB" w:rsidRDefault="00764EA8" w:rsidP="008912F5">
            <w:pPr>
              <w:ind w:left="0"/>
              <w:rPr>
                <w:rFonts w:ascii="Times New Roman" w:hAnsi="Times New Roman" w:cs="Times New Roman"/>
                <w:sz w:val="22"/>
                <w:szCs w:val="22"/>
              </w:rPr>
            </w:pPr>
          </w:p>
        </w:tc>
        <w:tc>
          <w:tcPr>
            <w:tcW w:w="2254" w:type="dxa"/>
            <w:tcBorders>
              <w:top w:val="single" w:sz="4" w:space="0" w:color="auto"/>
              <w:bottom w:val="single" w:sz="4" w:space="0" w:color="auto"/>
            </w:tcBorders>
            <w:tcMar>
              <w:left w:w="108" w:type="dxa"/>
              <w:right w:w="108" w:type="dxa"/>
            </w:tcMar>
          </w:tcPr>
          <w:p w14:paraId="2E2BF412" w14:textId="77777777" w:rsidR="00764EA8" w:rsidRPr="00903DDB" w:rsidRDefault="00764EA8" w:rsidP="008912F5">
            <w:pPr>
              <w:ind w:left="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903DDB">
              <w:rPr>
                <w:rFonts w:ascii="Times New Roman" w:hAnsi="Times New Roman" w:cs="Times New Roman"/>
                <w:sz w:val="22"/>
                <w:szCs w:val="22"/>
              </w:rPr>
              <w:t xml:space="preserve">FRAP </w:t>
            </w:r>
          </w:p>
          <w:p w14:paraId="673F20F1" w14:textId="77777777" w:rsidR="00764EA8" w:rsidRPr="00903DDB" w:rsidRDefault="00764EA8" w:rsidP="008912F5">
            <w:pPr>
              <w:ind w:left="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903DDB">
              <w:rPr>
                <w:rFonts w:ascii="Times New Roman" w:hAnsi="Times New Roman" w:cs="Times New Roman"/>
                <w:sz w:val="22"/>
                <w:szCs w:val="22"/>
              </w:rPr>
              <w:t>(mmol TE/Kg dry wt)</w:t>
            </w:r>
          </w:p>
        </w:tc>
        <w:tc>
          <w:tcPr>
            <w:tcW w:w="2524" w:type="dxa"/>
            <w:tcBorders>
              <w:top w:val="single" w:sz="4" w:space="0" w:color="auto"/>
              <w:bottom w:val="single" w:sz="4" w:space="0" w:color="auto"/>
            </w:tcBorders>
            <w:tcMar>
              <w:left w:w="108" w:type="dxa"/>
              <w:right w:w="108" w:type="dxa"/>
            </w:tcMar>
          </w:tcPr>
          <w:p w14:paraId="7BDFBC8D" w14:textId="77777777" w:rsidR="00764EA8" w:rsidRPr="00903DDB" w:rsidRDefault="00764EA8" w:rsidP="008912F5">
            <w:pPr>
              <w:ind w:left="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903DDB">
              <w:rPr>
                <w:rFonts w:ascii="Times New Roman" w:hAnsi="Times New Roman" w:cs="Times New Roman"/>
                <w:sz w:val="22"/>
                <w:szCs w:val="22"/>
              </w:rPr>
              <w:t>DPPH</w:t>
            </w:r>
          </w:p>
          <w:p w14:paraId="515168DB" w14:textId="77777777" w:rsidR="00764EA8" w:rsidRPr="00903DDB" w:rsidRDefault="00764EA8" w:rsidP="008912F5">
            <w:pPr>
              <w:ind w:left="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903DDB">
              <w:rPr>
                <w:rFonts w:ascii="Times New Roman" w:hAnsi="Times New Roman" w:cs="Times New Roman"/>
                <w:sz w:val="22"/>
                <w:szCs w:val="22"/>
              </w:rPr>
              <w:t>(mmol TE/Kg dry wt)</w:t>
            </w:r>
          </w:p>
        </w:tc>
        <w:tc>
          <w:tcPr>
            <w:tcW w:w="2221" w:type="dxa"/>
            <w:tcBorders>
              <w:top w:val="single" w:sz="4" w:space="0" w:color="auto"/>
              <w:bottom w:val="single" w:sz="4" w:space="0" w:color="auto"/>
            </w:tcBorders>
          </w:tcPr>
          <w:p w14:paraId="3B30684F" w14:textId="77777777" w:rsidR="00764EA8" w:rsidRPr="00903DDB" w:rsidRDefault="00764EA8" w:rsidP="008912F5">
            <w:pPr>
              <w:ind w:left="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903DDB">
              <w:rPr>
                <w:rFonts w:ascii="Times New Roman" w:hAnsi="Times New Roman" w:cs="Times New Roman"/>
                <w:sz w:val="22"/>
                <w:szCs w:val="22"/>
              </w:rPr>
              <w:t>Reference</w:t>
            </w:r>
          </w:p>
        </w:tc>
      </w:tr>
      <w:tr w:rsidR="00764EA8" w:rsidRPr="00903DDB" w14:paraId="65501658" w14:textId="77777777" w:rsidTr="008912F5">
        <w:trPr>
          <w:trHeight w:val="300"/>
        </w:trPr>
        <w:tc>
          <w:tcPr>
            <w:cnfStyle w:val="001000000000" w:firstRow="0" w:lastRow="0" w:firstColumn="1" w:lastColumn="0" w:oddVBand="0" w:evenVBand="0" w:oddHBand="0" w:evenHBand="0" w:firstRowFirstColumn="0" w:firstRowLastColumn="0" w:lastRowFirstColumn="0" w:lastRowLastColumn="0"/>
            <w:tcW w:w="1574" w:type="dxa"/>
            <w:tcBorders>
              <w:top w:val="single" w:sz="4" w:space="0" w:color="auto"/>
            </w:tcBorders>
            <w:tcMar>
              <w:left w:w="108" w:type="dxa"/>
              <w:right w:w="108" w:type="dxa"/>
            </w:tcMar>
          </w:tcPr>
          <w:p w14:paraId="6A763E24" w14:textId="77777777" w:rsidR="00764EA8" w:rsidRPr="00903DDB" w:rsidRDefault="00764EA8" w:rsidP="008912F5">
            <w:pPr>
              <w:ind w:left="0"/>
              <w:rPr>
                <w:rFonts w:ascii="Times New Roman" w:hAnsi="Times New Roman" w:cs="Times New Roman"/>
                <w:sz w:val="22"/>
                <w:szCs w:val="22"/>
              </w:rPr>
            </w:pPr>
            <w:r w:rsidRPr="00903DDB">
              <w:rPr>
                <w:rFonts w:ascii="Times New Roman" w:hAnsi="Times New Roman" w:cs="Times New Roman"/>
                <w:i/>
                <w:iCs/>
                <w:sz w:val="22"/>
                <w:szCs w:val="22"/>
              </w:rPr>
              <w:t>A. absinthium</w:t>
            </w:r>
          </w:p>
        </w:tc>
        <w:tc>
          <w:tcPr>
            <w:tcW w:w="2254" w:type="dxa"/>
            <w:tcBorders>
              <w:top w:val="single" w:sz="4" w:space="0" w:color="auto"/>
            </w:tcBorders>
            <w:tcMar>
              <w:left w:w="108" w:type="dxa"/>
              <w:right w:w="108" w:type="dxa"/>
            </w:tcMar>
          </w:tcPr>
          <w:p w14:paraId="553ACE95" w14:textId="77777777" w:rsidR="00764EA8" w:rsidRPr="00903DDB" w:rsidRDefault="00764EA8" w:rsidP="008912F5">
            <w:pPr>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lang w:val="it-IT"/>
              </w:rPr>
            </w:pPr>
            <w:r w:rsidRPr="00903DDB">
              <w:rPr>
                <w:rFonts w:ascii="Times New Roman" w:hAnsi="Times New Roman" w:cs="Times New Roman"/>
                <w:sz w:val="22"/>
                <w:szCs w:val="22"/>
                <w:lang w:val="it-IT"/>
              </w:rPr>
              <w:t>269.5 ± 14.2</w:t>
            </w:r>
          </w:p>
        </w:tc>
        <w:tc>
          <w:tcPr>
            <w:tcW w:w="2524" w:type="dxa"/>
            <w:tcBorders>
              <w:top w:val="single" w:sz="4" w:space="0" w:color="auto"/>
            </w:tcBorders>
            <w:tcMar>
              <w:left w:w="108" w:type="dxa"/>
              <w:right w:w="108" w:type="dxa"/>
            </w:tcMar>
          </w:tcPr>
          <w:p w14:paraId="4C140C5C" w14:textId="77777777" w:rsidR="00764EA8" w:rsidRPr="00903DDB" w:rsidRDefault="00764EA8" w:rsidP="008912F5">
            <w:pPr>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lang w:val="it-IT"/>
              </w:rPr>
            </w:pPr>
            <w:r w:rsidRPr="00903DDB">
              <w:rPr>
                <w:rFonts w:ascii="Times New Roman" w:hAnsi="Times New Roman" w:cs="Times New Roman"/>
                <w:sz w:val="22"/>
                <w:szCs w:val="22"/>
                <w:lang w:val="it-IT"/>
              </w:rPr>
              <w:t>341.0 ± 4.8</w:t>
            </w:r>
          </w:p>
        </w:tc>
        <w:tc>
          <w:tcPr>
            <w:tcW w:w="2221" w:type="dxa"/>
            <w:tcBorders>
              <w:top w:val="single" w:sz="4" w:space="0" w:color="auto"/>
            </w:tcBorders>
          </w:tcPr>
          <w:p w14:paraId="382B0448" w14:textId="77777777" w:rsidR="00764EA8" w:rsidRPr="00903DDB" w:rsidRDefault="00764EA8" w:rsidP="008912F5">
            <w:pPr>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Pr>
                <w:rFonts w:ascii="Times New Roman" w:hAnsi="Times New Roman" w:cs="Times New Roman"/>
                <w:sz w:val="22"/>
                <w:szCs w:val="22"/>
              </w:rPr>
              <w:fldChar w:fldCharType="begin"/>
            </w:r>
            <w:r>
              <w:rPr>
                <w:rFonts w:ascii="Times New Roman" w:hAnsi="Times New Roman" w:cs="Times New Roman"/>
                <w:sz w:val="22"/>
                <w:szCs w:val="22"/>
              </w:rPr>
              <w:instrText xml:space="preserve"> ADDIN ZOTERO_ITEM CSL_CITATION {"citationID":"U7c3x7et","properties":{"formattedCitation":"[15]","plainCitation":"[15]","noteIndex":0},"citationItems":[{"id":"ssc6iKgb/q7maaflc","uris":["http://zotero.org/users/local/v4i1m8XK/items/26TRBBXU"],"itemData":{"id":"ssc6iKgb/q7maaflc","type":"article-journal","abstract":"The Artemisia L. genus comprises over 500 species with important medicinal and economic attributes. Our study aimed at providing a comprehensive metabolite profiling and bioactivity assessment of five Artemisia species collected from northeastern Romania (A. absinthium L., A. annua L., A. austriaca Jacq., A. pontica L. and A. vulgaris L.). Liquid chromatography–tandem high-resolution mass spectrometry (LC-HRMS/MS) analysis of methanol and chloroform extracts obtained from the roots and aerial parts of the plants led to the identification of 15 phenolic acids (mostly hydroxycinnamic acid derivatives), 26 flavonoids (poly-hydroxylated/poly-methoxylated flavone derivatives, present only in the aerial parts), 14 sesquiterpene lactones, 3 coumarins, 1 lignan and 7 fatty acids. Clustered image map (CIM) analysis of the phytochemical profiles revealed that A. annua was similar to A. absinthium and that A. pontica was similar to A. austriaca, whereas A. vulgaris represented a cluster of its own. Correlated with their total phenolic contents, the methanol extracts from both parts of the plants showed the highest antioxidant effects, as assessed by the DPPH and ABTS radical scavenging, CUPRAC, FRAP and total antioxidant capacity methods. Artemisia extracts proved to be promising sources of enzyme inhibitory agents, with the methanol aerial part extracts being the most active samples against acetylcholinesterase and glucosidase. All Artemisia samples displayed good antibacterial effects against Mycobacterium tuberculosis H37Ra, with MIC values of 64–256 mg/L. In conclusion, the investigated Artemisia species proved to be rich sources of bioactives endowed with antioxidant, enzyme inhibitory and anti-mycobacterial properties.","container-title":"Antioxidants","DOI":"10.3390/antiox11051017","ISSN":"2076-3921","issue":"5","language":"en","license":"http://creativecommons.org/licenses/by/3.0/","note":"number: 5\npublisher: Multidisciplinary Digital Publishing Institute","page":"1017","source":"www.mdpi.com","title":"Unveiling the Phytochemical Profile and Biological Potential of Five Artemisia Species","volume":"11","author":[{"family":"Trifan","given":"Adriana"},{"family":"Zengin","given":"Gokhan"},{"family":"Sinan","given":"Kouadio Ibrahime"},{"family":"Sieniawska","given":"Elwira"},{"family":"Sawicki","given":"Rafal"},{"family":"Maciejewska-Turska","given":"Magdalena"},{"family":"Skalikca-Woźniak","given":"Krystyna"},{"family":"Luca","given":"Simon Vlad"}],"issued":{"date-parts":[["2022",5]]}}}],"schema":"https://github.com/citation-style-language/schema/raw/master/csl-citation.json"} </w:instrText>
            </w:r>
            <w:r>
              <w:rPr>
                <w:rFonts w:ascii="Times New Roman" w:hAnsi="Times New Roman" w:cs="Times New Roman"/>
                <w:sz w:val="22"/>
                <w:szCs w:val="22"/>
              </w:rPr>
              <w:fldChar w:fldCharType="separate"/>
            </w:r>
            <w:r w:rsidRPr="00F35883">
              <w:rPr>
                <w:rFonts w:ascii="Times New Roman" w:hAnsi="Times New Roman" w:cs="Times New Roman"/>
                <w:sz w:val="22"/>
              </w:rPr>
              <w:t>[15]</w:t>
            </w:r>
            <w:r>
              <w:rPr>
                <w:rFonts w:ascii="Times New Roman" w:hAnsi="Times New Roman" w:cs="Times New Roman"/>
                <w:sz w:val="22"/>
                <w:szCs w:val="22"/>
              </w:rPr>
              <w:fldChar w:fldCharType="end"/>
            </w:r>
          </w:p>
        </w:tc>
      </w:tr>
      <w:tr w:rsidR="00764EA8" w:rsidRPr="00903DDB" w14:paraId="4FAF6FE1" w14:textId="77777777" w:rsidTr="008912F5">
        <w:trPr>
          <w:trHeight w:val="300"/>
        </w:trPr>
        <w:tc>
          <w:tcPr>
            <w:cnfStyle w:val="001000000000" w:firstRow="0" w:lastRow="0" w:firstColumn="1" w:lastColumn="0" w:oddVBand="0" w:evenVBand="0" w:oddHBand="0" w:evenHBand="0" w:firstRowFirstColumn="0" w:firstRowLastColumn="0" w:lastRowFirstColumn="0" w:lastRowLastColumn="0"/>
            <w:tcW w:w="1574" w:type="dxa"/>
            <w:tcMar>
              <w:left w:w="108" w:type="dxa"/>
              <w:right w:w="108" w:type="dxa"/>
            </w:tcMar>
          </w:tcPr>
          <w:p w14:paraId="4C762627" w14:textId="77777777" w:rsidR="00764EA8" w:rsidRPr="00903DDB" w:rsidRDefault="00764EA8" w:rsidP="008912F5">
            <w:pPr>
              <w:ind w:left="0"/>
              <w:rPr>
                <w:rFonts w:ascii="Times New Roman" w:hAnsi="Times New Roman" w:cs="Times New Roman"/>
                <w:i/>
                <w:iCs/>
                <w:sz w:val="22"/>
                <w:szCs w:val="22"/>
              </w:rPr>
            </w:pPr>
            <w:r w:rsidRPr="00903DDB">
              <w:rPr>
                <w:rFonts w:ascii="Times New Roman" w:hAnsi="Times New Roman" w:cs="Times New Roman"/>
                <w:i/>
                <w:iCs/>
                <w:sz w:val="22"/>
                <w:szCs w:val="22"/>
              </w:rPr>
              <w:t>A. alba</w:t>
            </w:r>
          </w:p>
        </w:tc>
        <w:tc>
          <w:tcPr>
            <w:tcW w:w="2254" w:type="dxa"/>
            <w:tcMar>
              <w:left w:w="108" w:type="dxa"/>
              <w:right w:w="108" w:type="dxa"/>
            </w:tcMar>
          </w:tcPr>
          <w:p w14:paraId="6BA28D7E" w14:textId="77777777" w:rsidR="00764EA8" w:rsidRPr="00903DDB" w:rsidRDefault="00764EA8" w:rsidP="008912F5">
            <w:pPr>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roofErr w:type="spellStart"/>
            <w:r w:rsidRPr="00903DDB">
              <w:rPr>
                <w:rFonts w:ascii="Times New Roman" w:hAnsi="Times New Roman" w:cs="Times New Roman"/>
                <w:sz w:val="22"/>
                <w:szCs w:val="22"/>
              </w:rPr>
              <w:t>na</w:t>
            </w:r>
            <w:proofErr w:type="spellEnd"/>
          </w:p>
        </w:tc>
        <w:tc>
          <w:tcPr>
            <w:tcW w:w="2524" w:type="dxa"/>
            <w:tcMar>
              <w:left w:w="108" w:type="dxa"/>
              <w:right w:w="108" w:type="dxa"/>
            </w:tcMar>
          </w:tcPr>
          <w:p w14:paraId="561B071E" w14:textId="77777777" w:rsidR="00764EA8" w:rsidRPr="00903DDB" w:rsidRDefault="00764EA8" w:rsidP="008912F5">
            <w:pPr>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903DDB">
              <w:rPr>
                <w:rFonts w:ascii="Times New Roman" w:hAnsi="Times New Roman" w:cs="Times New Roman"/>
                <w:sz w:val="22"/>
                <w:szCs w:val="22"/>
              </w:rPr>
              <w:t>116.3 – 427.5</w:t>
            </w:r>
          </w:p>
        </w:tc>
        <w:tc>
          <w:tcPr>
            <w:tcW w:w="2221" w:type="dxa"/>
          </w:tcPr>
          <w:p w14:paraId="65ECFCE9" w14:textId="77777777" w:rsidR="00764EA8" w:rsidRPr="00903DDB" w:rsidRDefault="00764EA8" w:rsidP="008912F5">
            <w:pPr>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Pr>
                <w:rFonts w:ascii="Times New Roman" w:hAnsi="Times New Roman" w:cs="Times New Roman"/>
                <w:sz w:val="22"/>
                <w:szCs w:val="22"/>
              </w:rPr>
              <w:fldChar w:fldCharType="begin"/>
            </w:r>
            <w:r>
              <w:rPr>
                <w:rFonts w:ascii="Times New Roman" w:hAnsi="Times New Roman" w:cs="Times New Roman"/>
                <w:sz w:val="22"/>
                <w:szCs w:val="22"/>
              </w:rPr>
              <w:instrText xml:space="preserve"> ADDIN ZOTERO_ITEM CSL_CITATION {"citationID":"Z4rCDRXo","properties":{"formattedCitation":"[45]","plainCitation":"[45]","noteIndex":0},"citationItems":[{"id":10,"uris":["http://zotero.org/users/local/lwQ2BgQW/items/TLQBB5GI"],"itemData":{"id":10,"type":"article-journal","container-title":"Chemia Naissensis","issue":"2","page":"89-95","title":"Comparative analysis of HPLC profiles and antioxidant activity of Artemisia alba Turra from two habitats in Serbia","volume":"3","author":[{"family":"Ickovski","given":"Jovana D."},{"family":"Mitić","given":"M."},{"family":"Stojković","given":"M."},{"family":"Stojanović","given":"G."}],"issued":{"date-parts":[["2020"]]}}}],"schema":"https://github.com/citation-style-language/schema/raw/master/csl-citation.json"} </w:instrText>
            </w:r>
            <w:r>
              <w:rPr>
                <w:rFonts w:ascii="Times New Roman" w:hAnsi="Times New Roman" w:cs="Times New Roman"/>
                <w:sz w:val="22"/>
                <w:szCs w:val="22"/>
              </w:rPr>
              <w:fldChar w:fldCharType="separate"/>
            </w:r>
            <w:r w:rsidRPr="00F35883">
              <w:rPr>
                <w:rFonts w:ascii="Times New Roman" w:hAnsi="Times New Roman" w:cs="Times New Roman"/>
                <w:sz w:val="22"/>
              </w:rPr>
              <w:t>[45]</w:t>
            </w:r>
            <w:r>
              <w:rPr>
                <w:rFonts w:ascii="Times New Roman" w:hAnsi="Times New Roman" w:cs="Times New Roman"/>
                <w:sz w:val="22"/>
                <w:szCs w:val="22"/>
              </w:rPr>
              <w:fldChar w:fldCharType="end"/>
            </w:r>
          </w:p>
        </w:tc>
      </w:tr>
      <w:tr w:rsidR="00764EA8" w:rsidRPr="00903DDB" w14:paraId="116C099A" w14:textId="77777777" w:rsidTr="008912F5">
        <w:trPr>
          <w:trHeight w:val="300"/>
        </w:trPr>
        <w:tc>
          <w:tcPr>
            <w:cnfStyle w:val="001000000000" w:firstRow="0" w:lastRow="0" w:firstColumn="1" w:lastColumn="0" w:oddVBand="0" w:evenVBand="0" w:oddHBand="0" w:evenHBand="0" w:firstRowFirstColumn="0" w:firstRowLastColumn="0" w:lastRowFirstColumn="0" w:lastRowLastColumn="0"/>
            <w:tcW w:w="1574" w:type="dxa"/>
            <w:tcMar>
              <w:left w:w="108" w:type="dxa"/>
              <w:right w:w="108" w:type="dxa"/>
            </w:tcMar>
          </w:tcPr>
          <w:p w14:paraId="1863E089" w14:textId="77777777" w:rsidR="00764EA8" w:rsidRPr="00903DDB" w:rsidRDefault="00764EA8" w:rsidP="008912F5">
            <w:pPr>
              <w:ind w:left="0"/>
              <w:rPr>
                <w:rFonts w:ascii="Times New Roman" w:hAnsi="Times New Roman" w:cs="Times New Roman"/>
                <w:sz w:val="22"/>
                <w:szCs w:val="22"/>
              </w:rPr>
            </w:pPr>
            <w:r w:rsidRPr="00903DDB">
              <w:rPr>
                <w:rFonts w:ascii="Times New Roman" w:hAnsi="Times New Roman" w:cs="Times New Roman"/>
                <w:i/>
                <w:iCs/>
                <w:sz w:val="22"/>
                <w:szCs w:val="22"/>
              </w:rPr>
              <w:t>A. annua</w:t>
            </w:r>
          </w:p>
        </w:tc>
        <w:tc>
          <w:tcPr>
            <w:tcW w:w="2254" w:type="dxa"/>
            <w:tcMar>
              <w:left w:w="108" w:type="dxa"/>
              <w:right w:w="108" w:type="dxa"/>
            </w:tcMar>
          </w:tcPr>
          <w:p w14:paraId="4AA99A6C" w14:textId="77777777" w:rsidR="00764EA8" w:rsidRPr="00903DDB" w:rsidRDefault="00764EA8" w:rsidP="008912F5">
            <w:pPr>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lang w:val="it-IT"/>
              </w:rPr>
            </w:pPr>
            <w:r w:rsidRPr="00903DDB">
              <w:rPr>
                <w:rFonts w:ascii="Times New Roman" w:hAnsi="Times New Roman" w:cs="Times New Roman"/>
                <w:sz w:val="22"/>
                <w:szCs w:val="22"/>
                <w:lang w:val="it-IT"/>
              </w:rPr>
              <w:t>410.1 ± 8.6</w:t>
            </w:r>
          </w:p>
        </w:tc>
        <w:tc>
          <w:tcPr>
            <w:tcW w:w="2524" w:type="dxa"/>
            <w:tcMar>
              <w:left w:w="108" w:type="dxa"/>
              <w:right w:w="108" w:type="dxa"/>
            </w:tcMar>
          </w:tcPr>
          <w:p w14:paraId="6795F2FB" w14:textId="77777777" w:rsidR="00764EA8" w:rsidRPr="00903DDB" w:rsidRDefault="00764EA8" w:rsidP="008912F5">
            <w:pPr>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lang w:val="it-IT"/>
              </w:rPr>
            </w:pPr>
            <w:r w:rsidRPr="00903DDB">
              <w:rPr>
                <w:rFonts w:ascii="Times New Roman" w:hAnsi="Times New Roman" w:cs="Times New Roman"/>
                <w:sz w:val="22"/>
                <w:szCs w:val="22"/>
                <w:lang w:val="it-IT"/>
              </w:rPr>
              <w:t>234.4 ± 5.8</w:t>
            </w:r>
          </w:p>
        </w:tc>
        <w:tc>
          <w:tcPr>
            <w:tcW w:w="2221" w:type="dxa"/>
          </w:tcPr>
          <w:p w14:paraId="7E97678A" w14:textId="77777777" w:rsidR="00764EA8" w:rsidRPr="00903DDB" w:rsidRDefault="00764EA8" w:rsidP="008912F5">
            <w:pPr>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Pr>
                <w:rFonts w:ascii="Times New Roman" w:hAnsi="Times New Roman" w:cs="Times New Roman"/>
                <w:sz w:val="22"/>
                <w:szCs w:val="22"/>
              </w:rPr>
              <w:fldChar w:fldCharType="begin"/>
            </w:r>
            <w:r>
              <w:rPr>
                <w:rFonts w:ascii="Times New Roman" w:hAnsi="Times New Roman" w:cs="Times New Roman"/>
                <w:sz w:val="22"/>
                <w:szCs w:val="22"/>
              </w:rPr>
              <w:instrText xml:space="preserve"> ADDIN ZOTERO_ITEM CSL_CITATION {"citationID":"qBeJ1s7u","properties":{"formattedCitation":"[15]","plainCitation":"[15]","noteIndex":0},"citationItems":[{"id":"ssc6iKgb/q7maaflc","uris":["http://zotero.org/users/local/v4i1m8XK/items/26TRBBXU"],"itemData":{"id":"ssc6iKgb/q7maaflc","type":"article-journal","abstract":"The Artemisia L. genus comprises over 500 species with important medicinal and economic attributes. Our study aimed at providing a comprehensive metabolite profiling and bioactivity assessment of five Artemisia species collected from northeastern Romania (A. absinthium L., A. annua L., A. austriaca Jacq., A. pontica L. and A. vulgaris L.). Liquid chromatography–tandem high-resolution mass spectrometry (LC-HRMS/MS) analysis of methanol and chloroform extracts obtained from the roots and aerial parts of the plants led to the identification of 15 phenolic acids (mostly hydroxycinnamic acid derivatives), 26 flavonoids (poly-hydroxylated/poly-methoxylated flavone derivatives, present only in the aerial parts), 14 sesquiterpene lactones, 3 coumarins, 1 lignan and 7 fatty acids. Clustered image map (CIM) analysis of the phytochemical profiles revealed that A. annua was similar to A. absinthium and that A. pontica was similar to A. austriaca, whereas A. vulgaris represented a cluster of its own. Correlated with their total phenolic contents, the methanol extracts from both parts of the plants showed the highest antioxidant effects, as assessed by the DPPH and ABTS radical scavenging, CUPRAC, FRAP and total antioxidant capacity methods. Artemisia extracts proved to be promising sources of enzyme inhibitory agents, with the methanol aerial part extracts being the most active samples against acetylcholinesterase and glucosidase. All Artemisia samples displayed good antibacterial effects against Mycobacterium tuberculosis H37Ra, with MIC values of 64–256 mg/L. In conclusion, the investigated Artemisia species proved to be rich sources of bioactives endowed with antioxidant, enzyme inhibitory and anti-mycobacterial properties.","container-title":"Antioxidants","DOI":"10.3390/antiox11051017","ISSN":"2076-3921","issue":"5","language":"en","license":"http://creativecommons.org/licenses/by/3.0/","note":"number: 5\npublisher: Multidisciplinary Digital Publishing Institute","page":"1017","source":"www.mdpi.com","title":"Unveiling the Phytochemical Profile and Biological Potential of Five Artemisia Species","volume":"11","author":[{"family":"Trifan","given":"Adriana"},{"family":"Zengin","given":"Gokhan"},{"family":"Sinan","given":"Kouadio Ibrahime"},{"family":"Sieniawska","given":"Elwira"},{"family":"Sawicki","given":"Rafal"},{"family":"Maciejewska-Turska","given":"Magdalena"},{"family":"Skalikca-Woźniak","given":"Krystyna"},{"family":"Luca","given":"Simon Vlad"}],"issued":{"date-parts":[["2022",5]]}}}],"schema":"https://github.com/citation-style-language/schema/raw/master/csl-citation.json"} </w:instrText>
            </w:r>
            <w:r>
              <w:rPr>
                <w:rFonts w:ascii="Times New Roman" w:hAnsi="Times New Roman" w:cs="Times New Roman"/>
                <w:sz w:val="22"/>
                <w:szCs w:val="22"/>
              </w:rPr>
              <w:fldChar w:fldCharType="separate"/>
            </w:r>
            <w:r w:rsidRPr="00F35883">
              <w:rPr>
                <w:rFonts w:ascii="Times New Roman" w:hAnsi="Times New Roman" w:cs="Times New Roman"/>
                <w:sz w:val="22"/>
              </w:rPr>
              <w:t>[15]</w:t>
            </w:r>
            <w:r>
              <w:rPr>
                <w:rFonts w:ascii="Times New Roman" w:hAnsi="Times New Roman" w:cs="Times New Roman"/>
                <w:sz w:val="22"/>
                <w:szCs w:val="22"/>
              </w:rPr>
              <w:fldChar w:fldCharType="end"/>
            </w:r>
          </w:p>
        </w:tc>
      </w:tr>
      <w:tr w:rsidR="00764EA8" w:rsidRPr="00903DDB" w14:paraId="123F6683" w14:textId="77777777" w:rsidTr="008912F5">
        <w:trPr>
          <w:trHeight w:val="300"/>
        </w:trPr>
        <w:tc>
          <w:tcPr>
            <w:cnfStyle w:val="001000000000" w:firstRow="0" w:lastRow="0" w:firstColumn="1" w:lastColumn="0" w:oddVBand="0" w:evenVBand="0" w:oddHBand="0" w:evenHBand="0" w:firstRowFirstColumn="0" w:firstRowLastColumn="0" w:lastRowFirstColumn="0" w:lastRowLastColumn="0"/>
            <w:tcW w:w="1574" w:type="dxa"/>
            <w:tcMar>
              <w:left w:w="108" w:type="dxa"/>
              <w:right w:w="108" w:type="dxa"/>
            </w:tcMar>
          </w:tcPr>
          <w:p w14:paraId="78B92525" w14:textId="77777777" w:rsidR="00764EA8" w:rsidRPr="00903DDB" w:rsidRDefault="00764EA8" w:rsidP="008912F5">
            <w:pPr>
              <w:ind w:left="0"/>
              <w:rPr>
                <w:rFonts w:ascii="Times New Roman" w:hAnsi="Times New Roman" w:cs="Times New Roman"/>
                <w:sz w:val="22"/>
                <w:szCs w:val="22"/>
              </w:rPr>
            </w:pPr>
            <w:r w:rsidRPr="00903DDB">
              <w:rPr>
                <w:rFonts w:ascii="Times New Roman" w:hAnsi="Times New Roman" w:cs="Times New Roman"/>
                <w:i/>
                <w:iCs/>
                <w:sz w:val="22"/>
                <w:szCs w:val="22"/>
              </w:rPr>
              <w:t>A. verlotiorum</w:t>
            </w:r>
          </w:p>
        </w:tc>
        <w:tc>
          <w:tcPr>
            <w:tcW w:w="2254" w:type="dxa"/>
            <w:tcMar>
              <w:left w:w="108" w:type="dxa"/>
              <w:right w:w="108" w:type="dxa"/>
            </w:tcMar>
          </w:tcPr>
          <w:p w14:paraId="71D2F23A" w14:textId="77777777" w:rsidR="00764EA8" w:rsidRPr="00903DDB" w:rsidRDefault="00764EA8" w:rsidP="008912F5">
            <w:pPr>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lang w:val="it-IT"/>
              </w:rPr>
            </w:pPr>
            <w:r w:rsidRPr="00903DDB">
              <w:rPr>
                <w:rFonts w:ascii="Times New Roman" w:hAnsi="Times New Roman" w:cs="Times New Roman"/>
                <w:sz w:val="22"/>
                <w:szCs w:val="22"/>
                <w:lang w:val="it-IT"/>
              </w:rPr>
              <w:t>973.3 ± 2.7</w:t>
            </w:r>
          </w:p>
        </w:tc>
        <w:tc>
          <w:tcPr>
            <w:tcW w:w="2524" w:type="dxa"/>
            <w:tcMar>
              <w:left w:w="108" w:type="dxa"/>
              <w:right w:w="108" w:type="dxa"/>
            </w:tcMar>
          </w:tcPr>
          <w:p w14:paraId="44A38997" w14:textId="77777777" w:rsidR="00764EA8" w:rsidRPr="00903DDB" w:rsidRDefault="00764EA8" w:rsidP="008912F5">
            <w:pPr>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lang w:val="it-IT"/>
              </w:rPr>
            </w:pPr>
            <w:r w:rsidRPr="00903DDB">
              <w:rPr>
                <w:rFonts w:ascii="Times New Roman" w:hAnsi="Times New Roman" w:cs="Times New Roman"/>
                <w:sz w:val="22"/>
                <w:szCs w:val="22"/>
                <w:lang w:val="it-IT"/>
              </w:rPr>
              <w:t>769.4 ± 2.3</w:t>
            </w:r>
          </w:p>
        </w:tc>
        <w:tc>
          <w:tcPr>
            <w:tcW w:w="2221" w:type="dxa"/>
          </w:tcPr>
          <w:p w14:paraId="50E23CB2" w14:textId="77777777" w:rsidR="00764EA8" w:rsidRPr="00903DDB" w:rsidRDefault="00764EA8" w:rsidP="008912F5">
            <w:pPr>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Pr>
                <w:rFonts w:ascii="Times New Roman" w:hAnsi="Times New Roman" w:cs="Times New Roman"/>
                <w:sz w:val="22"/>
                <w:szCs w:val="22"/>
              </w:rPr>
              <w:fldChar w:fldCharType="begin"/>
            </w:r>
            <w:r>
              <w:rPr>
                <w:rFonts w:ascii="Times New Roman" w:hAnsi="Times New Roman" w:cs="Times New Roman"/>
                <w:sz w:val="22"/>
                <w:szCs w:val="22"/>
              </w:rPr>
              <w:instrText xml:space="preserve"> ADDIN ZOTERO_ITEM CSL_CITATION {"citationID":"l9glkfTf","properties":{"formattedCitation":"[46]","plainCitation":"[46]","noteIndex":0},"citationItems":[{"id":11,"uris":["http://zotero.org/users/local/lwQ2BgQW/items/8688LRZK"],"itemData":{"id":11,"type":"article-journal","container-title":"Molecules","issue":"18","note":"ISBN: 1420-3049\npublisher: MDPI","page":"5886","title":"Phytochemical characterization, anti-oxidant, anti-enzymatic and cytotoxic effects of Artemisia verlotiorum Lamotte extracts: A new source of bioactive agents","volume":"27","author":[{"family":"Suroowan","given":"Shanoo"},{"family":"Llorent-Martínez","given":"Eulogio Jose"},{"family":"Zengin","given":"Gokhan"},{"family":"Dall’Acqua","given":"Stefano"},{"family":"Sut","given":"Stefania"},{"family":"Buskaran","given":"Kalaivani"},{"family":"Fakurazi","given":"Sharida"},{"family":"Mahomoodally","given":"Mohamad Fawzi"}],"issued":{"date-parts":[["2022"]]}}}],"schema":"https://github.com/citation-style-language/schema/raw/master/csl-citation.json"} </w:instrText>
            </w:r>
            <w:r>
              <w:rPr>
                <w:rFonts w:ascii="Times New Roman" w:hAnsi="Times New Roman" w:cs="Times New Roman"/>
                <w:sz w:val="22"/>
                <w:szCs w:val="22"/>
              </w:rPr>
              <w:fldChar w:fldCharType="separate"/>
            </w:r>
            <w:r w:rsidRPr="00F35883">
              <w:rPr>
                <w:rFonts w:ascii="Times New Roman" w:hAnsi="Times New Roman" w:cs="Times New Roman"/>
                <w:sz w:val="22"/>
              </w:rPr>
              <w:t>[46]</w:t>
            </w:r>
            <w:r>
              <w:rPr>
                <w:rFonts w:ascii="Times New Roman" w:hAnsi="Times New Roman" w:cs="Times New Roman"/>
                <w:sz w:val="22"/>
                <w:szCs w:val="22"/>
              </w:rPr>
              <w:fldChar w:fldCharType="end"/>
            </w:r>
          </w:p>
        </w:tc>
      </w:tr>
      <w:tr w:rsidR="00764EA8" w:rsidRPr="00903DDB" w14:paraId="19E7E8D7" w14:textId="77777777" w:rsidTr="008912F5">
        <w:trPr>
          <w:trHeight w:val="300"/>
        </w:trPr>
        <w:tc>
          <w:tcPr>
            <w:cnfStyle w:val="001000000000" w:firstRow="0" w:lastRow="0" w:firstColumn="1" w:lastColumn="0" w:oddVBand="0" w:evenVBand="0" w:oddHBand="0" w:evenHBand="0" w:firstRowFirstColumn="0" w:firstRowLastColumn="0" w:lastRowFirstColumn="0" w:lastRowLastColumn="0"/>
            <w:tcW w:w="1574" w:type="dxa"/>
            <w:tcMar>
              <w:left w:w="108" w:type="dxa"/>
              <w:right w:w="108" w:type="dxa"/>
            </w:tcMar>
          </w:tcPr>
          <w:p w14:paraId="254C6E02" w14:textId="77777777" w:rsidR="00764EA8" w:rsidRPr="00903DDB" w:rsidRDefault="00764EA8" w:rsidP="008912F5">
            <w:pPr>
              <w:ind w:left="0"/>
              <w:rPr>
                <w:rFonts w:ascii="Times New Roman" w:hAnsi="Times New Roman" w:cs="Times New Roman"/>
                <w:i/>
                <w:iCs/>
                <w:sz w:val="22"/>
                <w:szCs w:val="22"/>
              </w:rPr>
            </w:pPr>
            <w:r w:rsidRPr="00903DDB">
              <w:rPr>
                <w:rFonts w:ascii="Times New Roman" w:hAnsi="Times New Roman" w:cs="Times New Roman"/>
                <w:i/>
                <w:iCs/>
                <w:sz w:val="22"/>
                <w:szCs w:val="22"/>
              </w:rPr>
              <w:t>A. vulgaris</w:t>
            </w:r>
          </w:p>
        </w:tc>
        <w:tc>
          <w:tcPr>
            <w:tcW w:w="2254" w:type="dxa"/>
            <w:tcMar>
              <w:left w:w="108" w:type="dxa"/>
              <w:right w:w="108" w:type="dxa"/>
            </w:tcMar>
          </w:tcPr>
          <w:p w14:paraId="002501F8" w14:textId="77777777" w:rsidR="00764EA8" w:rsidRPr="00903DDB" w:rsidRDefault="00764EA8" w:rsidP="008912F5">
            <w:pPr>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903DDB">
              <w:rPr>
                <w:rFonts w:ascii="Times New Roman" w:hAnsi="Times New Roman" w:cs="Times New Roman"/>
                <w:sz w:val="22"/>
                <w:szCs w:val="22"/>
                <w:lang w:val="it-IT"/>
              </w:rPr>
              <w:t>557.6 ± 12.7</w:t>
            </w:r>
          </w:p>
        </w:tc>
        <w:tc>
          <w:tcPr>
            <w:tcW w:w="2524" w:type="dxa"/>
            <w:tcMar>
              <w:left w:w="108" w:type="dxa"/>
              <w:right w:w="108" w:type="dxa"/>
            </w:tcMar>
          </w:tcPr>
          <w:p w14:paraId="26C94643" w14:textId="77777777" w:rsidR="00764EA8" w:rsidRPr="00903DDB" w:rsidRDefault="00764EA8" w:rsidP="008912F5">
            <w:pPr>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903DDB">
              <w:rPr>
                <w:rFonts w:ascii="Times New Roman" w:hAnsi="Times New Roman" w:cs="Times New Roman"/>
                <w:sz w:val="22"/>
                <w:szCs w:val="22"/>
              </w:rPr>
              <w:t xml:space="preserve">793.1 </w:t>
            </w:r>
            <w:r w:rsidRPr="00903DDB">
              <w:rPr>
                <w:rFonts w:ascii="Times New Roman" w:hAnsi="Times New Roman" w:cs="Times New Roman"/>
                <w:sz w:val="22"/>
                <w:szCs w:val="22"/>
                <w:lang w:val="it-IT"/>
              </w:rPr>
              <w:t>± 20.0</w:t>
            </w:r>
          </w:p>
        </w:tc>
        <w:tc>
          <w:tcPr>
            <w:tcW w:w="2221" w:type="dxa"/>
          </w:tcPr>
          <w:p w14:paraId="1299308A" w14:textId="77777777" w:rsidR="00764EA8" w:rsidRPr="00903DDB" w:rsidRDefault="00764EA8" w:rsidP="008912F5">
            <w:pPr>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Pr>
                <w:rFonts w:ascii="Times New Roman" w:hAnsi="Times New Roman" w:cs="Times New Roman"/>
                <w:sz w:val="22"/>
                <w:szCs w:val="22"/>
              </w:rPr>
              <w:fldChar w:fldCharType="begin"/>
            </w:r>
            <w:r>
              <w:rPr>
                <w:rFonts w:ascii="Times New Roman" w:hAnsi="Times New Roman" w:cs="Times New Roman"/>
                <w:sz w:val="22"/>
                <w:szCs w:val="22"/>
              </w:rPr>
              <w:instrText xml:space="preserve"> ADDIN ZOTERO_ITEM CSL_CITATION {"citationID":"lP5ebMiN","properties":{"formattedCitation":"[15]","plainCitation":"[15]","noteIndex":0},"citationItems":[{"id":"ssc6iKgb/q7maaflc","uris":["http://zotero.org/users/local/v4i1m8XK/items/26TRBBXU"],"itemData":{"id":"ssc6iKgb/q7maaflc","type":"article-journal","abstract":"The Artemisia L. genus comprises over 500 species with important medicinal and economic attributes. Our study aimed at providing a comprehensive metabolite profiling and bioactivity assessment of five Artemisia species collected from northeastern Romania (A. absinthium L., A. annua L., A. austriaca Jacq., A. pontica L. and A. vulgaris L.). Liquid chromatography–tandem high-resolution mass spectrometry (LC-HRMS/MS) analysis of methanol and chloroform extracts obtained from the roots and aerial parts of the plants led to the identification of 15 phenolic acids (mostly hydroxycinnamic acid derivatives), 26 flavonoids (poly-hydroxylated/poly-methoxylated flavone derivatives, present only in the aerial parts), 14 sesquiterpene lactones, 3 coumarins, 1 lignan and 7 fatty acids. Clustered image map (CIM) analysis of the phytochemical profiles revealed that A. annua was similar to A. absinthium and that A. pontica was similar to A. austriaca, whereas A. vulgaris represented a cluster of its own. Correlated with their total phenolic contents, the methanol extracts from both parts of the plants showed the highest antioxidant effects, as assessed by the DPPH and ABTS radical scavenging, CUPRAC, FRAP and total antioxidant capacity methods. Artemisia extracts proved to be promising sources of enzyme inhibitory agents, with the methanol aerial part extracts being the most active samples against acetylcholinesterase and glucosidase. All Artemisia samples displayed good antibacterial effects against Mycobacterium tuberculosis H37Ra, with MIC values of 64–256 mg/L. In conclusion, the investigated Artemisia species proved to be rich sources of bioactives endowed with antioxidant, enzyme inhibitory and anti-mycobacterial properties.","container-title":"Antioxidants","DOI":"10.3390/antiox11051017","ISSN":"2076-3921","issue":"5","language":"en","license":"http://creativecommons.org/licenses/by/3.0/","note":"number: 5\npublisher: Multidisciplinary Digital Publishing Institute","page":"1017","source":"www.mdpi.com","title":"Unveiling the Phytochemical Profile and Biological Potential of Five Artemisia Species","volume":"11","author":[{"family":"Trifan","given":"Adriana"},{"family":"Zengin","given":"Gokhan"},{"family":"Sinan","given":"Kouadio Ibrahime"},{"family":"Sieniawska","given":"Elwira"},{"family":"Sawicki","given":"Rafal"},{"family":"Maciejewska-Turska","given":"Magdalena"},{"family":"Skalikca-Woźniak","given":"Krystyna"},{"family":"Luca","given":"Simon Vlad"}],"issued":{"date-parts":[["2022",5]]}}}],"schema":"https://github.com/citation-style-language/schema/raw/master/csl-citation.json"} </w:instrText>
            </w:r>
            <w:r>
              <w:rPr>
                <w:rFonts w:ascii="Times New Roman" w:hAnsi="Times New Roman" w:cs="Times New Roman"/>
                <w:sz w:val="22"/>
                <w:szCs w:val="22"/>
              </w:rPr>
              <w:fldChar w:fldCharType="separate"/>
            </w:r>
            <w:r w:rsidRPr="00F35883">
              <w:rPr>
                <w:rFonts w:ascii="Times New Roman" w:hAnsi="Times New Roman" w:cs="Times New Roman"/>
                <w:sz w:val="22"/>
              </w:rPr>
              <w:t>[15]</w:t>
            </w:r>
            <w:r>
              <w:rPr>
                <w:rFonts w:ascii="Times New Roman" w:hAnsi="Times New Roman" w:cs="Times New Roman"/>
                <w:sz w:val="22"/>
                <w:szCs w:val="22"/>
              </w:rPr>
              <w:fldChar w:fldCharType="end"/>
            </w:r>
          </w:p>
        </w:tc>
      </w:tr>
    </w:tbl>
    <w:p w14:paraId="59220F81" w14:textId="77777777" w:rsidR="00816A03" w:rsidRPr="00764EA8" w:rsidRDefault="00816A03">
      <w:pPr>
        <w:rPr>
          <w:lang w:val="en-US"/>
        </w:rPr>
      </w:pPr>
    </w:p>
    <w:sectPr w:rsidR="00816A03" w:rsidRPr="00764EA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4EA8"/>
    <w:rsid w:val="00663939"/>
    <w:rsid w:val="00764EA8"/>
    <w:rsid w:val="00801D36"/>
    <w:rsid w:val="00816A03"/>
    <w:rsid w:val="0086769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DC3ACD"/>
  <w15:chartTrackingRefBased/>
  <w15:docId w15:val="{2FA93459-2B7B-4DD7-9A4A-5C943361FF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64EA8"/>
    <w:pPr>
      <w:spacing w:after="0" w:line="360" w:lineRule="auto"/>
      <w:ind w:left="794"/>
    </w:pPr>
    <w:rPr>
      <w:rFonts w:asciiTheme="majorHAnsi" w:hAnsiTheme="majorHAnsi" w:cstheme="majorHAnsi"/>
      <w:color w:val="000000" w:themeColor="text1"/>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Tabellagriglia1chiara">
    <w:name w:val="Grid Table 1 Light"/>
    <w:basedOn w:val="Tabellanormale"/>
    <w:uiPriority w:val="46"/>
    <w:rsid w:val="00764EA8"/>
    <w:pPr>
      <w:spacing w:after="0" w:line="240" w:lineRule="auto"/>
      <w:jc w:val="both"/>
    </w:pPr>
    <w:rPr>
      <w:lang w:val="en-GB"/>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1661</Words>
  <Characters>9470</Characters>
  <Application>Microsoft Office Word</Application>
  <DocSecurity>0</DocSecurity>
  <Lines>78</Lines>
  <Paragraphs>22</Paragraphs>
  <ScaleCrop>false</ScaleCrop>
  <Company>Universita' degli Studi di Verona</Company>
  <LinksUpToDate>false</LinksUpToDate>
  <CharactersWithSpaces>11109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Fabio Pietrolucci</dc:creator>
  <cp:keywords/>
  <dc:description/>
  <cp:lastModifiedBy>Linda Avesani</cp:lastModifiedBy>
  <cp:revision>2</cp:revision>
  <dcterms:created xsi:type="dcterms:W3CDTF">2023-10-25T10:48:00Z</dcterms:created>
  <dcterms:modified xsi:type="dcterms:W3CDTF">2023-10-25T10:48:00Z</dcterms:modified>
</cp:coreProperties>
</file>