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1BC16" w14:textId="77777777" w:rsidR="0010584B" w:rsidRPr="0010584B" w:rsidRDefault="0010584B" w:rsidP="0010584B">
      <w:pPr>
        <w:spacing w:before="240" w:after="240" w:line="240" w:lineRule="auto"/>
        <w:jc w:val="both"/>
        <w:rPr>
          <w:rFonts w:asciiTheme="minorHAnsi" w:eastAsia="Calibri" w:hAnsiTheme="minorHAnsi" w:cstheme="minorHAnsi"/>
          <w:b/>
          <w:sz w:val="24"/>
          <w:szCs w:val="24"/>
          <w:lang w:val="en-US"/>
        </w:rPr>
      </w:pPr>
      <w:bookmarkStart w:id="0" w:name="_Hlk149650091"/>
      <w:r w:rsidRPr="0010584B">
        <w:rPr>
          <w:rFonts w:asciiTheme="minorHAnsi" w:eastAsia="Calibri" w:hAnsiTheme="minorHAnsi" w:cstheme="minorHAnsi"/>
          <w:b/>
          <w:sz w:val="24"/>
          <w:szCs w:val="24"/>
          <w:lang w:val="en-US"/>
        </w:rPr>
        <w:t>A Novel Radiomics Approach for Predicting TACE Outcomes in Hepatocellular Carcinoma Patients Using Deep Learning for Multi-organ Segmentation</w:t>
      </w:r>
    </w:p>
    <w:p w14:paraId="2BC8EAC8" w14:textId="77777777" w:rsidR="0010584B" w:rsidRPr="0010584B" w:rsidRDefault="0010584B" w:rsidP="0010584B">
      <w:pPr>
        <w:spacing w:before="240" w:after="240" w:line="240" w:lineRule="auto"/>
        <w:jc w:val="both"/>
        <w:rPr>
          <w:rFonts w:asciiTheme="minorHAnsi" w:eastAsia="Calibri" w:hAnsiTheme="minorHAnsi" w:cstheme="minorHAnsi"/>
          <w:b/>
          <w:sz w:val="24"/>
          <w:szCs w:val="24"/>
          <w:lang w:val="en-US"/>
        </w:rPr>
      </w:pPr>
    </w:p>
    <w:p w14:paraId="0431015F" w14:textId="60E5C8F4" w:rsidR="0010584B" w:rsidRPr="0010584B" w:rsidRDefault="0010584B" w:rsidP="0010584B">
      <w:pPr>
        <w:spacing w:before="240" w:after="240" w:line="240" w:lineRule="auto"/>
        <w:jc w:val="center"/>
        <w:rPr>
          <w:rFonts w:asciiTheme="minorHAnsi" w:eastAsia="Calibri" w:hAnsiTheme="minorHAnsi" w:cstheme="minorHAnsi"/>
          <w:b/>
          <w:sz w:val="24"/>
          <w:szCs w:val="24"/>
          <w:lang w:val="en-US"/>
        </w:rPr>
      </w:pPr>
      <w:r w:rsidRPr="0010584B">
        <w:rPr>
          <w:rFonts w:asciiTheme="minorHAnsi" w:eastAsia="Calibri" w:hAnsiTheme="minorHAnsi" w:cstheme="minorHAnsi"/>
          <w:b/>
          <w:sz w:val="24"/>
          <w:szCs w:val="24"/>
          <w:lang w:val="en-US"/>
        </w:rPr>
        <w:t>Supplementary Materials</w:t>
      </w:r>
    </w:p>
    <w:p w14:paraId="47D47153" w14:textId="77777777" w:rsidR="0010584B" w:rsidRPr="0010584B" w:rsidRDefault="0010584B" w:rsidP="0010584B">
      <w:pPr>
        <w:spacing w:before="240" w:after="240" w:line="240" w:lineRule="auto"/>
        <w:jc w:val="center"/>
        <w:rPr>
          <w:rFonts w:asciiTheme="minorHAnsi" w:eastAsia="Calibri" w:hAnsiTheme="minorHAnsi" w:cstheme="minorHAnsi"/>
          <w:b/>
          <w:sz w:val="24"/>
          <w:szCs w:val="24"/>
          <w:lang w:val="en-US"/>
        </w:rPr>
      </w:pPr>
    </w:p>
    <w:p w14:paraId="35295BBA" w14:textId="77777777" w:rsidR="0010584B" w:rsidRPr="0010584B" w:rsidRDefault="0010584B" w:rsidP="0010584B">
      <w:pPr>
        <w:spacing w:before="240" w:after="240" w:line="240" w:lineRule="auto"/>
        <w:jc w:val="both"/>
        <w:rPr>
          <w:rFonts w:asciiTheme="minorHAnsi" w:eastAsia="Calibri" w:hAnsiTheme="minorHAnsi" w:cstheme="minorHAnsi"/>
          <w:sz w:val="24"/>
          <w:szCs w:val="24"/>
          <w:vertAlign w:val="superscript"/>
          <w:lang w:val="en-US"/>
        </w:rPr>
      </w:pPr>
      <w:r w:rsidRPr="0010584B">
        <w:rPr>
          <w:rFonts w:asciiTheme="minorHAnsi" w:eastAsia="Calibri" w:hAnsiTheme="minorHAnsi" w:cstheme="minorHAnsi"/>
          <w:sz w:val="24"/>
          <w:szCs w:val="24"/>
          <w:lang w:val="en-US"/>
        </w:rPr>
        <w:t>Authors: Krzysztof Bartnik*</w:t>
      </w:r>
      <w:r w:rsidRPr="0010584B">
        <w:rPr>
          <w:rFonts w:asciiTheme="minorHAnsi" w:eastAsia="Calibri" w:hAnsiTheme="minorHAnsi" w:cstheme="minorHAnsi"/>
          <w:sz w:val="24"/>
          <w:szCs w:val="24"/>
          <w:vertAlign w:val="superscript"/>
          <w:lang w:val="en-US"/>
        </w:rPr>
        <w:t>1</w:t>
      </w:r>
      <w:r w:rsidRPr="0010584B">
        <w:rPr>
          <w:rFonts w:asciiTheme="minorHAnsi" w:eastAsia="Calibri" w:hAnsiTheme="minorHAnsi" w:cstheme="minorHAnsi"/>
          <w:sz w:val="24"/>
          <w:szCs w:val="24"/>
          <w:lang w:val="en-US"/>
        </w:rPr>
        <w:t>, Mateusz Krzyziński</w:t>
      </w:r>
      <w:r w:rsidRPr="0010584B">
        <w:rPr>
          <w:rFonts w:asciiTheme="minorHAnsi" w:eastAsia="Calibri" w:hAnsiTheme="minorHAnsi" w:cstheme="minorHAnsi"/>
          <w:sz w:val="24"/>
          <w:szCs w:val="24"/>
          <w:vertAlign w:val="superscript"/>
          <w:lang w:val="en-US"/>
        </w:rPr>
        <w:t>2</w:t>
      </w:r>
      <w:r w:rsidRPr="0010584B">
        <w:rPr>
          <w:rFonts w:asciiTheme="minorHAnsi" w:eastAsia="Calibri" w:hAnsiTheme="minorHAnsi" w:cstheme="minorHAnsi"/>
          <w:sz w:val="24"/>
          <w:szCs w:val="24"/>
          <w:lang w:val="en-US"/>
        </w:rPr>
        <w:t>, Tomasz Bartczak</w:t>
      </w:r>
      <w:r w:rsidRPr="0010584B">
        <w:rPr>
          <w:rFonts w:asciiTheme="minorHAnsi" w:eastAsia="Calibri" w:hAnsiTheme="minorHAnsi" w:cstheme="minorHAnsi"/>
          <w:sz w:val="24"/>
          <w:szCs w:val="24"/>
          <w:vertAlign w:val="superscript"/>
          <w:lang w:val="en-US"/>
        </w:rPr>
        <w:t>2</w:t>
      </w:r>
      <w:r w:rsidRPr="0010584B">
        <w:rPr>
          <w:rFonts w:asciiTheme="minorHAnsi" w:eastAsia="Calibri" w:hAnsiTheme="minorHAnsi" w:cstheme="minorHAnsi"/>
          <w:sz w:val="24"/>
          <w:szCs w:val="24"/>
          <w:lang w:val="en-US"/>
        </w:rPr>
        <w:t>, Krzysztof Korzeniowski</w:t>
      </w:r>
      <w:r w:rsidRPr="0010584B">
        <w:rPr>
          <w:rFonts w:asciiTheme="minorHAnsi" w:eastAsia="Calibri" w:hAnsiTheme="minorHAnsi" w:cstheme="minorHAnsi"/>
          <w:sz w:val="24"/>
          <w:szCs w:val="24"/>
          <w:vertAlign w:val="superscript"/>
          <w:lang w:val="en-US"/>
        </w:rPr>
        <w:t>1</w:t>
      </w:r>
      <w:r w:rsidRPr="0010584B">
        <w:rPr>
          <w:rFonts w:asciiTheme="minorHAnsi" w:eastAsia="Calibri" w:hAnsiTheme="minorHAnsi" w:cstheme="minorHAnsi"/>
          <w:sz w:val="24"/>
          <w:szCs w:val="24"/>
          <w:lang w:val="en-US"/>
        </w:rPr>
        <w:t>, Krzysztof Lamparski</w:t>
      </w:r>
      <w:r w:rsidRPr="0010584B">
        <w:rPr>
          <w:rFonts w:asciiTheme="minorHAnsi" w:eastAsia="Calibri" w:hAnsiTheme="minorHAnsi" w:cstheme="minorHAnsi"/>
          <w:sz w:val="24"/>
          <w:szCs w:val="24"/>
          <w:vertAlign w:val="superscript"/>
          <w:lang w:val="en-US"/>
        </w:rPr>
        <w:t>1</w:t>
      </w:r>
      <w:r w:rsidRPr="0010584B">
        <w:rPr>
          <w:rFonts w:asciiTheme="minorHAnsi" w:eastAsia="Calibri" w:hAnsiTheme="minorHAnsi" w:cstheme="minorHAnsi"/>
          <w:sz w:val="24"/>
          <w:szCs w:val="24"/>
          <w:lang w:val="en-US"/>
        </w:rPr>
        <w:t>, Tadeusz Wróblewski</w:t>
      </w:r>
      <w:r w:rsidRPr="0010584B">
        <w:rPr>
          <w:rFonts w:asciiTheme="minorHAnsi" w:eastAsia="Calibri" w:hAnsiTheme="minorHAnsi" w:cstheme="minorHAnsi"/>
          <w:sz w:val="24"/>
          <w:szCs w:val="24"/>
          <w:vertAlign w:val="superscript"/>
          <w:lang w:val="en-US"/>
        </w:rPr>
        <w:t>3</w:t>
      </w:r>
      <w:r w:rsidRPr="0010584B">
        <w:rPr>
          <w:rFonts w:asciiTheme="minorHAnsi" w:eastAsia="Calibri" w:hAnsiTheme="minorHAnsi" w:cstheme="minorHAnsi"/>
          <w:sz w:val="24"/>
          <w:szCs w:val="24"/>
          <w:lang w:val="en-US"/>
        </w:rPr>
        <w:t>, Michał Grąt</w:t>
      </w:r>
      <w:r w:rsidRPr="0010584B">
        <w:rPr>
          <w:rFonts w:asciiTheme="minorHAnsi" w:eastAsia="Calibri" w:hAnsiTheme="minorHAnsi" w:cstheme="minorHAnsi"/>
          <w:sz w:val="24"/>
          <w:szCs w:val="24"/>
          <w:vertAlign w:val="superscript"/>
          <w:lang w:val="en-US"/>
        </w:rPr>
        <w:t>3</w:t>
      </w:r>
      <w:r w:rsidRPr="0010584B">
        <w:rPr>
          <w:rFonts w:asciiTheme="minorHAnsi" w:eastAsia="Calibri" w:hAnsiTheme="minorHAnsi" w:cstheme="minorHAnsi"/>
          <w:sz w:val="24"/>
          <w:szCs w:val="24"/>
          <w:lang w:val="en-US"/>
        </w:rPr>
        <w:t>, Wacław Hołówko</w:t>
      </w:r>
      <w:r w:rsidRPr="0010584B">
        <w:rPr>
          <w:rFonts w:asciiTheme="minorHAnsi" w:eastAsia="Calibri" w:hAnsiTheme="minorHAnsi" w:cstheme="minorHAnsi"/>
          <w:sz w:val="24"/>
          <w:szCs w:val="24"/>
          <w:vertAlign w:val="superscript"/>
          <w:lang w:val="en-US"/>
        </w:rPr>
        <w:t>3</w:t>
      </w:r>
      <w:r w:rsidRPr="0010584B">
        <w:rPr>
          <w:rFonts w:asciiTheme="minorHAnsi" w:eastAsia="Calibri" w:hAnsiTheme="minorHAnsi" w:cstheme="minorHAnsi"/>
          <w:sz w:val="24"/>
          <w:szCs w:val="24"/>
          <w:lang w:val="en-US"/>
        </w:rPr>
        <w:t>, Katarzyna Mech</w:t>
      </w:r>
      <w:r w:rsidRPr="0010584B">
        <w:rPr>
          <w:rFonts w:asciiTheme="minorHAnsi" w:eastAsia="Calibri" w:hAnsiTheme="minorHAnsi" w:cstheme="minorHAnsi"/>
          <w:sz w:val="24"/>
          <w:szCs w:val="24"/>
          <w:vertAlign w:val="superscript"/>
          <w:lang w:val="en-US"/>
        </w:rPr>
        <w:t>4</w:t>
      </w:r>
      <w:r w:rsidRPr="0010584B">
        <w:rPr>
          <w:rFonts w:asciiTheme="minorHAnsi" w:eastAsia="Calibri" w:hAnsiTheme="minorHAnsi" w:cstheme="minorHAnsi"/>
          <w:sz w:val="24"/>
          <w:szCs w:val="24"/>
          <w:lang w:val="en-US"/>
        </w:rPr>
        <w:t>, Joanna Lisowska</w:t>
      </w:r>
      <w:r w:rsidRPr="0010584B">
        <w:rPr>
          <w:rFonts w:asciiTheme="minorHAnsi" w:eastAsia="Calibri" w:hAnsiTheme="minorHAnsi" w:cstheme="minorHAnsi"/>
          <w:sz w:val="24"/>
          <w:szCs w:val="24"/>
          <w:vertAlign w:val="superscript"/>
          <w:lang w:val="en-US"/>
        </w:rPr>
        <w:t>4</w:t>
      </w:r>
      <w:r w:rsidRPr="0010584B">
        <w:rPr>
          <w:rFonts w:asciiTheme="minorHAnsi" w:eastAsia="Calibri" w:hAnsiTheme="minorHAnsi" w:cstheme="minorHAnsi"/>
          <w:sz w:val="24"/>
          <w:szCs w:val="24"/>
          <w:lang w:val="en-US"/>
        </w:rPr>
        <w:t>, Magdalena Januszewicz</w:t>
      </w:r>
      <w:r w:rsidRPr="0010584B">
        <w:rPr>
          <w:rFonts w:asciiTheme="minorHAnsi" w:eastAsia="Calibri" w:hAnsiTheme="minorHAnsi" w:cstheme="minorHAnsi"/>
          <w:sz w:val="24"/>
          <w:szCs w:val="24"/>
          <w:vertAlign w:val="superscript"/>
          <w:lang w:val="en-US"/>
        </w:rPr>
        <w:t>1</w:t>
      </w:r>
      <w:r w:rsidRPr="0010584B">
        <w:rPr>
          <w:rFonts w:asciiTheme="minorHAnsi" w:eastAsia="Calibri" w:hAnsiTheme="minorHAnsi" w:cstheme="minorHAnsi"/>
          <w:sz w:val="24"/>
          <w:szCs w:val="24"/>
          <w:lang w:val="en-US"/>
        </w:rPr>
        <w:t>, Przemysław Biecek</w:t>
      </w:r>
      <w:r w:rsidRPr="0010584B">
        <w:rPr>
          <w:rFonts w:asciiTheme="minorHAnsi" w:eastAsia="Calibri" w:hAnsiTheme="minorHAnsi" w:cstheme="minorHAnsi"/>
          <w:sz w:val="24"/>
          <w:szCs w:val="24"/>
          <w:vertAlign w:val="superscript"/>
          <w:lang w:val="en-US"/>
        </w:rPr>
        <w:t>2</w:t>
      </w:r>
    </w:p>
    <w:p w14:paraId="0EB0D035" w14:textId="77777777" w:rsidR="0010584B" w:rsidRPr="0010584B" w:rsidRDefault="0010584B" w:rsidP="0010584B">
      <w:pPr>
        <w:numPr>
          <w:ilvl w:val="0"/>
          <w:numId w:val="1"/>
        </w:numPr>
        <w:spacing w:before="240" w:line="240" w:lineRule="auto"/>
        <w:ind w:left="720"/>
        <w:jc w:val="both"/>
        <w:rPr>
          <w:rFonts w:asciiTheme="minorHAnsi" w:eastAsia="Calibri" w:hAnsiTheme="minorHAnsi" w:cstheme="minorHAnsi"/>
          <w:sz w:val="24"/>
          <w:szCs w:val="24"/>
          <w:lang w:val="en-US"/>
        </w:rPr>
      </w:pPr>
      <w:r w:rsidRPr="0010584B">
        <w:rPr>
          <w:rFonts w:asciiTheme="minorHAnsi" w:eastAsia="Calibri" w:hAnsiTheme="minorHAnsi" w:cstheme="minorHAnsi"/>
          <w:sz w:val="24"/>
          <w:szCs w:val="24"/>
          <w:lang w:val="en-US"/>
        </w:rPr>
        <w:t>Second Department of Radiology, Medical University of Warsaw, Warsaw, Poland, Banacha 1a st.</w:t>
      </w:r>
    </w:p>
    <w:p w14:paraId="3030285E" w14:textId="77777777" w:rsidR="0010584B" w:rsidRPr="0010584B" w:rsidRDefault="0010584B" w:rsidP="0010584B">
      <w:pPr>
        <w:numPr>
          <w:ilvl w:val="0"/>
          <w:numId w:val="1"/>
        </w:numPr>
        <w:spacing w:line="240" w:lineRule="auto"/>
        <w:ind w:left="720"/>
        <w:jc w:val="both"/>
        <w:rPr>
          <w:rFonts w:asciiTheme="minorHAnsi" w:eastAsia="Calibri" w:hAnsiTheme="minorHAnsi" w:cstheme="minorHAnsi"/>
          <w:sz w:val="24"/>
          <w:szCs w:val="24"/>
          <w:lang w:val="en-US"/>
        </w:rPr>
      </w:pPr>
      <w:r w:rsidRPr="0010584B">
        <w:rPr>
          <w:rFonts w:asciiTheme="minorHAnsi" w:eastAsia="Calibri" w:hAnsiTheme="minorHAnsi" w:cstheme="minorHAnsi"/>
          <w:sz w:val="24"/>
          <w:szCs w:val="24"/>
          <w:lang w:val="en-US"/>
        </w:rPr>
        <w:t>Faculty of Mathematics and Information Science, Warsaw University of Technology, Warsaw, Poland, Koszykowa 75 st.</w:t>
      </w:r>
    </w:p>
    <w:p w14:paraId="428970F2" w14:textId="77777777" w:rsidR="0010584B" w:rsidRPr="0010584B" w:rsidRDefault="0010584B" w:rsidP="0010584B">
      <w:pPr>
        <w:numPr>
          <w:ilvl w:val="0"/>
          <w:numId w:val="1"/>
        </w:numPr>
        <w:spacing w:line="240" w:lineRule="auto"/>
        <w:ind w:left="720"/>
        <w:jc w:val="both"/>
        <w:rPr>
          <w:rFonts w:asciiTheme="minorHAnsi" w:hAnsiTheme="minorHAnsi" w:cstheme="minorHAnsi"/>
          <w:lang w:val="en-US"/>
        </w:rPr>
      </w:pPr>
      <w:r w:rsidRPr="0010584B">
        <w:rPr>
          <w:rFonts w:asciiTheme="minorHAnsi" w:eastAsia="Calibri" w:hAnsiTheme="minorHAnsi" w:cstheme="minorHAnsi"/>
          <w:sz w:val="24"/>
          <w:szCs w:val="24"/>
          <w:lang w:val="en-US"/>
        </w:rPr>
        <w:t>Department of General, Transplant and Liver Surgery, Medical University of Warsaw, Warsaw, Poland, Banacha 1a st.</w:t>
      </w:r>
    </w:p>
    <w:p w14:paraId="2DBEC2BD" w14:textId="77777777" w:rsidR="0010584B" w:rsidRPr="0010584B" w:rsidRDefault="0010584B" w:rsidP="0010584B">
      <w:pPr>
        <w:numPr>
          <w:ilvl w:val="0"/>
          <w:numId w:val="1"/>
        </w:numPr>
        <w:spacing w:after="240" w:line="240" w:lineRule="auto"/>
        <w:ind w:left="720"/>
        <w:jc w:val="both"/>
        <w:rPr>
          <w:rFonts w:asciiTheme="minorHAnsi" w:eastAsia="Calibri" w:hAnsiTheme="minorHAnsi" w:cstheme="minorHAnsi"/>
          <w:sz w:val="24"/>
          <w:szCs w:val="24"/>
          <w:lang w:val="en-US"/>
        </w:rPr>
      </w:pPr>
      <w:r w:rsidRPr="0010584B">
        <w:rPr>
          <w:rFonts w:asciiTheme="minorHAnsi" w:eastAsia="Calibri" w:hAnsiTheme="minorHAnsi" w:cstheme="minorHAnsi"/>
          <w:sz w:val="24"/>
          <w:szCs w:val="24"/>
          <w:lang w:val="en-US"/>
        </w:rPr>
        <w:t>Department of General, Gastroenterological and Oncological Surgery, Medical University of Warsaw, Warsaw, Poland, Banacha 1a st.</w:t>
      </w:r>
    </w:p>
    <w:p w14:paraId="0A41A9CD" w14:textId="77777777" w:rsidR="0010584B" w:rsidRPr="0010584B" w:rsidRDefault="0010584B" w:rsidP="0010584B">
      <w:pPr>
        <w:spacing w:after="240" w:line="240" w:lineRule="auto"/>
        <w:jc w:val="both"/>
        <w:rPr>
          <w:rFonts w:asciiTheme="minorHAnsi" w:eastAsia="Calibri" w:hAnsiTheme="minorHAnsi" w:cstheme="minorHAnsi"/>
          <w:sz w:val="24"/>
          <w:szCs w:val="24"/>
          <w:lang w:val="en-US"/>
        </w:rPr>
      </w:pPr>
      <w:r w:rsidRPr="0010584B">
        <w:rPr>
          <w:rFonts w:asciiTheme="minorHAnsi" w:eastAsia="Calibri" w:hAnsiTheme="minorHAnsi" w:cstheme="minorHAnsi"/>
          <w:sz w:val="24"/>
          <w:szCs w:val="24"/>
          <w:lang w:val="en-US"/>
        </w:rPr>
        <w:t xml:space="preserve">*Corresponding author: Krzysztof Bartnik MD, PhD, </w:t>
      </w:r>
      <w:hyperlink r:id="rId8" w:history="1">
        <w:r w:rsidRPr="0010584B">
          <w:rPr>
            <w:rStyle w:val="Hipercze"/>
            <w:rFonts w:asciiTheme="minorHAnsi" w:eastAsia="Calibri" w:hAnsiTheme="minorHAnsi" w:cstheme="minorHAnsi"/>
            <w:color w:val="000000" w:themeColor="text1"/>
            <w:sz w:val="24"/>
            <w:szCs w:val="24"/>
            <w:lang w:val="en-US"/>
          </w:rPr>
          <w:t>krzysztof.bartnik@wum.edu.pl</w:t>
        </w:r>
      </w:hyperlink>
      <w:r w:rsidRPr="0010584B">
        <w:rPr>
          <w:rFonts w:asciiTheme="minorHAnsi" w:eastAsia="Calibri" w:hAnsiTheme="minorHAnsi" w:cstheme="minorHAnsi"/>
          <w:sz w:val="24"/>
          <w:szCs w:val="24"/>
          <w:lang w:val="en-US"/>
        </w:rPr>
        <w:t>, cell phone: +48 606 745 140; Banacha 1a st, 02-097 Warsaw, Poland.</w:t>
      </w:r>
    </w:p>
    <w:bookmarkEnd w:id="0"/>
    <w:p w14:paraId="141BC87C" w14:textId="77777777" w:rsidR="0010584B" w:rsidRPr="0010584B" w:rsidRDefault="0010584B" w:rsidP="0010584B">
      <w:pPr>
        <w:spacing w:line="240" w:lineRule="auto"/>
        <w:rPr>
          <w:rFonts w:asciiTheme="minorHAnsi" w:eastAsia="Calibri" w:hAnsiTheme="minorHAnsi" w:cstheme="minorHAnsi"/>
          <w:bCs/>
          <w:sz w:val="24"/>
          <w:szCs w:val="24"/>
          <w:lang w:val="en-US"/>
        </w:rPr>
      </w:pPr>
      <w:r w:rsidRPr="0010584B">
        <w:rPr>
          <w:rFonts w:asciiTheme="minorHAnsi" w:eastAsia="Calibri" w:hAnsiTheme="minorHAnsi" w:cstheme="minorHAnsi"/>
          <w:b/>
          <w:sz w:val="24"/>
          <w:szCs w:val="24"/>
          <w:lang w:val="en-US"/>
        </w:rPr>
        <w:t xml:space="preserve">Short title: </w:t>
      </w:r>
      <w:r w:rsidRPr="0010584B">
        <w:rPr>
          <w:rFonts w:asciiTheme="minorHAnsi" w:eastAsia="Calibri" w:hAnsiTheme="minorHAnsi" w:cstheme="minorHAnsi"/>
          <w:bCs/>
          <w:sz w:val="24"/>
          <w:szCs w:val="24"/>
          <w:lang w:val="en-US"/>
        </w:rPr>
        <w:t>Multi-volume radiomics for TACE outcome prediction.</w:t>
      </w:r>
    </w:p>
    <w:p w14:paraId="08E6FA91" w14:textId="77777777" w:rsidR="0010584B" w:rsidRPr="0010584B" w:rsidRDefault="0010584B" w:rsidP="0010584B">
      <w:pPr>
        <w:spacing w:before="240" w:after="240" w:line="240" w:lineRule="auto"/>
        <w:jc w:val="both"/>
        <w:rPr>
          <w:rFonts w:asciiTheme="minorHAnsi" w:eastAsia="Calibri" w:hAnsiTheme="minorHAnsi" w:cstheme="minorHAnsi"/>
          <w:sz w:val="24"/>
          <w:szCs w:val="24"/>
          <w:lang w:val="en-US"/>
        </w:rPr>
      </w:pPr>
      <w:r w:rsidRPr="0010584B">
        <w:rPr>
          <w:rFonts w:asciiTheme="minorHAnsi" w:eastAsia="Calibri" w:hAnsiTheme="minorHAnsi" w:cstheme="minorHAnsi"/>
          <w:b/>
          <w:bCs/>
          <w:sz w:val="24"/>
          <w:szCs w:val="24"/>
          <w:lang w:val="en-US"/>
        </w:rPr>
        <w:t xml:space="preserve">Funding: </w:t>
      </w:r>
      <w:r w:rsidRPr="0010584B">
        <w:rPr>
          <w:rFonts w:asciiTheme="minorHAnsi" w:eastAsia="Calibri" w:hAnsiTheme="minorHAnsi" w:cstheme="minorHAnsi"/>
          <w:sz w:val="24"/>
          <w:szCs w:val="24"/>
          <w:lang w:val="en-US"/>
        </w:rPr>
        <w:t>This research was carried out with the support of the Laboratory of Bioinformatics and Computational Genomics and the High Performance Computing Center of the Faculty of Mathematics and Information Science Warsaw University of Technology.</w:t>
      </w:r>
    </w:p>
    <w:p w14:paraId="20274506" w14:textId="77777777" w:rsidR="0010584B" w:rsidRPr="0010584B" w:rsidRDefault="0010584B" w:rsidP="0010584B">
      <w:pPr>
        <w:spacing w:before="240" w:after="240" w:line="240" w:lineRule="auto"/>
        <w:jc w:val="both"/>
        <w:rPr>
          <w:rFonts w:asciiTheme="minorHAnsi" w:eastAsia="Calibri" w:hAnsiTheme="minorHAnsi" w:cstheme="minorHAnsi"/>
          <w:sz w:val="24"/>
          <w:szCs w:val="24"/>
          <w:lang w:val="en-US"/>
        </w:rPr>
      </w:pPr>
      <w:r w:rsidRPr="0010584B">
        <w:rPr>
          <w:rFonts w:asciiTheme="minorHAnsi" w:eastAsia="Calibri" w:hAnsiTheme="minorHAnsi" w:cstheme="minorHAnsi"/>
          <w:b/>
          <w:bCs/>
          <w:sz w:val="24"/>
          <w:szCs w:val="24"/>
          <w:lang w:val="en-US"/>
        </w:rPr>
        <w:t xml:space="preserve">Competing interests: </w:t>
      </w:r>
      <w:r w:rsidRPr="0010584B">
        <w:rPr>
          <w:rFonts w:asciiTheme="minorHAnsi" w:eastAsia="Calibri" w:hAnsiTheme="minorHAnsi" w:cstheme="minorHAnsi"/>
          <w:sz w:val="24"/>
          <w:szCs w:val="24"/>
          <w:lang w:val="en-US"/>
        </w:rPr>
        <w:t>The authors declare no competing interests.</w:t>
      </w:r>
    </w:p>
    <w:p w14:paraId="457615D2" w14:textId="77777777" w:rsidR="0010584B" w:rsidRDefault="0010584B" w:rsidP="0010584B">
      <w:pPr>
        <w:spacing w:before="240" w:after="240" w:line="240" w:lineRule="auto"/>
        <w:jc w:val="both"/>
        <w:rPr>
          <w:rFonts w:asciiTheme="minorHAnsi" w:eastAsia="Calibri" w:hAnsiTheme="minorHAnsi" w:cstheme="minorHAnsi"/>
          <w:b/>
          <w:bCs/>
          <w:sz w:val="24"/>
          <w:szCs w:val="24"/>
          <w:lang w:val="en-US"/>
        </w:rPr>
      </w:pPr>
    </w:p>
    <w:p w14:paraId="2AB3F65C" w14:textId="77777777" w:rsidR="007D130C" w:rsidRDefault="007D130C" w:rsidP="0010584B">
      <w:pPr>
        <w:spacing w:before="240" w:after="240" w:line="240" w:lineRule="auto"/>
        <w:jc w:val="both"/>
        <w:rPr>
          <w:rFonts w:asciiTheme="minorHAnsi" w:eastAsia="Calibri" w:hAnsiTheme="minorHAnsi" w:cstheme="minorHAnsi"/>
          <w:b/>
          <w:bCs/>
          <w:sz w:val="24"/>
          <w:szCs w:val="24"/>
          <w:lang w:val="en-US"/>
        </w:rPr>
      </w:pPr>
    </w:p>
    <w:p w14:paraId="4DECB234" w14:textId="77777777" w:rsidR="007D130C" w:rsidRPr="0010584B" w:rsidRDefault="007D130C" w:rsidP="0010584B">
      <w:pPr>
        <w:spacing w:before="240" w:after="240" w:line="240" w:lineRule="auto"/>
        <w:jc w:val="both"/>
        <w:rPr>
          <w:rFonts w:asciiTheme="minorHAnsi" w:eastAsia="Calibri" w:hAnsiTheme="minorHAnsi" w:cstheme="minorHAnsi"/>
          <w:b/>
          <w:bCs/>
          <w:sz w:val="24"/>
          <w:szCs w:val="24"/>
          <w:lang w:val="en-US"/>
        </w:rPr>
      </w:pPr>
    </w:p>
    <w:sdt>
      <w:sdtPr>
        <w:rPr>
          <w:lang w:val="en-US"/>
        </w:rPr>
        <w:id w:val="1806271376"/>
        <w:docPartObj>
          <w:docPartGallery w:val="Table of Contents"/>
          <w:docPartUnique/>
        </w:docPartObj>
      </w:sdtPr>
      <w:sdtEndPr>
        <w:rPr>
          <w:rFonts w:ascii="Arial" w:eastAsia="Arial" w:hAnsi="Arial" w:cs="Arial"/>
          <w:b/>
          <w:bCs/>
          <w:color w:val="auto"/>
          <w:sz w:val="22"/>
          <w:szCs w:val="22"/>
        </w:rPr>
      </w:sdtEndPr>
      <w:sdtContent>
        <w:p w14:paraId="1680328D" w14:textId="2431BC46" w:rsidR="0010584B" w:rsidRPr="0010584B" w:rsidRDefault="0010584B">
          <w:pPr>
            <w:pStyle w:val="Nagwekspisutreci"/>
            <w:rPr>
              <w:lang w:val="en-US"/>
            </w:rPr>
          </w:pPr>
          <w:r w:rsidRPr="0010584B">
            <w:rPr>
              <w:lang w:val="en-US"/>
            </w:rPr>
            <w:t>Contents</w:t>
          </w:r>
        </w:p>
        <w:p w14:paraId="35BACA82" w14:textId="74B2DE67" w:rsidR="0010584B" w:rsidRPr="0010584B" w:rsidRDefault="0010584B">
          <w:pPr>
            <w:pStyle w:val="Spistreci1"/>
            <w:tabs>
              <w:tab w:val="right" w:leader="dot" w:pos="9062"/>
            </w:tabs>
            <w:rPr>
              <w:rFonts w:cstheme="minorBidi"/>
              <w:noProof/>
              <w:kern w:val="2"/>
              <w:lang w:val="en-US"/>
              <w14:ligatures w14:val="standardContextual"/>
            </w:rPr>
          </w:pPr>
          <w:r w:rsidRPr="0010584B">
            <w:rPr>
              <w:lang w:val="en-US"/>
            </w:rPr>
            <w:fldChar w:fldCharType="begin"/>
          </w:r>
          <w:r w:rsidRPr="0010584B">
            <w:rPr>
              <w:lang w:val="en-US"/>
            </w:rPr>
            <w:instrText xml:space="preserve"> TOC \o "1-3" \h \z \u </w:instrText>
          </w:r>
          <w:r w:rsidRPr="0010584B">
            <w:rPr>
              <w:lang w:val="en-US"/>
            </w:rPr>
            <w:fldChar w:fldCharType="separate"/>
          </w:r>
          <w:hyperlink w:anchor="_Toc150762479" w:history="1">
            <w:r w:rsidRPr="0010584B">
              <w:rPr>
                <w:rStyle w:val="Hipercze"/>
                <w:rFonts w:cstheme="minorHAnsi"/>
                <w:b/>
                <w:bCs/>
                <w:noProof/>
                <w:lang w:val="en-US"/>
              </w:rPr>
              <w:t xml:space="preserve">Supplementary Table S1. </w:t>
            </w:r>
            <w:r w:rsidRPr="0010584B">
              <w:rPr>
                <w:rStyle w:val="Hipercze"/>
                <w:rFonts w:cstheme="minorHAnsi"/>
                <w:noProof/>
                <w:lang w:val="en-US"/>
              </w:rPr>
              <w:t>Patients’ inclusion and exclusion criteria.</w:t>
            </w:r>
            <w:r w:rsidRPr="0010584B">
              <w:rPr>
                <w:noProof/>
                <w:webHidden/>
                <w:lang w:val="en-US"/>
              </w:rPr>
              <w:tab/>
            </w:r>
            <w:r w:rsidRPr="0010584B">
              <w:rPr>
                <w:noProof/>
                <w:webHidden/>
                <w:lang w:val="en-US"/>
              </w:rPr>
              <w:fldChar w:fldCharType="begin"/>
            </w:r>
            <w:r w:rsidRPr="0010584B">
              <w:rPr>
                <w:noProof/>
                <w:webHidden/>
                <w:lang w:val="en-US"/>
              </w:rPr>
              <w:instrText xml:space="preserve"> PAGEREF _Toc150762479 \h </w:instrText>
            </w:r>
            <w:r w:rsidRPr="0010584B">
              <w:rPr>
                <w:noProof/>
                <w:webHidden/>
                <w:lang w:val="en-US"/>
              </w:rPr>
            </w:r>
            <w:r w:rsidRPr="0010584B">
              <w:rPr>
                <w:noProof/>
                <w:webHidden/>
                <w:lang w:val="en-US"/>
              </w:rPr>
              <w:fldChar w:fldCharType="separate"/>
            </w:r>
            <w:r w:rsidRPr="0010584B">
              <w:rPr>
                <w:noProof/>
                <w:webHidden/>
                <w:lang w:val="en-US"/>
              </w:rPr>
              <w:t>2</w:t>
            </w:r>
            <w:r w:rsidRPr="0010584B">
              <w:rPr>
                <w:noProof/>
                <w:webHidden/>
                <w:lang w:val="en-US"/>
              </w:rPr>
              <w:fldChar w:fldCharType="end"/>
            </w:r>
          </w:hyperlink>
        </w:p>
        <w:p w14:paraId="59F7A408" w14:textId="5D7A4431" w:rsidR="0010584B" w:rsidRPr="0010584B" w:rsidRDefault="0010584B">
          <w:pPr>
            <w:pStyle w:val="Spistreci1"/>
            <w:tabs>
              <w:tab w:val="right" w:leader="dot" w:pos="9062"/>
            </w:tabs>
            <w:rPr>
              <w:rFonts w:cstheme="minorBidi"/>
              <w:noProof/>
              <w:kern w:val="2"/>
              <w:lang w:val="en-US"/>
              <w14:ligatures w14:val="standardContextual"/>
            </w:rPr>
          </w:pPr>
          <w:hyperlink w:anchor="_Toc150762480" w:history="1">
            <w:r w:rsidRPr="0010584B">
              <w:rPr>
                <w:rStyle w:val="Hipercze"/>
                <w:rFonts w:cstheme="minorHAnsi"/>
                <w:b/>
                <w:bCs/>
                <w:noProof/>
                <w:lang w:val="en-US"/>
              </w:rPr>
              <w:t xml:space="preserve">Supplementary Table S2. </w:t>
            </w:r>
            <w:r w:rsidRPr="0010584B">
              <w:rPr>
                <w:rStyle w:val="Hipercze"/>
                <w:rFonts w:cstheme="minorHAnsi"/>
                <w:noProof/>
                <w:lang w:val="en-US"/>
              </w:rPr>
              <w:t>Summary of evaluated clinical variables and extracted radiomics features.</w:t>
            </w:r>
            <w:r w:rsidRPr="0010584B">
              <w:rPr>
                <w:noProof/>
                <w:webHidden/>
                <w:lang w:val="en-US"/>
              </w:rPr>
              <w:tab/>
            </w:r>
            <w:r w:rsidRPr="0010584B">
              <w:rPr>
                <w:noProof/>
                <w:webHidden/>
                <w:lang w:val="en-US"/>
              </w:rPr>
              <w:fldChar w:fldCharType="begin"/>
            </w:r>
            <w:r w:rsidRPr="0010584B">
              <w:rPr>
                <w:noProof/>
                <w:webHidden/>
                <w:lang w:val="en-US"/>
              </w:rPr>
              <w:instrText xml:space="preserve"> PAGEREF _Toc150762480 \h </w:instrText>
            </w:r>
            <w:r w:rsidRPr="0010584B">
              <w:rPr>
                <w:noProof/>
                <w:webHidden/>
                <w:lang w:val="en-US"/>
              </w:rPr>
            </w:r>
            <w:r w:rsidRPr="0010584B">
              <w:rPr>
                <w:noProof/>
                <w:webHidden/>
                <w:lang w:val="en-US"/>
              </w:rPr>
              <w:fldChar w:fldCharType="separate"/>
            </w:r>
            <w:r w:rsidRPr="0010584B">
              <w:rPr>
                <w:noProof/>
                <w:webHidden/>
                <w:lang w:val="en-US"/>
              </w:rPr>
              <w:t>3</w:t>
            </w:r>
            <w:r w:rsidRPr="0010584B">
              <w:rPr>
                <w:noProof/>
                <w:webHidden/>
                <w:lang w:val="en-US"/>
              </w:rPr>
              <w:fldChar w:fldCharType="end"/>
            </w:r>
          </w:hyperlink>
        </w:p>
        <w:p w14:paraId="0C5CB9B3" w14:textId="30852B16" w:rsidR="0010584B" w:rsidRPr="0010584B" w:rsidRDefault="0010584B">
          <w:pPr>
            <w:pStyle w:val="Spistreci1"/>
            <w:tabs>
              <w:tab w:val="right" w:leader="dot" w:pos="9062"/>
            </w:tabs>
            <w:rPr>
              <w:rFonts w:cstheme="minorBidi"/>
              <w:noProof/>
              <w:kern w:val="2"/>
              <w:lang w:val="en-US"/>
              <w14:ligatures w14:val="standardContextual"/>
            </w:rPr>
          </w:pPr>
          <w:hyperlink w:anchor="_Toc150762481" w:history="1">
            <w:r w:rsidRPr="0010584B">
              <w:rPr>
                <w:rStyle w:val="Hipercze"/>
                <w:rFonts w:cstheme="minorHAnsi"/>
                <w:b/>
                <w:bCs/>
                <w:noProof/>
                <w:lang w:val="en-US"/>
              </w:rPr>
              <w:t xml:space="preserve">Supplementary Table S3. </w:t>
            </w:r>
            <w:r w:rsidRPr="0010584B">
              <w:rPr>
                <w:rStyle w:val="Hipercze"/>
                <w:rFonts w:cstheme="minorHAnsi"/>
                <w:noProof/>
                <w:lang w:val="en-US"/>
              </w:rPr>
              <w:t>Details of computed tomography phase acquisition and scanners.</w:t>
            </w:r>
            <w:r w:rsidRPr="0010584B">
              <w:rPr>
                <w:noProof/>
                <w:webHidden/>
                <w:lang w:val="en-US"/>
              </w:rPr>
              <w:tab/>
            </w:r>
            <w:r w:rsidRPr="0010584B">
              <w:rPr>
                <w:noProof/>
                <w:webHidden/>
                <w:lang w:val="en-US"/>
              </w:rPr>
              <w:fldChar w:fldCharType="begin"/>
            </w:r>
            <w:r w:rsidRPr="0010584B">
              <w:rPr>
                <w:noProof/>
                <w:webHidden/>
                <w:lang w:val="en-US"/>
              </w:rPr>
              <w:instrText xml:space="preserve"> PAGEREF _Toc150762481 \h </w:instrText>
            </w:r>
            <w:r w:rsidRPr="0010584B">
              <w:rPr>
                <w:noProof/>
                <w:webHidden/>
                <w:lang w:val="en-US"/>
              </w:rPr>
            </w:r>
            <w:r w:rsidRPr="0010584B">
              <w:rPr>
                <w:noProof/>
                <w:webHidden/>
                <w:lang w:val="en-US"/>
              </w:rPr>
              <w:fldChar w:fldCharType="separate"/>
            </w:r>
            <w:r w:rsidRPr="0010584B">
              <w:rPr>
                <w:noProof/>
                <w:webHidden/>
                <w:lang w:val="en-US"/>
              </w:rPr>
              <w:t>4</w:t>
            </w:r>
            <w:r w:rsidRPr="0010584B">
              <w:rPr>
                <w:noProof/>
                <w:webHidden/>
                <w:lang w:val="en-US"/>
              </w:rPr>
              <w:fldChar w:fldCharType="end"/>
            </w:r>
          </w:hyperlink>
        </w:p>
        <w:p w14:paraId="4F1FFD93" w14:textId="7FD2CAE6" w:rsidR="0010584B" w:rsidRPr="0010584B" w:rsidRDefault="0010584B">
          <w:pPr>
            <w:rPr>
              <w:lang w:val="en-US"/>
            </w:rPr>
          </w:pPr>
          <w:r w:rsidRPr="0010584B">
            <w:rPr>
              <w:b/>
              <w:bCs/>
              <w:lang w:val="en-US"/>
            </w:rPr>
            <w:fldChar w:fldCharType="end"/>
          </w:r>
        </w:p>
      </w:sdtContent>
    </w:sdt>
    <w:p w14:paraId="4FB40065" w14:textId="30B3DC5D" w:rsidR="0010584B" w:rsidRPr="0010584B" w:rsidRDefault="0010584B">
      <w:pPr>
        <w:spacing w:after="160" w:line="259" w:lineRule="auto"/>
        <w:rPr>
          <w:rFonts w:asciiTheme="minorHAnsi" w:hAnsiTheme="minorHAnsi" w:cstheme="minorHAnsi"/>
          <w:b/>
          <w:bCs/>
          <w:lang w:val="en-US"/>
        </w:rPr>
      </w:pPr>
      <w:r w:rsidRPr="0010584B">
        <w:rPr>
          <w:rFonts w:asciiTheme="minorHAnsi" w:hAnsiTheme="minorHAnsi" w:cstheme="minorHAnsi"/>
          <w:b/>
          <w:bCs/>
          <w:lang w:val="en-US"/>
        </w:rPr>
        <w:br w:type="page"/>
      </w:r>
    </w:p>
    <w:p w14:paraId="45F9E07C" w14:textId="4D09757C" w:rsidR="009E0F6B" w:rsidRPr="0010584B" w:rsidRDefault="00673E58" w:rsidP="0010584B">
      <w:pPr>
        <w:pStyle w:val="Nagwek1"/>
        <w:rPr>
          <w:rFonts w:asciiTheme="minorHAnsi" w:hAnsiTheme="minorHAnsi" w:cstheme="minorHAnsi"/>
          <w:lang w:val="en-US"/>
        </w:rPr>
      </w:pPr>
      <w:bookmarkStart w:id="1" w:name="_Toc150762479"/>
      <w:r w:rsidRPr="0010584B">
        <w:rPr>
          <w:rFonts w:asciiTheme="minorHAnsi" w:hAnsiTheme="minorHAnsi" w:cstheme="minorHAnsi"/>
          <w:b/>
          <w:bCs/>
          <w:lang w:val="en-US"/>
        </w:rPr>
        <w:lastRenderedPageBreak/>
        <w:t>Sup</w:t>
      </w:r>
      <w:r w:rsidR="001A447A" w:rsidRPr="0010584B">
        <w:rPr>
          <w:rFonts w:asciiTheme="minorHAnsi" w:hAnsiTheme="minorHAnsi" w:cstheme="minorHAnsi"/>
          <w:b/>
          <w:bCs/>
          <w:lang w:val="en-US"/>
        </w:rPr>
        <w:t>plementary</w:t>
      </w:r>
      <w:r w:rsidRPr="0010584B">
        <w:rPr>
          <w:rFonts w:asciiTheme="minorHAnsi" w:hAnsiTheme="minorHAnsi" w:cstheme="minorHAnsi"/>
          <w:b/>
          <w:bCs/>
          <w:lang w:val="en-US"/>
        </w:rPr>
        <w:t xml:space="preserve"> Table </w:t>
      </w:r>
      <w:r w:rsidR="0010584B" w:rsidRPr="0010584B">
        <w:rPr>
          <w:rFonts w:asciiTheme="minorHAnsi" w:hAnsiTheme="minorHAnsi" w:cstheme="minorHAnsi"/>
          <w:b/>
          <w:bCs/>
          <w:lang w:val="en-US"/>
        </w:rPr>
        <w:t>S</w:t>
      </w:r>
      <w:r w:rsidRPr="0010584B">
        <w:rPr>
          <w:rFonts w:asciiTheme="minorHAnsi" w:hAnsiTheme="minorHAnsi" w:cstheme="minorHAnsi"/>
          <w:b/>
          <w:bCs/>
          <w:lang w:val="en-US"/>
        </w:rPr>
        <w:t xml:space="preserve">1. </w:t>
      </w:r>
      <w:r w:rsidR="00336C49" w:rsidRPr="0010584B">
        <w:rPr>
          <w:rFonts w:asciiTheme="minorHAnsi" w:hAnsiTheme="minorHAnsi" w:cstheme="minorHAnsi"/>
          <w:lang w:val="en-US"/>
        </w:rPr>
        <w:t>Patients’ i</w:t>
      </w:r>
      <w:r w:rsidRPr="0010584B">
        <w:rPr>
          <w:rFonts w:asciiTheme="minorHAnsi" w:hAnsiTheme="minorHAnsi" w:cstheme="minorHAnsi"/>
          <w:lang w:val="en-US"/>
        </w:rPr>
        <w:t>nclusion and exclusion criteria.</w:t>
      </w:r>
      <w:bookmarkEnd w:id="1"/>
    </w:p>
    <w:p w14:paraId="5FAF865A" w14:textId="77777777" w:rsidR="00673E58" w:rsidRPr="0010584B" w:rsidRDefault="00673E58" w:rsidP="00673E58">
      <w:pPr>
        <w:rPr>
          <w:rFonts w:asciiTheme="minorHAnsi" w:hAnsiTheme="minorHAnsi" w:cstheme="minorHAnsi"/>
          <w:lang w:val="en-US"/>
        </w:rPr>
      </w:pPr>
    </w:p>
    <w:tbl>
      <w:tblPr>
        <w:tblW w:w="0" w:type="auto"/>
        <w:tblCellMar>
          <w:left w:w="70" w:type="dxa"/>
          <w:right w:w="70" w:type="dxa"/>
        </w:tblCellMar>
        <w:tblLook w:val="04A0" w:firstRow="1" w:lastRow="0" w:firstColumn="1" w:lastColumn="0" w:noHBand="0" w:noVBand="1"/>
      </w:tblPr>
      <w:tblGrid>
        <w:gridCol w:w="3660"/>
        <w:gridCol w:w="5412"/>
      </w:tblGrid>
      <w:tr w:rsidR="00673E58" w:rsidRPr="0010584B" w14:paraId="4C5143D5" w14:textId="77777777" w:rsidTr="00336C49">
        <w:trPr>
          <w:trHeight w:val="300"/>
        </w:trPr>
        <w:tc>
          <w:tcPr>
            <w:tcW w:w="3683" w:type="dxa"/>
            <w:tcBorders>
              <w:top w:val="single" w:sz="4" w:space="0" w:color="auto"/>
              <w:bottom w:val="single" w:sz="4" w:space="0" w:color="auto"/>
            </w:tcBorders>
            <w:shd w:val="clear" w:color="000000" w:fill="FFFFFF"/>
            <w:hideMark/>
          </w:tcPr>
          <w:p w14:paraId="410B954A" w14:textId="77777777" w:rsidR="00673E58" w:rsidRPr="0010584B" w:rsidRDefault="00673E58" w:rsidP="00336C49">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Inclusion Criteria</w:t>
            </w:r>
          </w:p>
        </w:tc>
        <w:tc>
          <w:tcPr>
            <w:tcW w:w="5389" w:type="dxa"/>
            <w:tcBorders>
              <w:top w:val="single" w:sz="4" w:space="0" w:color="auto"/>
              <w:bottom w:val="single" w:sz="4" w:space="0" w:color="auto"/>
            </w:tcBorders>
            <w:shd w:val="clear" w:color="000000" w:fill="FFFFFF"/>
            <w:hideMark/>
          </w:tcPr>
          <w:p w14:paraId="746B1D55" w14:textId="77777777" w:rsidR="00673E58" w:rsidRPr="0010584B" w:rsidRDefault="00673E58" w:rsidP="00336C49">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Exclusion Criteria</w:t>
            </w:r>
          </w:p>
        </w:tc>
      </w:tr>
      <w:tr w:rsidR="00673E58" w:rsidRPr="0010584B" w14:paraId="1D2805D2" w14:textId="77777777" w:rsidTr="00336C49">
        <w:trPr>
          <w:trHeight w:val="665"/>
        </w:trPr>
        <w:tc>
          <w:tcPr>
            <w:tcW w:w="0" w:type="auto"/>
            <w:tcBorders>
              <w:top w:val="single" w:sz="4" w:space="0" w:color="auto"/>
            </w:tcBorders>
            <w:shd w:val="clear" w:color="000000" w:fill="FFFFFF"/>
            <w:hideMark/>
          </w:tcPr>
          <w:p w14:paraId="64A42941" w14:textId="77777777" w:rsidR="00673E58" w:rsidRPr="0010584B" w:rsidRDefault="00673E58" w:rsidP="00336C49">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1) Patients with at least one confirmed HCC lesion</w:t>
            </w:r>
          </w:p>
        </w:tc>
        <w:tc>
          <w:tcPr>
            <w:tcW w:w="0" w:type="auto"/>
            <w:tcBorders>
              <w:top w:val="single" w:sz="4" w:space="0" w:color="auto"/>
            </w:tcBorders>
            <w:shd w:val="clear" w:color="000000" w:fill="FFFFFF"/>
            <w:hideMark/>
          </w:tcPr>
          <w:p w14:paraId="08CF8B84" w14:textId="77777777" w:rsidR="00673E58" w:rsidRPr="0010584B" w:rsidRDefault="00673E58" w:rsidP="00336C49">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1) Patients who underwent liver transplantation, resection, or ablation before inclusion or during follow-up period</w:t>
            </w:r>
          </w:p>
        </w:tc>
      </w:tr>
      <w:tr w:rsidR="00673E58" w:rsidRPr="0010584B" w14:paraId="2994AE92" w14:textId="77777777" w:rsidTr="00336C49">
        <w:trPr>
          <w:trHeight w:val="550"/>
        </w:trPr>
        <w:tc>
          <w:tcPr>
            <w:tcW w:w="0" w:type="auto"/>
            <w:shd w:val="clear" w:color="000000" w:fill="FFFFFF"/>
            <w:hideMark/>
          </w:tcPr>
          <w:p w14:paraId="23740BFA" w14:textId="77777777" w:rsidR="00673E58" w:rsidRPr="0010584B" w:rsidRDefault="00673E58" w:rsidP="00336C49">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2) Patients undergoing TACE</w:t>
            </w:r>
          </w:p>
        </w:tc>
        <w:tc>
          <w:tcPr>
            <w:tcW w:w="0" w:type="auto"/>
            <w:shd w:val="clear" w:color="000000" w:fill="FFFFFF"/>
            <w:hideMark/>
          </w:tcPr>
          <w:p w14:paraId="35FC429F" w14:textId="77777777" w:rsidR="00673E58" w:rsidRPr="0010584B" w:rsidRDefault="00673E58" w:rsidP="00336C49">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2) Patients with a history of malignant neoplasm other than HCC</w:t>
            </w:r>
          </w:p>
        </w:tc>
      </w:tr>
      <w:tr w:rsidR="00673E58" w:rsidRPr="0010584B" w14:paraId="57ABF477" w14:textId="77777777" w:rsidTr="00336C49">
        <w:trPr>
          <w:trHeight w:val="595"/>
        </w:trPr>
        <w:tc>
          <w:tcPr>
            <w:tcW w:w="0" w:type="auto"/>
            <w:shd w:val="clear" w:color="000000" w:fill="FFFFFF"/>
            <w:hideMark/>
          </w:tcPr>
          <w:p w14:paraId="47F9E497" w14:textId="77777777" w:rsidR="00673E58" w:rsidRPr="0010584B" w:rsidRDefault="00673E58" w:rsidP="00336C49">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3) Patients with good liver function (CPS A or B)</w:t>
            </w:r>
          </w:p>
        </w:tc>
        <w:tc>
          <w:tcPr>
            <w:tcW w:w="0" w:type="auto"/>
            <w:shd w:val="clear" w:color="000000" w:fill="FFFFFF"/>
            <w:hideMark/>
          </w:tcPr>
          <w:p w14:paraId="58C34E9E" w14:textId="77777777" w:rsidR="00673E58" w:rsidRPr="0010584B" w:rsidRDefault="00673E58" w:rsidP="00336C49">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3) Patients with uncontrolled functional or metabolic disease prior to the procedure or during follow-up period</w:t>
            </w:r>
          </w:p>
        </w:tc>
      </w:tr>
      <w:tr w:rsidR="00673E58" w:rsidRPr="0010584B" w14:paraId="051054BA" w14:textId="77777777" w:rsidTr="00336C49">
        <w:trPr>
          <w:trHeight w:val="1090"/>
        </w:trPr>
        <w:tc>
          <w:tcPr>
            <w:tcW w:w="0" w:type="auto"/>
            <w:shd w:val="clear" w:color="000000" w:fill="FFFFFF"/>
            <w:hideMark/>
          </w:tcPr>
          <w:p w14:paraId="7ACE56BD" w14:textId="77777777" w:rsidR="00673E58" w:rsidRPr="0010584B" w:rsidRDefault="00673E58" w:rsidP="00336C49">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4) Patients with available multiphase CT within 90 days before TACE session</w:t>
            </w:r>
          </w:p>
        </w:tc>
        <w:tc>
          <w:tcPr>
            <w:tcW w:w="0" w:type="auto"/>
            <w:shd w:val="clear" w:color="000000" w:fill="FFFFFF"/>
            <w:noWrap/>
            <w:hideMark/>
          </w:tcPr>
          <w:p w14:paraId="58E284DF" w14:textId="77777777" w:rsidR="00673E58" w:rsidRPr="0010584B" w:rsidRDefault="00673E58" w:rsidP="00336C49">
            <w:pPr>
              <w:spacing w:line="240" w:lineRule="auto"/>
              <w:rPr>
                <w:rFonts w:asciiTheme="minorHAnsi" w:eastAsia="Times New Roman" w:hAnsiTheme="minorHAnsi" w:cstheme="minorHAnsi"/>
                <w:color w:val="000000"/>
                <w:lang w:val="en-US"/>
              </w:rPr>
            </w:pPr>
            <w:r w:rsidRPr="0010584B">
              <w:rPr>
                <w:rFonts w:asciiTheme="minorHAnsi" w:eastAsia="Times New Roman" w:hAnsiTheme="minorHAnsi" w:cstheme="minorHAnsi"/>
                <w:color w:val="000000"/>
                <w:lang w:val="en-US"/>
              </w:rPr>
              <w:t> </w:t>
            </w:r>
          </w:p>
        </w:tc>
      </w:tr>
    </w:tbl>
    <w:p w14:paraId="5E8F24C2" w14:textId="77777777" w:rsidR="00673E58" w:rsidRPr="0010584B" w:rsidRDefault="00673E58" w:rsidP="00673E58">
      <w:pPr>
        <w:rPr>
          <w:rFonts w:asciiTheme="minorHAnsi" w:hAnsiTheme="minorHAnsi" w:cstheme="minorHAnsi"/>
          <w:lang w:val="en-US"/>
        </w:rPr>
      </w:pPr>
    </w:p>
    <w:p w14:paraId="10EF2282" w14:textId="694926CD" w:rsidR="00AA5AAC" w:rsidRPr="0010584B" w:rsidRDefault="00AA5AAC" w:rsidP="00673E58">
      <w:pPr>
        <w:rPr>
          <w:rFonts w:asciiTheme="minorHAnsi" w:hAnsiTheme="minorHAnsi" w:cstheme="minorHAnsi"/>
          <w:lang w:val="en-US"/>
        </w:rPr>
      </w:pPr>
      <w:r w:rsidRPr="0010584B">
        <w:rPr>
          <w:rFonts w:asciiTheme="minorHAnsi" w:hAnsiTheme="minorHAnsi" w:cstheme="minorHAnsi"/>
          <w:lang w:val="en-US"/>
        </w:rPr>
        <w:br/>
      </w:r>
    </w:p>
    <w:p w14:paraId="142B8057" w14:textId="77777777" w:rsidR="0010584B" w:rsidRPr="0010584B" w:rsidRDefault="0010584B">
      <w:pPr>
        <w:spacing w:after="160" w:line="259" w:lineRule="auto"/>
        <w:rPr>
          <w:rFonts w:asciiTheme="minorHAnsi" w:hAnsiTheme="minorHAnsi" w:cstheme="minorHAnsi"/>
          <w:lang w:val="en-US"/>
        </w:rPr>
      </w:pPr>
      <w:r w:rsidRPr="0010584B">
        <w:rPr>
          <w:rFonts w:asciiTheme="minorHAnsi" w:hAnsiTheme="minorHAnsi" w:cstheme="minorHAnsi"/>
          <w:lang w:val="en-US"/>
        </w:rPr>
        <w:br w:type="page"/>
      </w:r>
    </w:p>
    <w:p w14:paraId="508DB06F" w14:textId="7EECFECC" w:rsidR="00941483" w:rsidRPr="0010584B" w:rsidRDefault="001A447A" w:rsidP="0010584B">
      <w:pPr>
        <w:pStyle w:val="Nagwek1"/>
        <w:rPr>
          <w:rFonts w:asciiTheme="minorHAnsi" w:hAnsiTheme="minorHAnsi" w:cstheme="minorHAnsi"/>
          <w:lang w:val="en-US"/>
        </w:rPr>
      </w:pPr>
      <w:bookmarkStart w:id="2" w:name="_Toc150762480"/>
      <w:r w:rsidRPr="0010584B">
        <w:rPr>
          <w:rFonts w:asciiTheme="minorHAnsi" w:hAnsiTheme="minorHAnsi" w:cstheme="minorHAnsi"/>
          <w:b/>
          <w:bCs/>
          <w:lang w:val="en-US"/>
        </w:rPr>
        <w:lastRenderedPageBreak/>
        <w:t>Supplementary</w:t>
      </w:r>
      <w:r w:rsidR="00941483" w:rsidRPr="0010584B">
        <w:rPr>
          <w:rFonts w:asciiTheme="minorHAnsi" w:hAnsiTheme="minorHAnsi" w:cstheme="minorHAnsi"/>
          <w:b/>
          <w:bCs/>
          <w:lang w:val="en-US"/>
        </w:rPr>
        <w:t xml:space="preserve"> Table </w:t>
      </w:r>
      <w:r w:rsidR="0010584B" w:rsidRPr="0010584B">
        <w:rPr>
          <w:rFonts w:asciiTheme="minorHAnsi" w:hAnsiTheme="minorHAnsi" w:cstheme="minorHAnsi"/>
          <w:b/>
          <w:bCs/>
          <w:lang w:val="en-US"/>
        </w:rPr>
        <w:t>S</w:t>
      </w:r>
      <w:r w:rsidR="00941483" w:rsidRPr="0010584B">
        <w:rPr>
          <w:rFonts w:asciiTheme="minorHAnsi" w:hAnsiTheme="minorHAnsi" w:cstheme="minorHAnsi"/>
          <w:b/>
          <w:bCs/>
          <w:lang w:val="en-US"/>
        </w:rPr>
        <w:t xml:space="preserve">2. </w:t>
      </w:r>
      <w:r w:rsidR="00941483" w:rsidRPr="0010584B">
        <w:rPr>
          <w:rFonts w:asciiTheme="minorHAnsi" w:hAnsiTheme="minorHAnsi" w:cstheme="minorHAnsi"/>
          <w:lang w:val="en-US"/>
        </w:rPr>
        <w:t>Summary of evaluated clinical variables and extracted radiomics features.</w:t>
      </w:r>
      <w:bookmarkEnd w:id="2"/>
    </w:p>
    <w:p w14:paraId="03C2A182" w14:textId="77777777" w:rsidR="00AA5AAC" w:rsidRPr="0010584B" w:rsidRDefault="00AA5AAC">
      <w:pPr>
        <w:spacing w:after="160" w:line="259" w:lineRule="auto"/>
        <w:rPr>
          <w:rFonts w:asciiTheme="minorHAnsi" w:hAnsiTheme="minorHAnsi" w:cstheme="minorHAnsi"/>
          <w:lang w:val="en-US"/>
        </w:rPr>
      </w:pPr>
    </w:p>
    <w:tbl>
      <w:tblPr>
        <w:tblW w:w="0" w:type="auto"/>
        <w:tblCellMar>
          <w:left w:w="70" w:type="dxa"/>
          <w:right w:w="70" w:type="dxa"/>
        </w:tblCellMar>
        <w:tblLook w:val="04A0" w:firstRow="1" w:lastRow="0" w:firstColumn="1" w:lastColumn="0" w:noHBand="0" w:noVBand="1"/>
      </w:tblPr>
      <w:tblGrid>
        <w:gridCol w:w="3528"/>
        <w:gridCol w:w="3969"/>
      </w:tblGrid>
      <w:tr w:rsidR="00AA5AAC" w:rsidRPr="0010584B" w14:paraId="5827293F" w14:textId="77777777" w:rsidTr="00336C49">
        <w:trPr>
          <w:trHeight w:val="300"/>
        </w:trPr>
        <w:tc>
          <w:tcPr>
            <w:tcW w:w="0" w:type="auto"/>
            <w:tcBorders>
              <w:top w:val="single" w:sz="4" w:space="0" w:color="auto"/>
              <w:bottom w:val="single" w:sz="4" w:space="0" w:color="auto"/>
            </w:tcBorders>
            <w:shd w:val="clear" w:color="000000" w:fill="FFFFFF"/>
            <w:vAlign w:val="bottom"/>
            <w:hideMark/>
          </w:tcPr>
          <w:p w14:paraId="3458DF82" w14:textId="77777777" w:rsidR="00AA5AAC" w:rsidRPr="0010584B" w:rsidRDefault="00AA5AAC" w:rsidP="00436DAA">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Clinical variables (N=16)</w:t>
            </w:r>
          </w:p>
        </w:tc>
        <w:tc>
          <w:tcPr>
            <w:tcW w:w="0" w:type="auto"/>
            <w:tcBorders>
              <w:top w:val="single" w:sz="4" w:space="0" w:color="auto"/>
              <w:bottom w:val="single" w:sz="4" w:space="0" w:color="auto"/>
            </w:tcBorders>
            <w:shd w:val="clear" w:color="000000" w:fill="FFFFFF"/>
            <w:noWrap/>
            <w:vAlign w:val="bottom"/>
            <w:hideMark/>
          </w:tcPr>
          <w:p w14:paraId="50834CD3" w14:textId="77777777" w:rsidR="00AA5AAC" w:rsidRPr="0010584B" w:rsidRDefault="00AA5AAC" w:rsidP="00436DAA">
            <w:pPr>
              <w:spacing w:line="240" w:lineRule="auto"/>
              <w:rPr>
                <w:rFonts w:asciiTheme="minorHAnsi" w:eastAsia="Times New Roman" w:hAnsiTheme="minorHAnsi" w:cstheme="minorHAnsi"/>
                <w:b/>
                <w:bCs/>
                <w:color w:val="000000"/>
                <w:lang w:val="en-US"/>
              </w:rPr>
            </w:pPr>
            <w:r w:rsidRPr="0010584B">
              <w:rPr>
                <w:rFonts w:asciiTheme="minorHAnsi" w:eastAsia="Times New Roman" w:hAnsiTheme="minorHAnsi" w:cstheme="minorHAnsi"/>
                <w:b/>
                <w:bCs/>
                <w:color w:val="000000"/>
                <w:lang w:val="en-US"/>
              </w:rPr>
              <w:t>Description</w:t>
            </w:r>
          </w:p>
        </w:tc>
      </w:tr>
      <w:tr w:rsidR="00AA5AAC" w:rsidRPr="0010584B" w14:paraId="745FDA60" w14:textId="77777777" w:rsidTr="00336C49">
        <w:trPr>
          <w:trHeight w:val="300"/>
        </w:trPr>
        <w:tc>
          <w:tcPr>
            <w:tcW w:w="0" w:type="auto"/>
            <w:tcBorders>
              <w:top w:val="single" w:sz="4" w:space="0" w:color="auto"/>
            </w:tcBorders>
            <w:shd w:val="clear" w:color="000000" w:fill="FFFFFF"/>
            <w:vAlign w:val="center"/>
            <w:hideMark/>
          </w:tcPr>
          <w:p w14:paraId="7166339F"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Age</w:t>
            </w:r>
          </w:p>
        </w:tc>
        <w:tc>
          <w:tcPr>
            <w:tcW w:w="0" w:type="auto"/>
            <w:tcBorders>
              <w:top w:val="single" w:sz="4" w:space="0" w:color="auto"/>
            </w:tcBorders>
            <w:shd w:val="clear" w:color="000000" w:fill="FFFFFF"/>
            <w:vAlign w:val="center"/>
            <w:hideMark/>
          </w:tcPr>
          <w:p w14:paraId="78D73D84"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Age of the study participants</w:t>
            </w:r>
          </w:p>
        </w:tc>
      </w:tr>
      <w:tr w:rsidR="00AA5AAC" w:rsidRPr="0010584B" w14:paraId="38163D81" w14:textId="77777777" w:rsidTr="00336C49">
        <w:trPr>
          <w:trHeight w:val="300"/>
        </w:trPr>
        <w:tc>
          <w:tcPr>
            <w:tcW w:w="0" w:type="auto"/>
            <w:shd w:val="clear" w:color="000000" w:fill="FFFFFF"/>
            <w:vAlign w:val="center"/>
            <w:hideMark/>
          </w:tcPr>
          <w:p w14:paraId="1C498498"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Sex</w:t>
            </w:r>
          </w:p>
        </w:tc>
        <w:tc>
          <w:tcPr>
            <w:tcW w:w="0" w:type="auto"/>
            <w:shd w:val="clear" w:color="000000" w:fill="FFFFFF"/>
            <w:vAlign w:val="center"/>
            <w:hideMark/>
          </w:tcPr>
          <w:p w14:paraId="4B708E77"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Gender of the study participants</w:t>
            </w:r>
          </w:p>
        </w:tc>
      </w:tr>
      <w:tr w:rsidR="00AA5AAC" w:rsidRPr="0010584B" w14:paraId="4D4D0079" w14:textId="77777777" w:rsidTr="00336C49">
        <w:trPr>
          <w:trHeight w:val="334"/>
        </w:trPr>
        <w:tc>
          <w:tcPr>
            <w:tcW w:w="0" w:type="auto"/>
            <w:shd w:val="clear" w:color="000000" w:fill="FFFFFF"/>
            <w:vAlign w:val="center"/>
            <w:hideMark/>
          </w:tcPr>
          <w:p w14:paraId="48424246"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Underlying Etiology of Chronic Liver Disease</w:t>
            </w:r>
          </w:p>
        </w:tc>
        <w:tc>
          <w:tcPr>
            <w:tcW w:w="0" w:type="auto"/>
            <w:shd w:val="clear" w:color="000000" w:fill="FFFFFF"/>
            <w:vAlign w:val="center"/>
            <w:hideMark/>
          </w:tcPr>
          <w:p w14:paraId="30F54B0D"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HBV, HCV, Alcoholic, Mixed, NASH or Cryptogenic</w:t>
            </w:r>
          </w:p>
        </w:tc>
      </w:tr>
      <w:tr w:rsidR="00AA5AAC" w:rsidRPr="0010584B" w14:paraId="69489767" w14:textId="77777777" w:rsidTr="00336C49">
        <w:trPr>
          <w:trHeight w:val="300"/>
        </w:trPr>
        <w:tc>
          <w:tcPr>
            <w:tcW w:w="0" w:type="auto"/>
            <w:shd w:val="clear" w:color="000000" w:fill="FFFFFF"/>
            <w:vAlign w:val="center"/>
            <w:hideMark/>
          </w:tcPr>
          <w:p w14:paraId="1E17F821"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Number of HCC Lesions</w:t>
            </w:r>
          </w:p>
        </w:tc>
        <w:tc>
          <w:tcPr>
            <w:tcW w:w="0" w:type="auto"/>
            <w:shd w:val="clear" w:color="000000" w:fill="FFFFFF"/>
            <w:vAlign w:val="center"/>
            <w:hideMark/>
          </w:tcPr>
          <w:p w14:paraId="1896B91F"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Count of HCC lesions</w:t>
            </w:r>
          </w:p>
        </w:tc>
      </w:tr>
      <w:tr w:rsidR="00AA5AAC" w:rsidRPr="0010584B" w14:paraId="6B8F1272" w14:textId="77777777" w:rsidTr="00336C49">
        <w:trPr>
          <w:trHeight w:val="300"/>
        </w:trPr>
        <w:tc>
          <w:tcPr>
            <w:tcW w:w="0" w:type="auto"/>
            <w:shd w:val="clear" w:color="000000" w:fill="FFFFFF"/>
            <w:vAlign w:val="center"/>
            <w:hideMark/>
          </w:tcPr>
          <w:p w14:paraId="20E52CA7"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Lesion Location</w:t>
            </w:r>
          </w:p>
        </w:tc>
        <w:tc>
          <w:tcPr>
            <w:tcW w:w="0" w:type="auto"/>
            <w:shd w:val="clear" w:color="000000" w:fill="FFFFFF"/>
            <w:vAlign w:val="center"/>
            <w:hideMark/>
          </w:tcPr>
          <w:p w14:paraId="12EEBB2B"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Left or right liver lobe</w:t>
            </w:r>
          </w:p>
        </w:tc>
      </w:tr>
      <w:tr w:rsidR="00AA5AAC" w:rsidRPr="0010584B" w14:paraId="2BB843A1" w14:textId="77777777" w:rsidTr="00336C49">
        <w:trPr>
          <w:trHeight w:val="308"/>
        </w:trPr>
        <w:tc>
          <w:tcPr>
            <w:tcW w:w="0" w:type="auto"/>
            <w:shd w:val="clear" w:color="000000" w:fill="FFFFFF"/>
            <w:vAlign w:val="center"/>
            <w:hideMark/>
          </w:tcPr>
          <w:p w14:paraId="6AC39799"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Lesion Diameter</w:t>
            </w:r>
          </w:p>
        </w:tc>
        <w:tc>
          <w:tcPr>
            <w:tcW w:w="0" w:type="auto"/>
            <w:shd w:val="clear" w:color="000000" w:fill="FFFFFF"/>
            <w:vAlign w:val="center"/>
            <w:hideMark/>
          </w:tcPr>
          <w:p w14:paraId="6C9BAFE8"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Maximal diameter in axial plane (portal phase CT)</w:t>
            </w:r>
          </w:p>
        </w:tc>
      </w:tr>
      <w:tr w:rsidR="00AA5AAC" w:rsidRPr="0010584B" w14:paraId="12E19F13" w14:textId="77777777" w:rsidTr="00336C49">
        <w:trPr>
          <w:trHeight w:val="300"/>
        </w:trPr>
        <w:tc>
          <w:tcPr>
            <w:tcW w:w="0" w:type="auto"/>
            <w:shd w:val="clear" w:color="000000" w:fill="FFFFFF"/>
            <w:vAlign w:val="center"/>
            <w:hideMark/>
          </w:tcPr>
          <w:p w14:paraId="57074424"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LI-RADS Category</w:t>
            </w:r>
          </w:p>
        </w:tc>
        <w:tc>
          <w:tcPr>
            <w:tcW w:w="0" w:type="auto"/>
            <w:shd w:val="clear" w:color="000000" w:fill="FFFFFF"/>
            <w:vAlign w:val="center"/>
            <w:hideMark/>
          </w:tcPr>
          <w:p w14:paraId="4CCDEBF3"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LI-RADS classification of lesions</w:t>
            </w:r>
          </w:p>
        </w:tc>
      </w:tr>
      <w:tr w:rsidR="00AA5AAC" w:rsidRPr="0010584B" w14:paraId="23A5F050" w14:textId="77777777" w:rsidTr="00336C49">
        <w:trPr>
          <w:trHeight w:val="300"/>
        </w:trPr>
        <w:tc>
          <w:tcPr>
            <w:tcW w:w="0" w:type="auto"/>
            <w:shd w:val="clear" w:color="000000" w:fill="FFFFFF"/>
            <w:vAlign w:val="center"/>
            <w:hideMark/>
          </w:tcPr>
          <w:p w14:paraId="74A04E8D"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 xml:space="preserve">Initial Treatment Response Category </w:t>
            </w:r>
          </w:p>
        </w:tc>
        <w:tc>
          <w:tcPr>
            <w:tcW w:w="0" w:type="auto"/>
            <w:shd w:val="clear" w:color="000000" w:fill="FFFFFF"/>
            <w:vAlign w:val="center"/>
            <w:hideMark/>
          </w:tcPr>
          <w:p w14:paraId="44F26F55"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Based on LI-RADS treatment response algorithm</w:t>
            </w:r>
          </w:p>
        </w:tc>
      </w:tr>
      <w:tr w:rsidR="00AA5AAC" w:rsidRPr="0010584B" w14:paraId="0BE61E0A" w14:textId="77777777" w:rsidTr="00336C49">
        <w:trPr>
          <w:trHeight w:val="300"/>
        </w:trPr>
        <w:tc>
          <w:tcPr>
            <w:tcW w:w="0" w:type="auto"/>
            <w:shd w:val="clear" w:color="000000" w:fill="FFFFFF"/>
            <w:vAlign w:val="center"/>
            <w:hideMark/>
          </w:tcPr>
          <w:p w14:paraId="3000FE23"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BCLC stage</w:t>
            </w:r>
          </w:p>
        </w:tc>
        <w:tc>
          <w:tcPr>
            <w:tcW w:w="0" w:type="auto"/>
            <w:shd w:val="clear" w:color="000000" w:fill="FFFFFF"/>
            <w:vAlign w:val="center"/>
            <w:hideMark/>
          </w:tcPr>
          <w:p w14:paraId="31224CB9"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Barcelona-Clinic Liver Cancer Stage</w:t>
            </w:r>
          </w:p>
        </w:tc>
      </w:tr>
      <w:tr w:rsidR="00AA5AAC" w:rsidRPr="0010584B" w14:paraId="50A668CE" w14:textId="77777777" w:rsidTr="00336C49">
        <w:trPr>
          <w:trHeight w:val="300"/>
        </w:trPr>
        <w:tc>
          <w:tcPr>
            <w:tcW w:w="0" w:type="auto"/>
            <w:shd w:val="clear" w:color="000000" w:fill="FFFFFF"/>
            <w:vAlign w:val="center"/>
            <w:hideMark/>
          </w:tcPr>
          <w:p w14:paraId="161B2E64"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Child-Pugh Score (CPS)</w:t>
            </w:r>
          </w:p>
        </w:tc>
        <w:tc>
          <w:tcPr>
            <w:tcW w:w="0" w:type="auto"/>
            <w:shd w:val="clear" w:color="000000" w:fill="FFFFFF"/>
            <w:vAlign w:val="center"/>
            <w:hideMark/>
          </w:tcPr>
          <w:p w14:paraId="2BCF741E"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 xml:space="preserve">Child-Pugh Score </w:t>
            </w:r>
          </w:p>
        </w:tc>
      </w:tr>
      <w:tr w:rsidR="00AA5AAC" w:rsidRPr="0010584B" w14:paraId="395CFD5B" w14:textId="77777777" w:rsidTr="00336C49">
        <w:trPr>
          <w:trHeight w:val="300"/>
        </w:trPr>
        <w:tc>
          <w:tcPr>
            <w:tcW w:w="0" w:type="auto"/>
            <w:shd w:val="clear" w:color="000000" w:fill="FFFFFF"/>
            <w:vAlign w:val="center"/>
            <w:hideMark/>
          </w:tcPr>
          <w:p w14:paraId="1B0F92BC"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Serum Levels:</w:t>
            </w:r>
          </w:p>
        </w:tc>
        <w:tc>
          <w:tcPr>
            <w:tcW w:w="0" w:type="auto"/>
            <w:shd w:val="clear" w:color="000000" w:fill="FFFFFF"/>
            <w:noWrap/>
            <w:vAlign w:val="bottom"/>
            <w:hideMark/>
          </w:tcPr>
          <w:p w14:paraId="3F7CFF5A" w14:textId="77777777" w:rsidR="00AA5AAC" w:rsidRPr="0010584B" w:rsidRDefault="00AA5AAC" w:rsidP="00436DAA">
            <w:pPr>
              <w:spacing w:line="240" w:lineRule="auto"/>
              <w:rPr>
                <w:rFonts w:asciiTheme="minorHAnsi" w:eastAsia="Times New Roman" w:hAnsiTheme="minorHAnsi" w:cstheme="minorHAnsi"/>
                <w:color w:val="000000"/>
                <w:lang w:val="en-US"/>
              </w:rPr>
            </w:pPr>
            <w:r w:rsidRPr="0010584B">
              <w:rPr>
                <w:rFonts w:asciiTheme="minorHAnsi" w:eastAsia="Times New Roman" w:hAnsiTheme="minorHAnsi" w:cstheme="minorHAnsi"/>
                <w:color w:val="000000"/>
                <w:lang w:val="en-US"/>
              </w:rPr>
              <w:t> </w:t>
            </w:r>
          </w:p>
        </w:tc>
      </w:tr>
      <w:tr w:rsidR="00AA5AAC" w:rsidRPr="0010584B" w14:paraId="58101D9E" w14:textId="77777777" w:rsidTr="00336C49">
        <w:trPr>
          <w:trHeight w:val="300"/>
        </w:trPr>
        <w:tc>
          <w:tcPr>
            <w:tcW w:w="0" w:type="auto"/>
            <w:shd w:val="clear" w:color="000000" w:fill="FFFFFF"/>
            <w:vAlign w:val="center"/>
            <w:hideMark/>
          </w:tcPr>
          <w:p w14:paraId="3F7067D9" w14:textId="77777777" w:rsidR="00AA5AAC" w:rsidRPr="0010584B" w:rsidRDefault="00AA5AAC" w:rsidP="00D51DDE">
            <w:pPr>
              <w:spacing w:line="240" w:lineRule="auto"/>
              <w:ind w:left="218"/>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Total Bilirubin</w:t>
            </w:r>
          </w:p>
        </w:tc>
        <w:tc>
          <w:tcPr>
            <w:tcW w:w="0" w:type="auto"/>
            <w:shd w:val="clear" w:color="000000" w:fill="FFFFFF"/>
            <w:vAlign w:val="center"/>
            <w:hideMark/>
          </w:tcPr>
          <w:p w14:paraId="564CB6DD"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Serum level of total bilirubin</w:t>
            </w:r>
          </w:p>
        </w:tc>
      </w:tr>
      <w:tr w:rsidR="00AA5AAC" w:rsidRPr="0010584B" w14:paraId="25F5FE94" w14:textId="77777777" w:rsidTr="00336C49">
        <w:trPr>
          <w:trHeight w:val="300"/>
        </w:trPr>
        <w:tc>
          <w:tcPr>
            <w:tcW w:w="0" w:type="auto"/>
            <w:shd w:val="clear" w:color="000000" w:fill="FFFFFF"/>
            <w:vAlign w:val="center"/>
            <w:hideMark/>
          </w:tcPr>
          <w:p w14:paraId="7D4D0E5C" w14:textId="77777777" w:rsidR="00AA5AAC" w:rsidRPr="0010584B" w:rsidRDefault="00AA5AAC" w:rsidP="00D51DDE">
            <w:pPr>
              <w:spacing w:line="240" w:lineRule="auto"/>
              <w:ind w:left="218"/>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Albumin</w:t>
            </w:r>
          </w:p>
        </w:tc>
        <w:tc>
          <w:tcPr>
            <w:tcW w:w="0" w:type="auto"/>
            <w:shd w:val="clear" w:color="000000" w:fill="FFFFFF"/>
            <w:vAlign w:val="center"/>
            <w:hideMark/>
          </w:tcPr>
          <w:p w14:paraId="102CE912"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Serum level of albumin</w:t>
            </w:r>
          </w:p>
        </w:tc>
      </w:tr>
      <w:tr w:rsidR="00AA5AAC" w:rsidRPr="0010584B" w14:paraId="6D669104" w14:textId="77777777" w:rsidTr="00336C49">
        <w:trPr>
          <w:trHeight w:val="300"/>
        </w:trPr>
        <w:tc>
          <w:tcPr>
            <w:tcW w:w="0" w:type="auto"/>
            <w:shd w:val="clear" w:color="000000" w:fill="FFFFFF"/>
            <w:vAlign w:val="center"/>
            <w:hideMark/>
          </w:tcPr>
          <w:p w14:paraId="69343F97" w14:textId="77777777" w:rsidR="00AA5AAC" w:rsidRPr="0010584B" w:rsidRDefault="00AA5AAC" w:rsidP="00D51DDE">
            <w:pPr>
              <w:spacing w:line="240" w:lineRule="auto"/>
              <w:ind w:left="218"/>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Creatinine</w:t>
            </w:r>
          </w:p>
        </w:tc>
        <w:tc>
          <w:tcPr>
            <w:tcW w:w="0" w:type="auto"/>
            <w:shd w:val="clear" w:color="000000" w:fill="FFFFFF"/>
            <w:vAlign w:val="center"/>
            <w:hideMark/>
          </w:tcPr>
          <w:p w14:paraId="14787D2B"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Serum level of creatinine</w:t>
            </w:r>
          </w:p>
        </w:tc>
      </w:tr>
      <w:tr w:rsidR="00AA5AAC" w:rsidRPr="0010584B" w14:paraId="636FA1DD" w14:textId="77777777" w:rsidTr="00336C49">
        <w:trPr>
          <w:trHeight w:val="300"/>
        </w:trPr>
        <w:tc>
          <w:tcPr>
            <w:tcW w:w="0" w:type="auto"/>
            <w:shd w:val="clear" w:color="000000" w:fill="FFFFFF"/>
            <w:vAlign w:val="center"/>
            <w:hideMark/>
          </w:tcPr>
          <w:p w14:paraId="12D641B7" w14:textId="77777777" w:rsidR="00AA5AAC" w:rsidRPr="0010584B" w:rsidRDefault="00AA5AAC" w:rsidP="00D51DDE">
            <w:pPr>
              <w:spacing w:line="240" w:lineRule="auto"/>
              <w:ind w:left="218"/>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INR</w:t>
            </w:r>
          </w:p>
        </w:tc>
        <w:tc>
          <w:tcPr>
            <w:tcW w:w="0" w:type="auto"/>
            <w:shd w:val="clear" w:color="000000" w:fill="FFFFFF"/>
            <w:vAlign w:val="center"/>
            <w:hideMark/>
          </w:tcPr>
          <w:p w14:paraId="40A3B550"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International normalized ratio</w:t>
            </w:r>
          </w:p>
        </w:tc>
      </w:tr>
      <w:tr w:rsidR="00AA5AAC" w:rsidRPr="0010584B" w14:paraId="34125615" w14:textId="77777777" w:rsidTr="00336C49">
        <w:trPr>
          <w:trHeight w:val="300"/>
        </w:trPr>
        <w:tc>
          <w:tcPr>
            <w:tcW w:w="0" w:type="auto"/>
            <w:shd w:val="clear" w:color="000000" w:fill="FFFFFF"/>
            <w:vAlign w:val="center"/>
            <w:hideMark/>
          </w:tcPr>
          <w:p w14:paraId="4CA19964" w14:textId="77777777" w:rsidR="00AA5AAC" w:rsidRPr="0010584B" w:rsidRDefault="00AA5AAC" w:rsidP="00D51DDE">
            <w:pPr>
              <w:spacing w:line="240" w:lineRule="auto"/>
              <w:ind w:left="218"/>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AFP</w:t>
            </w:r>
          </w:p>
        </w:tc>
        <w:tc>
          <w:tcPr>
            <w:tcW w:w="0" w:type="auto"/>
            <w:shd w:val="clear" w:color="000000" w:fill="FFFFFF"/>
            <w:vAlign w:val="center"/>
            <w:hideMark/>
          </w:tcPr>
          <w:p w14:paraId="6E865FB3"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Serum level of α-fetoprotein</w:t>
            </w:r>
          </w:p>
        </w:tc>
      </w:tr>
      <w:tr w:rsidR="00AA5AAC" w:rsidRPr="0010584B" w14:paraId="6C35CC3C" w14:textId="77777777" w:rsidTr="00336C49">
        <w:trPr>
          <w:trHeight w:val="300"/>
        </w:trPr>
        <w:tc>
          <w:tcPr>
            <w:tcW w:w="0" w:type="auto"/>
            <w:tcBorders>
              <w:bottom w:val="single" w:sz="4" w:space="0" w:color="auto"/>
            </w:tcBorders>
            <w:shd w:val="clear" w:color="000000" w:fill="FFFFFF"/>
            <w:vAlign w:val="center"/>
            <w:hideMark/>
          </w:tcPr>
          <w:p w14:paraId="3E7D2770" w14:textId="77777777" w:rsidR="00AA5AAC" w:rsidRPr="0010584B" w:rsidRDefault="00AA5AAC" w:rsidP="00D51DDE">
            <w:pPr>
              <w:spacing w:line="240" w:lineRule="auto"/>
              <w:ind w:left="218"/>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ALT</w:t>
            </w:r>
          </w:p>
        </w:tc>
        <w:tc>
          <w:tcPr>
            <w:tcW w:w="0" w:type="auto"/>
            <w:tcBorders>
              <w:bottom w:val="single" w:sz="4" w:space="0" w:color="auto"/>
            </w:tcBorders>
            <w:shd w:val="clear" w:color="000000" w:fill="FFFFFF"/>
            <w:vAlign w:val="center"/>
            <w:hideMark/>
          </w:tcPr>
          <w:p w14:paraId="625EDC49"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Serum level of alanine aminotransferase</w:t>
            </w:r>
          </w:p>
        </w:tc>
      </w:tr>
      <w:tr w:rsidR="00AA5AAC" w:rsidRPr="0010584B" w14:paraId="4A96E659" w14:textId="77777777" w:rsidTr="00336C49">
        <w:trPr>
          <w:trHeight w:val="300"/>
        </w:trPr>
        <w:tc>
          <w:tcPr>
            <w:tcW w:w="0" w:type="auto"/>
            <w:tcBorders>
              <w:top w:val="single" w:sz="4" w:space="0" w:color="auto"/>
              <w:bottom w:val="single" w:sz="4" w:space="0" w:color="auto"/>
            </w:tcBorders>
            <w:shd w:val="clear" w:color="000000" w:fill="FFFFFF"/>
            <w:vAlign w:val="bottom"/>
            <w:hideMark/>
          </w:tcPr>
          <w:p w14:paraId="66E91354" w14:textId="77777777" w:rsidR="00AA5AAC" w:rsidRPr="0010584B" w:rsidRDefault="00AA5AAC" w:rsidP="00436DAA">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Radiomics features</w:t>
            </w:r>
          </w:p>
        </w:tc>
        <w:tc>
          <w:tcPr>
            <w:tcW w:w="0" w:type="auto"/>
            <w:tcBorders>
              <w:top w:val="single" w:sz="4" w:space="0" w:color="auto"/>
              <w:bottom w:val="single" w:sz="4" w:space="0" w:color="auto"/>
            </w:tcBorders>
            <w:shd w:val="clear" w:color="000000" w:fill="FFFFFF"/>
            <w:vAlign w:val="bottom"/>
            <w:hideMark/>
          </w:tcPr>
          <w:p w14:paraId="16976F56" w14:textId="06766F22" w:rsidR="00AA5AAC" w:rsidRPr="0010584B" w:rsidRDefault="00AA5AAC" w:rsidP="00436DAA">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Number of Feature</w:t>
            </w:r>
            <w:r w:rsidR="00941483" w:rsidRPr="0010584B">
              <w:rPr>
                <w:rFonts w:asciiTheme="minorHAnsi" w:eastAsia="Times New Roman" w:hAnsiTheme="minorHAnsi" w:cstheme="minorHAnsi"/>
                <w:b/>
                <w:bCs/>
                <w:color w:val="000000"/>
                <w:sz w:val="19"/>
                <w:szCs w:val="19"/>
                <w:lang w:val="en-US"/>
              </w:rPr>
              <w:t>s in each category</w:t>
            </w:r>
          </w:p>
        </w:tc>
      </w:tr>
      <w:tr w:rsidR="00AA5AAC" w:rsidRPr="0010584B" w14:paraId="5FF57311" w14:textId="77777777" w:rsidTr="00336C49">
        <w:trPr>
          <w:trHeight w:val="300"/>
        </w:trPr>
        <w:tc>
          <w:tcPr>
            <w:tcW w:w="0" w:type="auto"/>
            <w:tcBorders>
              <w:top w:val="single" w:sz="4" w:space="0" w:color="auto"/>
            </w:tcBorders>
            <w:shd w:val="clear" w:color="000000" w:fill="FFFFFF"/>
            <w:vAlign w:val="center"/>
            <w:hideMark/>
          </w:tcPr>
          <w:p w14:paraId="1A0FAF57" w14:textId="77777777" w:rsidR="00AA5AAC" w:rsidRPr="0010584B" w:rsidRDefault="00AA5AAC" w:rsidP="00436DAA">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Shape-Based</w:t>
            </w:r>
          </w:p>
        </w:tc>
        <w:tc>
          <w:tcPr>
            <w:tcW w:w="0" w:type="auto"/>
            <w:tcBorders>
              <w:top w:val="single" w:sz="4" w:space="0" w:color="auto"/>
            </w:tcBorders>
            <w:shd w:val="clear" w:color="000000" w:fill="FFFFFF"/>
            <w:vAlign w:val="center"/>
            <w:hideMark/>
          </w:tcPr>
          <w:p w14:paraId="66C64943"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 </w:t>
            </w:r>
          </w:p>
        </w:tc>
      </w:tr>
      <w:tr w:rsidR="00AA5AAC" w:rsidRPr="0010584B" w14:paraId="7C679443" w14:textId="77777777" w:rsidTr="00336C49">
        <w:trPr>
          <w:trHeight w:val="300"/>
        </w:trPr>
        <w:tc>
          <w:tcPr>
            <w:tcW w:w="0" w:type="auto"/>
            <w:shd w:val="clear" w:color="000000" w:fill="FFFFFF"/>
            <w:vAlign w:val="center"/>
            <w:hideMark/>
          </w:tcPr>
          <w:p w14:paraId="664C4A4F"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Descriptors of 3D size and shape</w:t>
            </w:r>
          </w:p>
        </w:tc>
        <w:tc>
          <w:tcPr>
            <w:tcW w:w="0" w:type="auto"/>
            <w:shd w:val="clear" w:color="000000" w:fill="FFFFFF"/>
            <w:vAlign w:val="center"/>
            <w:hideMark/>
          </w:tcPr>
          <w:p w14:paraId="17CBB190"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14</w:t>
            </w:r>
          </w:p>
        </w:tc>
      </w:tr>
      <w:tr w:rsidR="00AA5AAC" w:rsidRPr="0010584B" w14:paraId="33DBA1FF" w14:textId="77777777" w:rsidTr="00336C49">
        <w:trPr>
          <w:trHeight w:val="300"/>
        </w:trPr>
        <w:tc>
          <w:tcPr>
            <w:tcW w:w="0" w:type="auto"/>
            <w:shd w:val="clear" w:color="000000" w:fill="FFFFFF"/>
            <w:vAlign w:val="center"/>
            <w:hideMark/>
          </w:tcPr>
          <w:p w14:paraId="2CAFBBF6" w14:textId="77777777" w:rsidR="00AA5AAC" w:rsidRPr="0010584B" w:rsidRDefault="00AA5AAC" w:rsidP="00436DAA">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First-Order</w:t>
            </w:r>
          </w:p>
        </w:tc>
        <w:tc>
          <w:tcPr>
            <w:tcW w:w="0" w:type="auto"/>
            <w:shd w:val="clear" w:color="000000" w:fill="FFFFFF"/>
            <w:vAlign w:val="center"/>
            <w:hideMark/>
          </w:tcPr>
          <w:p w14:paraId="6CCA9C50"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 </w:t>
            </w:r>
          </w:p>
        </w:tc>
      </w:tr>
      <w:tr w:rsidR="00AA5AAC" w:rsidRPr="0010584B" w14:paraId="45631A0B" w14:textId="77777777" w:rsidTr="00336C49">
        <w:trPr>
          <w:trHeight w:val="300"/>
        </w:trPr>
        <w:tc>
          <w:tcPr>
            <w:tcW w:w="0" w:type="auto"/>
            <w:shd w:val="clear" w:color="000000" w:fill="FFFFFF"/>
            <w:vAlign w:val="center"/>
            <w:hideMark/>
          </w:tcPr>
          <w:p w14:paraId="0BE29413"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Distribution of voxel intensities</w:t>
            </w:r>
          </w:p>
        </w:tc>
        <w:tc>
          <w:tcPr>
            <w:tcW w:w="0" w:type="auto"/>
            <w:shd w:val="clear" w:color="000000" w:fill="FFFFFF"/>
            <w:vAlign w:val="center"/>
            <w:hideMark/>
          </w:tcPr>
          <w:p w14:paraId="0E57479D"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18</w:t>
            </w:r>
          </w:p>
        </w:tc>
      </w:tr>
      <w:tr w:rsidR="00AA5AAC" w:rsidRPr="0010584B" w14:paraId="441186B8" w14:textId="77777777" w:rsidTr="00336C49">
        <w:trPr>
          <w:trHeight w:val="300"/>
        </w:trPr>
        <w:tc>
          <w:tcPr>
            <w:tcW w:w="0" w:type="auto"/>
            <w:shd w:val="clear" w:color="000000" w:fill="FFFFFF"/>
            <w:vAlign w:val="center"/>
            <w:hideMark/>
          </w:tcPr>
          <w:p w14:paraId="05EAE0D5" w14:textId="77777777" w:rsidR="00AA5AAC" w:rsidRPr="0010584B" w:rsidRDefault="00AA5AAC" w:rsidP="00436DAA">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Gray-Level Radiomics Features</w:t>
            </w:r>
          </w:p>
        </w:tc>
        <w:tc>
          <w:tcPr>
            <w:tcW w:w="0" w:type="auto"/>
            <w:shd w:val="clear" w:color="000000" w:fill="FFFFFF"/>
            <w:vAlign w:val="center"/>
            <w:hideMark/>
          </w:tcPr>
          <w:p w14:paraId="1EBFEDC6"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 </w:t>
            </w:r>
          </w:p>
        </w:tc>
      </w:tr>
      <w:tr w:rsidR="00AA5AAC" w:rsidRPr="0010584B" w14:paraId="643DAC5C" w14:textId="77777777" w:rsidTr="00336C49">
        <w:trPr>
          <w:trHeight w:val="300"/>
        </w:trPr>
        <w:tc>
          <w:tcPr>
            <w:tcW w:w="0" w:type="auto"/>
            <w:shd w:val="clear" w:color="000000" w:fill="FFFFFF"/>
            <w:vAlign w:val="center"/>
            <w:hideMark/>
          </w:tcPr>
          <w:p w14:paraId="6F6A06C0"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Gray-level co-occurrence matrix</w:t>
            </w:r>
          </w:p>
        </w:tc>
        <w:tc>
          <w:tcPr>
            <w:tcW w:w="0" w:type="auto"/>
            <w:shd w:val="clear" w:color="000000" w:fill="FFFFFF"/>
            <w:vAlign w:val="center"/>
            <w:hideMark/>
          </w:tcPr>
          <w:p w14:paraId="5191DFA5"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24</w:t>
            </w:r>
          </w:p>
        </w:tc>
      </w:tr>
      <w:tr w:rsidR="00AA5AAC" w:rsidRPr="0010584B" w14:paraId="45DFA7E7" w14:textId="77777777" w:rsidTr="00336C49">
        <w:trPr>
          <w:trHeight w:val="300"/>
        </w:trPr>
        <w:tc>
          <w:tcPr>
            <w:tcW w:w="0" w:type="auto"/>
            <w:shd w:val="clear" w:color="000000" w:fill="FFFFFF"/>
            <w:vAlign w:val="center"/>
            <w:hideMark/>
          </w:tcPr>
          <w:p w14:paraId="2D0A2315"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Gray-level dependence matrix</w:t>
            </w:r>
          </w:p>
        </w:tc>
        <w:tc>
          <w:tcPr>
            <w:tcW w:w="0" w:type="auto"/>
            <w:shd w:val="clear" w:color="000000" w:fill="FFFFFF"/>
            <w:vAlign w:val="center"/>
            <w:hideMark/>
          </w:tcPr>
          <w:p w14:paraId="78F0B86A"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14</w:t>
            </w:r>
          </w:p>
        </w:tc>
      </w:tr>
      <w:tr w:rsidR="00AA5AAC" w:rsidRPr="0010584B" w14:paraId="2D996E43" w14:textId="77777777" w:rsidTr="00336C49">
        <w:trPr>
          <w:trHeight w:val="300"/>
        </w:trPr>
        <w:tc>
          <w:tcPr>
            <w:tcW w:w="0" w:type="auto"/>
            <w:shd w:val="clear" w:color="000000" w:fill="FFFFFF"/>
            <w:vAlign w:val="center"/>
            <w:hideMark/>
          </w:tcPr>
          <w:p w14:paraId="30392A40"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Gray-level size zone matrix</w:t>
            </w:r>
          </w:p>
        </w:tc>
        <w:tc>
          <w:tcPr>
            <w:tcW w:w="0" w:type="auto"/>
            <w:shd w:val="clear" w:color="000000" w:fill="FFFFFF"/>
            <w:vAlign w:val="center"/>
            <w:hideMark/>
          </w:tcPr>
          <w:p w14:paraId="1C16B138"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16</w:t>
            </w:r>
          </w:p>
        </w:tc>
      </w:tr>
      <w:tr w:rsidR="00AA5AAC" w:rsidRPr="0010584B" w14:paraId="2195BD54" w14:textId="77777777" w:rsidTr="00336C49">
        <w:trPr>
          <w:trHeight w:val="300"/>
        </w:trPr>
        <w:tc>
          <w:tcPr>
            <w:tcW w:w="0" w:type="auto"/>
            <w:shd w:val="clear" w:color="000000" w:fill="FFFFFF"/>
            <w:vAlign w:val="center"/>
            <w:hideMark/>
          </w:tcPr>
          <w:p w14:paraId="7227CDAA"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Gray-level run length matrix</w:t>
            </w:r>
          </w:p>
        </w:tc>
        <w:tc>
          <w:tcPr>
            <w:tcW w:w="0" w:type="auto"/>
            <w:shd w:val="clear" w:color="000000" w:fill="FFFFFF"/>
            <w:vAlign w:val="center"/>
            <w:hideMark/>
          </w:tcPr>
          <w:p w14:paraId="7C09DDFA"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16</w:t>
            </w:r>
          </w:p>
        </w:tc>
      </w:tr>
      <w:tr w:rsidR="00AA5AAC" w:rsidRPr="0010584B" w14:paraId="009BCE50" w14:textId="77777777" w:rsidTr="00336C49">
        <w:trPr>
          <w:trHeight w:val="300"/>
        </w:trPr>
        <w:tc>
          <w:tcPr>
            <w:tcW w:w="0" w:type="auto"/>
            <w:shd w:val="clear" w:color="000000" w:fill="FFFFFF"/>
            <w:vAlign w:val="center"/>
            <w:hideMark/>
          </w:tcPr>
          <w:p w14:paraId="088CFC96"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Neighbouring gray tone difference matrix</w:t>
            </w:r>
          </w:p>
        </w:tc>
        <w:tc>
          <w:tcPr>
            <w:tcW w:w="0" w:type="auto"/>
            <w:shd w:val="clear" w:color="000000" w:fill="FFFFFF"/>
            <w:vAlign w:val="center"/>
            <w:hideMark/>
          </w:tcPr>
          <w:p w14:paraId="23C2BB65" w14:textId="77777777" w:rsidR="00AA5AAC" w:rsidRPr="0010584B" w:rsidRDefault="00AA5AAC" w:rsidP="00436DAA">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5</w:t>
            </w:r>
          </w:p>
        </w:tc>
      </w:tr>
    </w:tbl>
    <w:p w14:paraId="74468483" w14:textId="77777777" w:rsidR="00AA5AAC" w:rsidRPr="0010584B" w:rsidRDefault="00AA5AAC" w:rsidP="00AA5AAC">
      <w:pPr>
        <w:rPr>
          <w:rFonts w:asciiTheme="minorHAnsi" w:hAnsiTheme="minorHAnsi" w:cstheme="minorHAnsi"/>
          <w:lang w:val="en-US"/>
        </w:rPr>
      </w:pPr>
    </w:p>
    <w:p w14:paraId="7E0F8471" w14:textId="77777777" w:rsidR="00AA5AAC" w:rsidRPr="0010584B" w:rsidRDefault="00AA5AAC">
      <w:pPr>
        <w:spacing w:after="160" w:line="259" w:lineRule="auto"/>
        <w:rPr>
          <w:rFonts w:asciiTheme="minorHAnsi" w:hAnsiTheme="minorHAnsi" w:cstheme="minorHAnsi"/>
          <w:lang w:val="en-US"/>
        </w:rPr>
      </w:pPr>
    </w:p>
    <w:p w14:paraId="7C5E7FFA" w14:textId="77777777" w:rsidR="0010584B" w:rsidRPr="0010584B" w:rsidRDefault="0010584B">
      <w:pPr>
        <w:spacing w:after="160" w:line="259" w:lineRule="auto"/>
        <w:rPr>
          <w:rFonts w:asciiTheme="minorHAnsi" w:hAnsiTheme="minorHAnsi" w:cstheme="minorHAnsi"/>
          <w:lang w:val="en-US"/>
        </w:rPr>
      </w:pPr>
      <w:r w:rsidRPr="0010584B">
        <w:rPr>
          <w:rFonts w:asciiTheme="minorHAnsi" w:hAnsiTheme="minorHAnsi" w:cstheme="minorHAnsi"/>
          <w:lang w:val="en-US"/>
        </w:rPr>
        <w:br w:type="page"/>
      </w:r>
    </w:p>
    <w:p w14:paraId="3F20AA6A" w14:textId="64F7C667" w:rsidR="00673E58" w:rsidRPr="0010584B" w:rsidRDefault="001A447A" w:rsidP="0010584B">
      <w:pPr>
        <w:pStyle w:val="Nagwek1"/>
        <w:rPr>
          <w:rFonts w:asciiTheme="minorHAnsi" w:hAnsiTheme="minorHAnsi" w:cstheme="minorHAnsi"/>
          <w:lang w:val="en-US"/>
        </w:rPr>
      </w:pPr>
      <w:bookmarkStart w:id="3" w:name="_Toc150762481"/>
      <w:r w:rsidRPr="0010584B">
        <w:rPr>
          <w:rFonts w:asciiTheme="minorHAnsi" w:hAnsiTheme="minorHAnsi" w:cstheme="minorHAnsi"/>
          <w:b/>
          <w:bCs/>
          <w:lang w:val="en-US"/>
        </w:rPr>
        <w:lastRenderedPageBreak/>
        <w:t>Supplementary</w:t>
      </w:r>
      <w:r w:rsidR="00941483" w:rsidRPr="0010584B">
        <w:rPr>
          <w:rFonts w:asciiTheme="minorHAnsi" w:hAnsiTheme="minorHAnsi" w:cstheme="minorHAnsi"/>
          <w:b/>
          <w:bCs/>
          <w:lang w:val="en-US"/>
        </w:rPr>
        <w:t xml:space="preserve"> Table </w:t>
      </w:r>
      <w:r w:rsidR="0010584B" w:rsidRPr="0010584B">
        <w:rPr>
          <w:rFonts w:asciiTheme="minorHAnsi" w:hAnsiTheme="minorHAnsi" w:cstheme="minorHAnsi"/>
          <w:b/>
          <w:bCs/>
          <w:lang w:val="en-US"/>
        </w:rPr>
        <w:t>S</w:t>
      </w:r>
      <w:r w:rsidR="00941483" w:rsidRPr="0010584B">
        <w:rPr>
          <w:rFonts w:asciiTheme="minorHAnsi" w:hAnsiTheme="minorHAnsi" w:cstheme="minorHAnsi"/>
          <w:b/>
          <w:bCs/>
          <w:lang w:val="en-US"/>
        </w:rPr>
        <w:t xml:space="preserve">3. </w:t>
      </w:r>
      <w:r w:rsidR="00941483" w:rsidRPr="0010584B">
        <w:rPr>
          <w:rFonts w:asciiTheme="minorHAnsi" w:hAnsiTheme="minorHAnsi" w:cstheme="minorHAnsi"/>
          <w:lang w:val="en-US"/>
        </w:rPr>
        <w:t>Details of computed tomography phase acquisition and scanners.</w:t>
      </w:r>
      <w:bookmarkEnd w:id="3"/>
    </w:p>
    <w:p w14:paraId="018D5E89" w14:textId="77777777" w:rsidR="00AA5AAC" w:rsidRPr="0010584B" w:rsidRDefault="00AA5AAC" w:rsidP="00673E58">
      <w:pPr>
        <w:rPr>
          <w:rFonts w:asciiTheme="minorHAnsi" w:hAnsiTheme="minorHAnsi" w:cstheme="minorHAnsi"/>
          <w:lang w:val="en-US"/>
        </w:rPr>
      </w:pPr>
    </w:p>
    <w:tbl>
      <w:tblPr>
        <w:tblW w:w="5000" w:type="pct"/>
        <w:tblCellMar>
          <w:left w:w="70" w:type="dxa"/>
          <w:right w:w="70" w:type="dxa"/>
        </w:tblCellMar>
        <w:tblLook w:val="04A0" w:firstRow="1" w:lastRow="0" w:firstColumn="1" w:lastColumn="0" w:noHBand="0" w:noVBand="1"/>
      </w:tblPr>
      <w:tblGrid>
        <w:gridCol w:w="2173"/>
        <w:gridCol w:w="3524"/>
        <w:gridCol w:w="3375"/>
      </w:tblGrid>
      <w:tr w:rsidR="00AA5AAC" w:rsidRPr="0010584B" w14:paraId="1A82C131" w14:textId="77777777" w:rsidTr="00941483">
        <w:trPr>
          <w:trHeight w:val="300"/>
        </w:trPr>
        <w:tc>
          <w:tcPr>
            <w:tcW w:w="1198" w:type="pct"/>
            <w:tcBorders>
              <w:top w:val="single" w:sz="4" w:space="0" w:color="auto"/>
              <w:bottom w:val="single" w:sz="4" w:space="0" w:color="auto"/>
            </w:tcBorders>
            <w:shd w:val="clear" w:color="000000" w:fill="FFFFFF"/>
            <w:hideMark/>
          </w:tcPr>
          <w:p w14:paraId="4D13D597" w14:textId="77777777" w:rsidR="00AA5AAC" w:rsidRPr="0010584B" w:rsidRDefault="00AA5AAC" w:rsidP="001805F5">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Study Phase</w:t>
            </w:r>
          </w:p>
        </w:tc>
        <w:tc>
          <w:tcPr>
            <w:tcW w:w="1942" w:type="pct"/>
            <w:tcBorders>
              <w:top w:val="single" w:sz="4" w:space="0" w:color="auto"/>
              <w:bottom w:val="single" w:sz="4" w:space="0" w:color="auto"/>
            </w:tcBorders>
            <w:shd w:val="clear" w:color="000000" w:fill="FFFFFF"/>
            <w:hideMark/>
          </w:tcPr>
          <w:p w14:paraId="0CF5F34D" w14:textId="77777777" w:rsidR="00AA5AAC" w:rsidRPr="0010584B" w:rsidRDefault="00AA5AAC" w:rsidP="001805F5">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Bolus Tracking Technique</w:t>
            </w:r>
          </w:p>
        </w:tc>
        <w:tc>
          <w:tcPr>
            <w:tcW w:w="1860" w:type="pct"/>
            <w:tcBorders>
              <w:top w:val="single" w:sz="4" w:space="0" w:color="auto"/>
              <w:bottom w:val="single" w:sz="4" w:space="0" w:color="auto"/>
            </w:tcBorders>
            <w:shd w:val="clear" w:color="000000" w:fill="FFFFFF"/>
            <w:hideMark/>
          </w:tcPr>
          <w:p w14:paraId="52838499" w14:textId="29076A7F" w:rsidR="00AA5AAC" w:rsidRPr="0010584B" w:rsidRDefault="00AA5AAC" w:rsidP="001805F5">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Number of Exams</w:t>
            </w:r>
          </w:p>
        </w:tc>
      </w:tr>
      <w:tr w:rsidR="00AA5AAC" w:rsidRPr="0010584B" w14:paraId="20588D49" w14:textId="77777777" w:rsidTr="00941483">
        <w:trPr>
          <w:trHeight w:val="397"/>
        </w:trPr>
        <w:tc>
          <w:tcPr>
            <w:tcW w:w="1198" w:type="pct"/>
            <w:tcBorders>
              <w:top w:val="single" w:sz="4" w:space="0" w:color="auto"/>
            </w:tcBorders>
            <w:shd w:val="clear" w:color="000000" w:fill="FFFFFF"/>
            <w:hideMark/>
          </w:tcPr>
          <w:p w14:paraId="253A45F3" w14:textId="004C81F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 xml:space="preserve">Late Arterial  </w:t>
            </w:r>
          </w:p>
        </w:tc>
        <w:tc>
          <w:tcPr>
            <w:tcW w:w="1942" w:type="pct"/>
            <w:tcBorders>
              <w:top w:val="single" w:sz="4" w:space="0" w:color="auto"/>
            </w:tcBorders>
            <w:shd w:val="clear" w:color="000000" w:fill="FFFFFF"/>
            <w:hideMark/>
          </w:tcPr>
          <w:p w14:paraId="479A4A40"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15-30 seconds post-bolus</w:t>
            </w:r>
          </w:p>
        </w:tc>
        <w:tc>
          <w:tcPr>
            <w:tcW w:w="1860" w:type="pct"/>
            <w:tcBorders>
              <w:top w:val="single" w:sz="4" w:space="0" w:color="auto"/>
            </w:tcBorders>
            <w:shd w:val="clear" w:color="000000" w:fill="FFFFFF"/>
            <w:hideMark/>
          </w:tcPr>
          <w:p w14:paraId="051F6454"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236</w:t>
            </w:r>
          </w:p>
        </w:tc>
      </w:tr>
      <w:tr w:rsidR="00AA5AAC" w:rsidRPr="0010584B" w14:paraId="78E2F03D" w14:textId="77777777" w:rsidTr="00941483">
        <w:trPr>
          <w:trHeight w:val="397"/>
        </w:trPr>
        <w:tc>
          <w:tcPr>
            <w:tcW w:w="1198" w:type="pct"/>
            <w:shd w:val="clear" w:color="000000" w:fill="FFFFFF"/>
            <w:hideMark/>
          </w:tcPr>
          <w:p w14:paraId="0030E7CA" w14:textId="6526F7A0"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 xml:space="preserve">Portal Venous </w:t>
            </w:r>
          </w:p>
        </w:tc>
        <w:tc>
          <w:tcPr>
            <w:tcW w:w="1942" w:type="pct"/>
            <w:shd w:val="clear" w:color="000000" w:fill="FFFFFF"/>
            <w:hideMark/>
          </w:tcPr>
          <w:p w14:paraId="6F38E1AF"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60-75 seconds post-injection</w:t>
            </w:r>
          </w:p>
        </w:tc>
        <w:tc>
          <w:tcPr>
            <w:tcW w:w="1860" w:type="pct"/>
            <w:shd w:val="clear" w:color="000000" w:fill="FFFFFF"/>
            <w:hideMark/>
          </w:tcPr>
          <w:p w14:paraId="7436E458"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239</w:t>
            </w:r>
          </w:p>
        </w:tc>
      </w:tr>
      <w:tr w:rsidR="00354D52" w:rsidRPr="0010584B" w14:paraId="6053E29D" w14:textId="77777777" w:rsidTr="00941483">
        <w:trPr>
          <w:trHeight w:val="397"/>
        </w:trPr>
        <w:tc>
          <w:tcPr>
            <w:tcW w:w="1198" w:type="pct"/>
            <w:shd w:val="clear" w:color="000000" w:fill="FFFFFF"/>
          </w:tcPr>
          <w:p w14:paraId="37D6543B" w14:textId="77777777" w:rsidR="00354D52" w:rsidRPr="0010584B" w:rsidRDefault="00354D52" w:rsidP="001805F5">
            <w:pPr>
              <w:spacing w:line="240" w:lineRule="auto"/>
              <w:rPr>
                <w:rFonts w:asciiTheme="minorHAnsi" w:eastAsia="Times New Roman" w:hAnsiTheme="minorHAnsi" w:cstheme="minorHAnsi"/>
                <w:color w:val="000000"/>
                <w:sz w:val="19"/>
                <w:szCs w:val="19"/>
                <w:lang w:val="en-US"/>
              </w:rPr>
            </w:pPr>
          </w:p>
        </w:tc>
        <w:tc>
          <w:tcPr>
            <w:tcW w:w="1942" w:type="pct"/>
            <w:shd w:val="clear" w:color="000000" w:fill="FFFFFF"/>
          </w:tcPr>
          <w:p w14:paraId="346A356C" w14:textId="77777777" w:rsidR="00354D52" w:rsidRPr="0010584B" w:rsidRDefault="00354D52" w:rsidP="001805F5">
            <w:pPr>
              <w:spacing w:line="240" w:lineRule="auto"/>
              <w:rPr>
                <w:rFonts w:asciiTheme="minorHAnsi" w:eastAsia="Times New Roman" w:hAnsiTheme="minorHAnsi" w:cstheme="minorHAnsi"/>
                <w:color w:val="000000"/>
                <w:sz w:val="19"/>
                <w:szCs w:val="19"/>
                <w:lang w:val="en-US"/>
              </w:rPr>
            </w:pPr>
          </w:p>
        </w:tc>
        <w:tc>
          <w:tcPr>
            <w:tcW w:w="1860" w:type="pct"/>
            <w:shd w:val="clear" w:color="000000" w:fill="FFFFFF"/>
          </w:tcPr>
          <w:p w14:paraId="69904FD7" w14:textId="77777777" w:rsidR="00354D52" w:rsidRPr="0010584B" w:rsidRDefault="00354D52" w:rsidP="001805F5">
            <w:pPr>
              <w:spacing w:line="240" w:lineRule="auto"/>
              <w:rPr>
                <w:rFonts w:asciiTheme="minorHAnsi" w:eastAsia="Times New Roman" w:hAnsiTheme="minorHAnsi" w:cstheme="minorHAnsi"/>
                <w:color w:val="000000"/>
                <w:sz w:val="19"/>
                <w:szCs w:val="19"/>
                <w:lang w:val="en-US"/>
              </w:rPr>
            </w:pPr>
          </w:p>
        </w:tc>
      </w:tr>
      <w:tr w:rsidR="00AA5AAC" w:rsidRPr="0010584B" w14:paraId="724B5C8F" w14:textId="77777777" w:rsidTr="00941483">
        <w:trPr>
          <w:trHeight w:val="397"/>
        </w:trPr>
        <w:tc>
          <w:tcPr>
            <w:tcW w:w="1198" w:type="pct"/>
            <w:tcBorders>
              <w:bottom w:val="single" w:sz="4" w:space="0" w:color="auto"/>
            </w:tcBorders>
            <w:shd w:val="clear" w:color="000000" w:fill="FFFFFF"/>
            <w:hideMark/>
          </w:tcPr>
          <w:p w14:paraId="35274022" w14:textId="2BBF64FA" w:rsidR="00AA5AAC" w:rsidRPr="0010584B" w:rsidRDefault="00354D52"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Delayed</w:t>
            </w:r>
            <w:r w:rsidR="00AA5AAC" w:rsidRPr="0010584B">
              <w:rPr>
                <w:rFonts w:asciiTheme="minorHAnsi" w:eastAsia="Times New Roman" w:hAnsiTheme="minorHAnsi" w:cstheme="minorHAnsi"/>
                <w:color w:val="000000"/>
                <w:sz w:val="19"/>
                <w:szCs w:val="19"/>
                <w:lang w:val="en-US"/>
              </w:rPr>
              <w:t xml:space="preserve"> </w:t>
            </w:r>
          </w:p>
        </w:tc>
        <w:tc>
          <w:tcPr>
            <w:tcW w:w="1942" w:type="pct"/>
            <w:tcBorders>
              <w:bottom w:val="single" w:sz="4" w:space="0" w:color="auto"/>
            </w:tcBorders>
            <w:shd w:val="clear" w:color="000000" w:fill="FFFFFF"/>
            <w:hideMark/>
          </w:tcPr>
          <w:p w14:paraId="3DD42873"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4-5 minutes</w:t>
            </w:r>
          </w:p>
        </w:tc>
        <w:tc>
          <w:tcPr>
            <w:tcW w:w="1860" w:type="pct"/>
            <w:tcBorders>
              <w:bottom w:val="single" w:sz="4" w:space="0" w:color="auto"/>
            </w:tcBorders>
            <w:shd w:val="clear" w:color="000000" w:fill="FFFFFF"/>
            <w:hideMark/>
          </w:tcPr>
          <w:p w14:paraId="0F20A44A"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198</w:t>
            </w:r>
          </w:p>
        </w:tc>
      </w:tr>
      <w:tr w:rsidR="00AA5AAC" w:rsidRPr="0010584B" w14:paraId="19CBFEBC" w14:textId="77777777" w:rsidTr="00941483">
        <w:trPr>
          <w:trHeight w:val="300"/>
        </w:trPr>
        <w:tc>
          <w:tcPr>
            <w:tcW w:w="1198" w:type="pct"/>
            <w:tcBorders>
              <w:top w:val="single" w:sz="4" w:space="0" w:color="auto"/>
              <w:bottom w:val="single" w:sz="4" w:space="0" w:color="auto"/>
            </w:tcBorders>
            <w:shd w:val="clear" w:color="000000" w:fill="FFFFFF"/>
            <w:hideMark/>
          </w:tcPr>
          <w:p w14:paraId="502AC432" w14:textId="77777777" w:rsidR="00AA5AAC" w:rsidRPr="0010584B" w:rsidRDefault="00AA5AAC" w:rsidP="001805F5">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CT Scanner</w:t>
            </w:r>
          </w:p>
        </w:tc>
        <w:tc>
          <w:tcPr>
            <w:tcW w:w="1942" w:type="pct"/>
            <w:tcBorders>
              <w:top w:val="single" w:sz="4" w:space="0" w:color="auto"/>
              <w:bottom w:val="single" w:sz="4" w:space="0" w:color="auto"/>
            </w:tcBorders>
            <w:shd w:val="clear" w:color="000000" w:fill="FFFFFF"/>
            <w:hideMark/>
          </w:tcPr>
          <w:p w14:paraId="13B5A1E3" w14:textId="77777777" w:rsidR="00AA5AAC" w:rsidRPr="0010584B" w:rsidRDefault="00AA5AAC" w:rsidP="001805F5">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Manufacturer and Location</w:t>
            </w:r>
          </w:p>
        </w:tc>
        <w:tc>
          <w:tcPr>
            <w:tcW w:w="1860" w:type="pct"/>
            <w:tcBorders>
              <w:top w:val="single" w:sz="4" w:space="0" w:color="auto"/>
              <w:bottom w:val="single" w:sz="4" w:space="0" w:color="auto"/>
            </w:tcBorders>
            <w:shd w:val="clear" w:color="000000" w:fill="FFFFFF"/>
            <w:hideMark/>
          </w:tcPr>
          <w:p w14:paraId="3A102E46" w14:textId="3A0303FB" w:rsidR="00AA5AAC" w:rsidRPr="0010584B" w:rsidRDefault="00AA5AAC" w:rsidP="001805F5">
            <w:pPr>
              <w:spacing w:line="240" w:lineRule="auto"/>
              <w:rPr>
                <w:rFonts w:asciiTheme="minorHAnsi" w:eastAsia="Times New Roman" w:hAnsiTheme="minorHAnsi" w:cstheme="minorHAnsi"/>
                <w:b/>
                <w:bCs/>
                <w:color w:val="000000"/>
                <w:sz w:val="19"/>
                <w:szCs w:val="19"/>
                <w:lang w:val="en-US"/>
              </w:rPr>
            </w:pPr>
            <w:r w:rsidRPr="0010584B">
              <w:rPr>
                <w:rFonts w:asciiTheme="minorHAnsi" w:eastAsia="Times New Roman" w:hAnsiTheme="minorHAnsi" w:cstheme="minorHAnsi"/>
                <w:b/>
                <w:bCs/>
                <w:color w:val="000000"/>
                <w:sz w:val="19"/>
                <w:szCs w:val="19"/>
                <w:lang w:val="en-US"/>
              </w:rPr>
              <w:t xml:space="preserve">Number of Exams </w:t>
            </w:r>
          </w:p>
        </w:tc>
      </w:tr>
      <w:tr w:rsidR="00AA5AAC" w:rsidRPr="0010584B" w14:paraId="067EB199" w14:textId="77777777" w:rsidTr="00941483">
        <w:trPr>
          <w:trHeight w:val="713"/>
        </w:trPr>
        <w:tc>
          <w:tcPr>
            <w:tcW w:w="1198" w:type="pct"/>
            <w:tcBorders>
              <w:top w:val="single" w:sz="4" w:space="0" w:color="auto"/>
            </w:tcBorders>
            <w:shd w:val="clear" w:color="000000" w:fill="FFFFFF"/>
            <w:hideMark/>
          </w:tcPr>
          <w:p w14:paraId="41F83AD4"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Optima CT600</w:t>
            </w:r>
          </w:p>
        </w:tc>
        <w:tc>
          <w:tcPr>
            <w:tcW w:w="1942" w:type="pct"/>
            <w:tcBorders>
              <w:top w:val="single" w:sz="4" w:space="0" w:color="auto"/>
            </w:tcBorders>
            <w:shd w:val="clear" w:color="000000" w:fill="FFFFFF"/>
            <w:hideMark/>
          </w:tcPr>
          <w:p w14:paraId="6AF5AA42"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General Electrics HealthCare, Boston, 5 Necco St, United States</w:t>
            </w:r>
          </w:p>
        </w:tc>
        <w:tc>
          <w:tcPr>
            <w:tcW w:w="1860" w:type="pct"/>
            <w:tcBorders>
              <w:top w:val="single" w:sz="4" w:space="0" w:color="auto"/>
            </w:tcBorders>
            <w:shd w:val="clear" w:color="000000" w:fill="FFFFFF"/>
            <w:hideMark/>
          </w:tcPr>
          <w:p w14:paraId="6D919E9C"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170</w:t>
            </w:r>
          </w:p>
        </w:tc>
      </w:tr>
      <w:tr w:rsidR="00AA5AAC" w:rsidRPr="0010584B" w14:paraId="64B62F0E" w14:textId="77777777" w:rsidTr="00941483">
        <w:trPr>
          <w:trHeight w:val="987"/>
        </w:trPr>
        <w:tc>
          <w:tcPr>
            <w:tcW w:w="1198" w:type="pct"/>
            <w:shd w:val="clear" w:color="000000" w:fill="FFFFFF"/>
            <w:hideMark/>
          </w:tcPr>
          <w:p w14:paraId="456FF5DA"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Somatom Xceed</w:t>
            </w:r>
          </w:p>
        </w:tc>
        <w:tc>
          <w:tcPr>
            <w:tcW w:w="1942" w:type="pct"/>
            <w:shd w:val="clear" w:color="000000" w:fill="FFFFFF"/>
            <w:hideMark/>
          </w:tcPr>
          <w:p w14:paraId="733779AB"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Siemens Healthcare; Aktiengesellschaft, Werner-von-Siemens-Straße 1 80333 Munich Germany</w:t>
            </w:r>
          </w:p>
        </w:tc>
        <w:tc>
          <w:tcPr>
            <w:tcW w:w="1860" w:type="pct"/>
            <w:shd w:val="clear" w:color="000000" w:fill="FFFFFF"/>
            <w:hideMark/>
          </w:tcPr>
          <w:p w14:paraId="32438E48"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36</w:t>
            </w:r>
          </w:p>
        </w:tc>
      </w:tr>
      <w:tr w:rsidR="00AA5AAC" w:rsidRPr="0010584B" w14:paraId="0A146D03" w14:textId="77777777" w:rsidTr="00941483">
        <w:trPr>
          <w:trHeight w:val="680"/>
        </w:trPr>
        <w:tc>
          <w:tcPr>
            <w:tcW w:w="1198" w:type="pct"/>
            <w:shd w:val="clear" w:color="000000" w:fill="FFFFFF"/>
            <w:hideMark/>
          </w:tcPr>
          <w:p w14:paraId="3C381031"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Ingenuity Core</w:t>
            </w:r>
          </w:p>
        </w:tc>
        <w:tc>
          <w:tcPr>
            <w:tcW w:w="1942" w:type="pct"/>
            <w:shd w:val="clear" w:color="000000" w:fill="FFFFFF"/>
            <w:hideMark/>
          </w:tcPr>
          <w:p w14:paraId="4DD1F50D"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Philips Healthcare; Eindhoven, High Tech Campus 5, Netherlands</w:t>
            </w:r>
          </w:p>
        </w:tc>
        <w:tc>
          <w:tcPr>
            <w:tcW w:w="1860" w:type="pct"/>
            <w:shd w:val="clear" w:color="000000" w:fill="FFFFFF"/>
            <w:hideMark/>
          </w:tcPr>
          <w:p w14:paraId="0AB2D7FB"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23</w:t>
            </w:r>
          </w:p>
        </w:tc>
      </w:tr>
      <w:tr w:rsidR="00AA5AAC" w:rsidRPr="0010584B" w14:paraId="2B405750" w14:textId="77777777" w:rsidTr="00941483">
        <w:trPr>
          <w:trHeight w:val="680"/>
        </w:trPr>
        <w:tc>
          <w:tcPr>
            <w:tcW w:w="1198" w:type="pct"/>
            <w:shd w:val="clear" w:color="000000" w:fill="FFFFFF"/>
            <w:hideMark/>
          </w:tcPr>
          <w:p w14:paraId="4CA6C1BD"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Aquilion One</w:t>
            </w:r>
          </w:p>
        </w:tc>
        <w:tc>
          <w:tcPr>
            <w:tcW w:w="1942" w:type="pct"/>
            <w:shd w:val="clear" w:color="000000" w:fill="FFFFFF"/>
            <w:hideMark/>
          </w:tcPr>
          <w:p w14:paraId="34634B99"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Toshiba Medical Systems Corporation, 1385 Shimoishigami, Otawara City, Tochigi Prefecture</w:t>
            </w:r>
          </w:p>
        </w:tc>
        <w:tc>
          <w:tcPr>
            <w:tcW w:w="1860" w:type="pct"/>
            <w:shd w:val="clear" w:color="000000" w:fill="FFFFFF"/>
            <w:hideMark/>
          </w:tcPr>
          <w:p w14:paraId="6058018D" w14:textId="77777777" w:rsidR="00AA5AAC" w:rsidRPr="0010584B" w:rsidRDefault="00AA5AAC" w:rsidP="001805F5">
            <w:pPr>
              <w:spacing w:line="240" w:lineRule="auto"/>
              <w:rPr>
                <w:rFonts w:asciiTheme="minorHAnsi" w:eastAsia="Times New Roman" w:hAnsiTheme="minorHAnsi" w:cstheme="minorHAnsi"/>
                <w:color w:val="000000"/>
                <w:sz w:val="19"/>
                <w:szCs w:val="19"/>
                <w:lang w:val="en-US"/>
              </w:rPr>
            </w:pPr>
            <w:r w:rsidRPr="0010584B">
              <w:rPr>
                <w:rFonts w:asciiTheme="minorHAnsi" w:eastAsia="Times New Roman" w:hAnsiTheme="minorHAnsi" w:cstheme="minorHAnsi"/>
                <w:color w:val="000000"/>
                <w:sz w:val="19"/>
                <w:szCs w:val="19"/>
                <w:lang w:val="en-US"/>
              </w:rPr>
              <w:t>23</w:t>
            </w:r>
          </w:p>
        </w:tc>
      </w:tr>
    </w:tbl>
    <w:p w14:paraId="293ABA8F" w14:textId="77777777" w:rsidR="00AA5AAC" w:rsidRPr="0010584B" w:rsidRDefault="00AA5AAC" w:rsidP="00673E58">
      <w:pPr>
        <w:rPr>
          <w:rFonts w:asciiTheme="minorHAnsi" w:hAnsiTheme="minorHAnsi" w:cstheme="minorHAnsi"/>
          <w:lang w:val="en-US"/>
        </w:rPr>
      </w:pPr>
    </w:p>
    <w:sectPr w:rsidR="00AA5AAC" w:rsidRPr="0010584B">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E9301" w14:textId="77777777" w:rsidR="000B2637" w:rsidRDefault="000B2637" w:rsidP="0010584B">
      <w:pPr>
        <w:spacing w:line="240" w:lineRule="auto"/>
      </w:pPr>
      <w:r>
        <w:separator/>
      </w:r>
    </w:p>
  </w:endnote>
  <w:endnote w:type="continuationSeparator" w:id="0">
    <w:p w14:paraId="2DB55FAD" w14:textId="77777777" w:rsidR="000B2637" w:rsidRDefault="000B2637" w:rsidP="001058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A58F0" w14:textId="77777777" w:rsidR="000B2637" w:rsidRDefault="000B2637" w:rsidP="0010584B">
      <w:pPr>
        <w:spacing w:line="240" w:lineRule="auto"/>
      </w:pPr>
      <w:r>
        <w:separator/>
      </w:r>
    </w:p>
  </w:footnote>
  <w:footnote w:type="continuationSeparator" w:id="0">
    <w:p w14:paraId="5EACAD5B" w14:textId="77777777" w:rsidR="000B2637" w:rsidRDefault="000B2637" w:rsidP="001058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8DBDB" w14:textId="77777777" w:rsidR="0010584B" w:rsidRPr="0010584B" w:rsidRDefault="0010584B">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1F7985"/>
    <w:multiLevelType w:val="multilevel"/>
    <w:tmpl w:val="5C40816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16cid:durableId="55339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A87"/>
    <w:rsid w:val="00040374"/>
    <w:rsid w:val="000B2637"/>
    <w:rsid w:val="0010584B"/>
    <w:rsid w:val="001805F5"/>
    <w:rsid w:val="001A447A"/>
    <w:rsid w:val="002F4A87"/>
    <w:rsid w:val="00336C49"/>
    <w:rsid w:val="00354D52"/>
    <w:rsid w:val="0055121A"/>
    <w:rsid w:val="00673E58"/>
    <w:rsid w:val="006C3DED"/>
    <w:rsid w:val="007D130C"/>
    <w:rsid w:val="00807FA6"/>
    <w:rsid w:val="00941483"/>
    <w:rsid w:val="009E0F6B"/>
    <w:rsid w:val="00AA5AAC"/>
    <w:rsid w:val="00D50CA2"/>
    <w:rsid w:val="00D51D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4379"/>
  <w15:chartTrackingRefBased/>
  <w15:docId w15:val="{D300B607-2FD9-45EC-9E10-2744A9801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3E58"/>
    <w:pPr>
      <w:spacing w:after="0" w:line="276" w:lineRule="auto"/>
    </w:pPr>
    <w:rPr>
      <w:rFonts w:ascii="Arial" w:eastAsia="Arial" w:hAnsi="Arial" w:cs="Arial"/>
      <w:kern w:val="0"/>
      <w:lang w:val="pl" w:eastAsia="pl-PL"/>
      <w14:ligatures w14:val="none"/>
    </w:rPr>
  </w:style>
  <w:style w:type="paragraph" w:styleId="Nagwek1">
    <w:name w:val="heading 1"/>
    <w:basedOn w:val="Normalny"/>
    <w:next w:val="Normalny"/>
    <w:link w:val="Nagwek1Znak"/>
    <w:uiPriority w:val="9"/>
    <w:qFormat/>
    <w:rsid w:val="0010584B"/>
    <w:pPr>
      <w:keepNext/>
      <w:keepLines/>
      <w:spacing w:before="240"/>
      <w:outlineLvl w:val="0"/>
    </w:pPr>
    <w:rPr>
      <w:rFonts w:asciiTheme="majorHAnsi" w:eastAsiaTheme="majorEastAsia" w:hAnsiTheme="majorHAnsi" w:cstheme="majorBidi"/>
      <w:color w:val="000000" w:themeColor="text1"/>
      <w:sz w:val="24"/>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0584B"/>
    <w:rPr>
      <w:color w:val="0563C1" w:themeColor="hyperlink"/>
      <w:u w:val="single"/>
    </w:rPr>
  </w:style>
  <w:style w:type="character" w:customStyle="1" w:styleId="Nagwek1Znak">
    <w:name w:val="Nagłówek 1 Znak"/>
    <w:basedOn w:val="Domylnaczcionkaakapitu"/>
    <w:link w:val="Nagwek1"/>
    <w:uiPriority w:val="9"/>
    <w:rsid w:val="0010584B"/>
    <w:rPr>
      <w:rFonts w:asciiTheme="majorHAnsi" w:eastAsiaTheme="majorEastAsia" w:hAnsiTheme="majorHAnsi" w:cstheme="majorBidi"/>
      <w:color w:val="000000" w:themeColor="text1"/>
      <w:kern w:val="0"/>
      <w:sz w:val="24"/>
      <w:szCs w:val="32"/>
      <w:lang w:val="pl" w:eastAsia="pl-PL"/>
      <w14:ligatures w14:val="none"/>
    </w:rPr>
  </w:style>
  <w:style w:type="paragraph" w:styleId="Nagwekspisutreci">
    <w:name w:val="TOC Heading"/>
    <w:basedOn w:val="Nagwek1"/>
    <w:next w:val="Normalny"/>
    <w:uiPriority w:val="39"/>
    <w:unhideWhenUsed/>
    <w:qFormat/>
    <w:rsid w:val="0010584B"/>
    <w:pPr>
      <w:spacing w:line="259" w:lineRule="auto"/>
      <w:outlineLvl w:val="9"/>
    </w:pPr>
    <w:rPr>
      <w:lang w:val="pl-PL"/>
    </w:rPr>
  </w:style>
  <w:style w:type="paragraph" w:styleId="Nagwek">
    <w:name w:val="header"/>
    <w:basedOn w:val="Normalny"/>
    <w:link w:val="NagwekZnak"/>
    <w:uiPriority w:val="99"/>
    <w:unhideWhenUsed/>
    <w:rsid w:val="0010584B"/>
    <w:pPr>
      <w:tabs>
        <w:tab w:val="center" w:pos="4536"/>
        <w:tab w:val="right" w:pos="9072"/>
      </w:tabs>
      <w:spacing w:line="240" w:lineRule="auto"/>
    </w:pPr>
  </w:style>
  <w:style w:type="character" w:customStyle="1" w:styleId="NagwekZnak">
    <w:name w:val="Nagłówek Znak"/>
    <w:basedOn w:val="Domylnaczcionkaakapitu"/>
    <w:link w:val="Nagwek"/>
    <w:uiPriority w:val="99"/>
    <w:rsid w:val="0010584B"/>
    <w:rPr>
      <w:rFonts w:ascii="Arial" w:eastAsia="Arial" w:hAnsi="Arial" w:cs="Arial"/>
      <w:kern w:val="0"/>
      <w:lang w:val="pl" w:eastAsia="pl-PL"/>
      <w14:ligatures w14:val="none"/>
    </w:rPr>
  </w:style>
  <w:style w:type="paragraph" w:styleId="Stopka">
    <w:name w:val="footer"/>
    <w:basedOn w:val="Normalny"/>
    <w:link w:val="StopkaZnak"/>
    <w:uiPriority w:val="99"/>
    <w:unhideWhenUsed/>
    <w:rsid w:val="0010584B"/>
    <w:pPr>
      <w:tabs>
        <w:tab w:val="center" w:pos="4536"/>
        <w:tab w:val="right" w:pos="9072"/>
      </w:tabs>
      <w:spacing w:line="240" w:lineRule="auto"/>
    </w:pPr>
  </w:style>
  <w:style w:type="character" w:customStyle="1" w:styleId="StopkaZnak">
    <w:name w:val="Stopka Znak"/>
    <w:basedOn w:val="Domylnaczcionkaakapitu"/>
    <w:link w:val="Stopka"/>
    <w:uiPriority w:val="99"/>
    <w:rsid w:val="0010584B"/>
    <w:rPr>
      <w:rFonts w:ascii="Arial" w:eastAsia="Arial" w:hAnsi="Arial" w:cs="Arial"/>
      <w:kern w:val="0"/>
      <w:lang w:val="pl" w:eastAsia="pl-PL"/>
      <w14:ligatures w14:val="none"/>
    </w:rPr>
  </w:style>
  <w:style w:type="paragraph" w:styleId="Spistreci2">
    <w:name w:val="toc 2"/>
    <w:basedOn w:val="Normalny"/>
    <w:next w:val="Normalny"/>
    <w:autoRedefine/>
    <w:uiPriority w:val="39"/>
    <w:unhideWhenUsed/>
    <w:rsid w:val="0010584B"/>
    <w:pPr>
      <w:spacing w:after="100" w:line="259" w:lineRule="auto"/>
      <w:ind w:left="220"/>
    </w:pPr>
    <w:rPr>
      <w:rFonts w:asciiTheme="minorHAnsi" w:eastAsiaTheme="minorEastAsia" w:hAnsiTheme="minorHAnsi" w:cs="Times New Roman"/>
      <w:lang w:val="pl-PL"/>
    </w:rPr>
  </w:style>
  <w:style w:type="paragraph" w:styleId="Spistreci1">
    <w:name w:val="toc 1"/>
    <w:basedOn w:val="Normalny"/>
    <w:next w:val="Normalny"/>
    <w:autoRedefine/>
    <w:uiPriority w:val="39"/>
    <w:unhideWhenUsed/>
    <w:rsid w:val="0010584B"/>
    <w:pPr>
      <w:spacing w:after="100" w:line="259" w:lineRule="auto"/>
    </w:pPr>
    <w:rPr>
      <w:rFonts w:asciiTheme="minorHAnsi" w:eastAsiaTheme="minorEastAsia" w:hAnsiTheme="minorHAnsi" w:cs="Times New Roman"/>
      <w:lang w:val="pl-PL"/>
    </w:rPr>
  </w:style>
  <w:style w:type="paragraph" w:styleId="Spistreci3">
    <w:name w:val="toc 3"/>
    <w:basedOn w:val="Normalny"/>
    <w:next w:val="Normalny"/>
    <w:autoRedefine/>
    <w:uiPriority w:val="39"/>
    <w:unhideWhenUsed/>
    <w:rsid w:val="0010584B"/>
    <w:pPr>
      <w:spacing w:after="100" w:line="259" w:lineRule="auto"/>
      <w:ind w:left="440"/>
    </w:pPr>
    <w:rPr>
      <w:rFonts w:asciiTheme="minorHAnsi" w:eastAsiaTheme="minorEastAsia" w:hAnsiTheme="minorHAnsi"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48133">
      <w:bodyDiv w:val="1"/>
      <w:marLeft w:val="0"/>
      <w:marRight w:val="0"/>
      <w:marTop w:val="0"/>
      <w:marBottom w:val="0"/>
      <w:divBdr>
        <w:top w:val="none" w:sz="0" w:space="0" w:color="auto"/>
        <w:left w:val="none" w:sz="0" w:space="0" w:color="auto"/>
        <w:bottom w:val="none" w:sz="0" w:space="0" w:color="auto"/>
        <w:right w:val="none" w:sz="0" w:space="0" w:color="auto"/>
      </w:divBdr>
    </w:div>
    <w:div w:id="1036662917">
      <w:bodyDiv w:val="1"/>
      <w:marLeft w:val="0"/>
      <w:marRight w:val="0"/>
      <w:marTop w:val="0"/>
      <w:marBottom w:val="0"/>
      <w:divBdr>
        <w:top w:val="none" w:sz="0" w:space="0" w:color="auto"/>
        <w:left w:val="none" w:sz="0" w:space="0" w:color="auto"/>
        <w:bottom w:val="none" w:sz="0" w:space="0" w:color="auto"/>
        <w:right w:val="none" w:sz="0" w:space="0" w:color="auto"/>
      </w:divBdr>
    </w:div>
    <w:div w:id="19982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zysztof.bartnik@wum.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9764E-573D-4AFF-B759-27099E70D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651</Words>
  <Characters>3910</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Bartnik</dc:creator>
  <cp:keywords/>
  <dc:description/>
  <cp:lastModifiedBy>Krzysztof Bartnik</cp:lastModifiedBy>
  <cp:revision>15</cp:revision>
  <dcterms:created xsi:type="dcterms:W3CDTF">2023-11-09T11:12:00Z</dcterms:created>
  <dcterms:modified xsi:type="dcterms:W3CDTF">2023-11-13T09:10:00Z</dcterms:modified>
</cp:coreProperties>
</file>