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420" w:hanging="420"/>
        <w:jc w:val="center"/>
        <w:rPr>
          <w:rFonts w:hint="default" w:ascii="Arial" w:hAnsi="Arial" w:cs="Arial"/>
          <w:b/>
          <w:bCs/>
          <w:sz w:val="32"/>
          <w:szCs w:val="36"/>
        </w:rPr>
      </w:pPr>
      <w:bookmarkStart w:id="0" w:name="_Hlk104677903"/>
      <w:r>
        <w:rPr>
          <w:rFonts w:hint="default" w:ascii="Arial" w:hAnsi="Arial" w:cs="Arial"/>
          <w:b/>
          <w:bCs/>
          <w:sz w:val="32"/>
          <w:szCs w:val="36"/>
        </w:rPr>
        <w:t>Supplementary Material</w:t>
      </w:r>
    </w:p>
    <w:p>
      <w:pPr>
        <w:spacing w:line="360" w:lineRule="auto"/>
        <w:ind w:left="420" w:hanging="420"/>
        <w:jc w:val="both"/>
        <w:rPr>
          <w:rFonts w:hint="default" w:ascii="Arial" w:hAnsi="Arial" w:cs="Arial"/>
          <w:b/>
          <w:bCs/>
          <w:sz w:val="28"/>
          <w:szCs w:val="32"/>
        </w:rPr>
      </w:pPr>
      <w:r>
        <w:rPr>
          <w:rFonts w:hint="default" w:ascii="Arial" w:hAnsi="Arial" w:cs="Arial"/>
          <w:b/>
          <w:bCs/>
          <w:sz w:val="28"/>
          <w:szCs w:val="32"/>
        </w:rPr>
        <w:t>MRI parameter definition and diagram</w:t>
      </w:r>
    </w:p>
    <w:p>
      <w:pPr>
        <w:pStyle w:val="10"/>
        <w:numPr>
          <w:ilvl w:val="0"/>
          <w:numId w:val="1"/>
        </w:numPr>
        <w:spacing w:line="360" w:lineRule="auto"/>
        <w:ind w:firstLineChars="0"/>
        <w:jc w:val="left"/>
        <w:rPr>
          <w:rFonts w:hint="default" w:ascii="Arial" w:hAnsi="Arial" w:cs="Arial"/>
          <w:sz w:val="22"/>
          <w:szCs w:val="22"/>
        </w:rPr>
      </w:pPr>
      <w:r>
        <w:rPr>
          <w:rFonts w:hint="default" w:ascii="Arial" w:hAnsi="Arial" w:cs="Arial"/>
          <w:b/>
          <w:bCs/>
          <w:sz w:val="22"/>
          <w:szCs w:val="22"/>
        </w:rPr>
        <w:t>Black-white flower sign</w:t>
      </w:r>
      <w:r>
        <w:rPr>
          <w:rFonts w:hint="default" w:ascii="Arial" w:hAnsi="Arial" w:cs="Arial"/>
          <w:sz w:val="22"/>
          <w:szCs w:val="22"/>
        </w:rPr>
        <w:t xml:space="preserve"> </w:t>
      </w:r>
      <w:bookmarkStart w:id="1" w:name="_Hlk107868941"/>
      <w:r>
        <w:rPr>
          <w:rFonts w:hint="default" w:ascii="Arial" w:hAnsi="Arial" w:cs="Arial"/>
          <w:sz w:val="22"/>
          <w:szCs w:val="22"/>
        </w:rPr>
        <w:t xml:space="preserve">was defined as the lesion with high signal similar to cerebrospinal fluid signal with irregular petal shaped, and irregular and obvious low signal in the center of the lesion on T2WI, </w:t>
      </w:r>
      <w:r>
        <w:rPr>
          <w:rFonts w:hint="default" w:ascii="Arial" w:hAnsi="Arial" w:cs="Arial"/>
          <w:b/>
          <w:bCs/>
          <w:sz w:val="22"/>
          <w:szCs w:val="22"/>
        </w:rPr>
        <w:t>which was indicated in the figures as follows</w:t>
      </w:r>
      <w:r>
        <w:rPr>
          <w:rFonts w:hint="default" w:ascii="Arial" w:hAnsi="Arial" w:cs="Arial"/>
          <w:sz w:val="22"/>
          <w:szCs w:val="22"/>
        </w:rPr>
        <w:t>.</w:t>
      </w:r>
      <w:bookmarkEnd w:id="1"/>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3780155" cy="28498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04819" cy="2868535"/>
                    </a:xfrm>
                    <a:prstGeom prst="rect">
                      <a:avLst/>
                    </a:prstGeom>
                  </pic:spPr>
                </pic:pic>
              </a:graphicData>
            </a:graphic>
          </wp:inline>
        </w:drawing>
      </w:r>
    </w:p>
    <w:p>
      <w:pPr>
        <w:pStyle w:val="10"/>
        <w:spacing w:line="360" w:lineRule="auto"/>
        <w:ind w:left="420" w:firstLine="0" w:firstLineChars="0"/>
        <w:jc w:val="center"/>
        <w:rPr>
          <w:rFonts w:hint="default" w:ascii="Arial" w:hAnsi="Arial" w:cs="Arial"/>
          <w:szCs w:val="21"/>
        </w:rPr>
      </w:pPr>
      <w:r>
        <w:rPr>
          <w:rFonts w:hint="default" w:ascii="Arial" w:hAnsi="Arial" w:cs="Arial"/>
          <w:szCs w:val="21"/>
        </w:rPr>
        <w:t>The white arrow refers to the black-white flower sign on T2WI image from four different patients.</w:t>
      </w:r>
    </w:p>
    <w:p>
      <w:pPr>
        <w:pStyle w:val="10"/>
        <w:spacing w:line="360" w:lineRule="auto"/>
        <w:ind w:left="420" w:firstLine="0" w:firstLineChars="0"/>
        <w:jc w:val="center"/>
        <w:rPr>
          <w:rFonts w:hint="default" w:ascii="Arial" w:hAnsi="Arial" w:cs="Arial"/>
          <w:szCs w:val="21"/>
        </w:rPr>
      </w:pPr>
    </w:p>
    <w:p>
      <w:pPr>
        <w:pStyle w:val="10"/>
        <w:numPr>
          <w:ilvl w:val="0"/>
          <w:numId w:val="1"/>
        </w:numPr>
        <w:spacing w:line="360" w:lineRule="auto"/>
        <w:ind w:firstLineChars="0"/>
        <w:jc w:val="left"/>
        <w:rPr>
          <w:rFonts w:hint="default" w:ascii="Arial" w:hAnsi="Arial" w:cs="Arial"/>
          <w:sz w:val="22"/>
          <w:szCs w:val="22"/>
        </w:rPr>
      </w:pPr>
      <w:bookmarkStart w:id="2" w:name="OLE_LINK9"/>
      <w:bookmarkStart w:id="3" w:name="OLE_LINK10"/>
      <w:r>
        <w:rPr>
          <w:rFonts w:hint="default" w:ascii="Arial" w:hAnsi="Arial" w:cs="Arial"/>
          <w:b/>
          <w:bCs/>
          <w:sz w:val="22"/>
          <w:szCs w:val="22"/>
        </w:rPr>
        <w:t>Gap-filling enhancement</w:t>
      </w:r>
      <w:bookmarkEnd w:id="2"/>
      <w:bookmarkEnd w:id="3"/>
      <w:r>
        <w:rPr>
          <w:rFonts w:hint="default" w:ascii="Arial" w:hAnsi="Arial" w:cs="Arial"/>
          <w:sz w:val="22"/>
          <w:szCs w:val="22"/>
        </w:rPr>
        <w:t xml:space="preserve"> was defined as the lesion located at the peripheral area of thyroid with thyroid contour line interruption in the early phase of multiphasic contrast-enhanced MRI had a </w:t>
      </w:r>
      <w:bookmarkStart w:id="4" w:name="_Hlk104680335"/>
      <w:r>
        <w:rPr>
          <w:rFonts w:hint="default" w:ascii="Arial" w:hAnsi="Arial" w:cs="Arial"/>
          <w:sz w:val="22"/>
          <w:szCs w:val="22"/>
        </w:rPr>
        <w:t>progressive enhancement pattern</w:t>
      </w:r>
      <w:bookmarkEnd w:id="4"/>
      <w:r>
        <w:rPr>
          <w:rFonts w:hint="default" w:ascii="Arial" w:hAnsi="Arial" w:cs="Arial"/>
          <w:sz w:val="22"/>
          <w:szCs w:val="22"/>
        </w:rPr>
        <w:t xml:space="preserve">, and then the thyroid </w:t>
      </w:r>
      <w:bookmarkStart w:id="5" w:name="OLE_LINK14"/>
      <w:bookmarkStart w:id="6" w:name="OLE_LINK13"/>
      <w:r>
        <w:rPr>
          <w:rFonts w:hint="default" w:ascii="Arial" w:hAnsi="Arial" w:cs="Arial"/>
          <w:sz w:val="22"/>
          <w:szCs w:val="22"/>
        </w:rPr>
        <w:t>contour line</w:t>
      </w:r>
      <w:bookmarkEnd w:id="5"/>
      <w:bookmarkEnd w:id="6"/>
      <w:r>
        <w:rPr>
          <w:rFonts w:hint="default" w:ascii="Arial" w:hAnsi="Arial" w:cs="Arial"/>
          <w:sz w:val="22"/>
          <w:szCs w:val="22"/>
        </w:rPr>
        <w:t xml:space="preserve"> was complete in the delay phase, </w:t>
      </w:r>
      <w:r>
        <w:rPr>
          <w:rFonts w:hint="default" w:ascii="Arial" w:hAnsi="Arial" w:cs="Arial"/>
          <w:b/>
          <w:bCs/>
          <w:sz w:val="22"/>
          <w:szCs w:val="22"/>
        </w:rPr>
        <w:t>which was indicated in the figures as follows</w:t>
      </w:r>
      <w:r>
        <w:rPr>
          <w:rFonts w:hint="default" w:ascii="Arial" w:hAnsi="Arial" w:cs="Arial"/>
          <w:sz w:val="22"/>
          <w:szCs w:val="22"/>
        </w:rPr>
        <w:t>.</w:t>
      </w:r>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5833110" cy="2190115"/>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41945" cy="2193593"/>
                    </a:xfrm>
                    <a:prstGeom prst="rect">
                      <a:avLst/>
                    </a:prstGeom>
                  </pic:spPr>
                </pic:pic>
              </a:graphicData>
            </a:graphic>
          </wp:inline>
        </w:drawing>
      </w:r>
    </w:p>
    <w:p>
      <w:pPr>
        <w:spacing w:line="360" w:lineRule="auto"/>
        <w:rPr>
          <w:rFonts w:hint="default" w:ascii="Arial" w:hAnsi="Arial" w:cs="Arial"/>
          <w:sz w:val="21"/>
          <w:szCs w:val="21"/>
        </w:rPr>
      </w:pPr>
      <w:r>
        <w:rPr>
          <w:rFonts w:hint="default" w:ascii="Arial" w:hAnsi="Arial" w:cs="Arial"/>
          <w:sz w:val="21"/>
          <w:szCs w:val="21"/>
        </w:rPr>
        <w:t>The early phase (a, c, e, g) and delay phase (b, d, f, h) of multiphasic contrast-enhanced MRI show Gap-filling enhancement (white arrows), and the images (a, b), (c, d), (e, f) and (g, h) were obtained from the same patients.</w:t>
      </w:r>
    </w:p>
    <w:p>
      <w:pPr>
        <w:spacing w:line="360" w:lineRule="auto"/>
        <w:rPr>
          <w:rFonts w:hint="default" w:ascii="Arial" w:hAnsi="Arial" w:cs="Arial"/>
          <w:sz w:val="18"/>
          <w:szCs w:val="18"/>
        </w:rPr>
      </w:pPr>
    </w:p>
    <w:p>
      <w:pPr>
        <w:pStyle w:val="10"/>
        <w:numPr>
          <w:ilvl w:val="0"/>
          <w:numId w:val="1"/>
        </w:numPr>
        <w:spacing w:line="360" w:lineRule="auto"/>
        <w:ind w:firstLineChars="0"/>
        <w:rPr>
          <w:rFonts w:hint="default" w:ascii="Arial" w:hAnsi="Arial" w:cs="Arial"/>
          <w:b/>
          <w:bCs/>
          <w:sz w:val="22"/>
          <w:szCs w:val="22"/>
        </w:rPr>
      </w:pPr>
      <w:bookmarkStart w:id="7" w:name="OLE_LINK2"/>
      <w:bookmarkStart w:id="8" w:name="OLE_LINK1"/>
      <w:r>
        <w:rPr>
          <w:rFonts w:hint="default" w:ascii="Arial" w:hAnsi="Arial" w:cs="Arial"/>
          <w:b/>
          <w:bCs/>
          <w:sz w:val="22"/>
          <w:szCs w:val="22"/>
          <w:lang w:val="en-US" w:eastAsia="zh-CN"/>
        </w:rPr>
        <w:t>Light p</w:t>
      </w:r>
      <w:r>
        <w:rPr>
          <w:rFonts w:hint="default" w:ascii="Arial" w:hAnsi="Arial" w:cs="Arial"/>
          <w:b/>
          <w:bCs/>
          <w:sz w:val="22"/>
          <w:szCs w:val="22"/>
        </w:rPr>
        <w:t xml:space="preserve">earl sign </w:t>
      </w:r>
      <w:r>
        <w:rPr>
          <w:rFonts w:hint="default" w:ascii="Arial" w:hAnsi="Arial" w:cs="Arial"/>
          <w:sz w:val="22"/>
          <w:szCs w:val="22"/>
        </w:rPr>
        <w:t xml:space="preserve">was defined as the single or multiple nodular irregular lesions with hyperintense signal like cerebrospinal fluid on the wall of the black cystic lesions on T2WI, </w:t>
      </w:r>
      <w:r>
        <w:rPr>
          <w:rFonts w:hint="default" w:ascii="Arial" w:hAnsi="Arial" w:cs="Arial"/>
          <w:b/>
          <w:bCs/>
          <w:sz w:val="22"/>
          <w:szCs w:val="22"/>
        </w:rPr>
        <w:t>which was indicated in the figures as follows</w:t>
      </w:r>
      <w:r>
        <w:rPr>
          <w:rFonts w:hint="default" w:ascii="Arial" w:hAnsi="Arial" w:cs="Arial"/>
          <w:sz w:val="22"/>
          <w:szCs w:val="22"/>
        </w:rPr>
        <w:t>.</w:t>
      </w:r>
    </w:p>
    <w:bookmarkEnd w:id="7"/>
    <w:bookmarkEnd w:id="8"/>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3962400" cy="29876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89779" cy="3007981"/>
                    </a:xfrm>
                    <a:prstGeom prst="rect">
                      <a:avLst/>
                    </a:prstGeom>
                  </pic:spPr>
                </pic:pic>
              </a:graphicData>
            </a:graphic>
          </wp:inline>
        </w:drawing>
      </w:r>
    </w:p>
    <w:p>
      <w:pPr>
        <w:pStyle w:val="10"/>
        <w:spacing w:line="360" w:lineRule="auto"/>
        <w:ind w:left="420" w:firstLine="0" w:firstLineChars="0"/>
        <w:jc w:val="center"/>
        <w:rPr>
          <w:rFonts w:hint="default" w:ascii="Arial" w:hAnsi="Arial" w:cs="Arial"/>
          <w:szCs w:val="21"/>
        </w:rPr>
      </w:pPr>
      <w:r>
        <w:rPr>
          <w:rFonts w:hint="default" w:ascii="Arial" w:hAnsi="Arial" w:cs="Arial"/>
          <w:szCs w:val="21"/>
        </w:rPr>
        <w:t>The white arrow refers to the</w:t>
      </w:r>
      <w:r>
        <w:rPr>
          <w:rFonts w:hint="eastAsia" w:ascii="Arial" w:hAnsi="Arial" w:cs="Arial"/>
          <w:szCs w:val="21"/>
          <w:lang w:val="en-US" w:eastAsia="zh-CN"/>
        </w:rPr>
        <w:t xml:space="preserve"> light</w:t>
      </w:r>
      <w:r>
        <w:rPr>
          <w:rFonts w:hint="default" w:ascii="Arial" w:hAnsi="Arial" w:cs="Arial"/>
          <w:szCs w:val="21"/>
        </w:rPr>
        <w:t xml:space="preserve"> pearl sign on T2WI image from four different patients.</w:t>
      </w:r>
    </w:p>
    <w:p>
      <w:pPr>
        <w:pStyle w:val="10"/>
        <w:spacing w:line="360" w:lineRule="auto"/>
        <w:ind w:left="420" w:firstLine="0" w:firstLineChars="0"/>
        <w:jc w:val="center"/>
        <w:rPr>
          <w:rFonts w:hint="default" w:ascii="Arial" w:hAnsi="Arial" w:cs="Arial"/>
          <w:sz w:val="22"/>
          <w:szCs w:val="22"/>
        </w:rPr>
      </w:pPr>
    </w:p>
    <w:p>
      <w:pPr>
        <w:pStyle w:val="10"/>
        <w:numPr>
          <w:ilvl w:val="0"/>
          <w:numId w:val="1"/>
        </w:numPr>
        <w:spacing w:line="360" w:lineRule="auto"/>
        <w:ind w:firstLineChars="0"/>
        <w:rPr>
          <w:rFonts w:hint="default" w:ascii="Arial" w:hAnsi="Arial" w:cs="Arial"/>
          <w:b/>
          <w:bCs/>
          <w:sz w:val="22"/>
          <w:szCs w:val="22"/>
        </w:rPr>
      </w:pPr>
      <w:r>
        <w:rPr>
          <w:rFonts w:hint="default" w:ascii="Arial" w:hAnsi="Arial" w:cs="Arial"/>
          <w:b/>
          <w:bCs/>
          <w:sz w:val="22"/>
          <w:szCs w:val="22"/>
        </w:rPr>
        <w:t xml:space="preserve">No enhancement </w:t>
      </w:r>
      <w:r>
        <w:rPr>
          <w:rFonts w:hint="default" w:ascii="Arial" w:hAnsi="Arial" w:cs="Arial"/>
          <w:sz w:val="22"/>
          <w:szCs w:val="22"/>
        </w:rPr>
        <w:t xml:space="preserve">was defined as no contrast enhancement for lesion in the early phase and delay phase of multiphasic contrast-enhanced MRI, </w:t>
      </w:r>
      <w:r>
        <w:rPr>
          <w:rFonts w:hint="default" w:ascii="Arial" w:hAnsi="Arial" w:cs="Arial"/>
          <w:b/>
          <w:bCs/>
          <w:sz w:val="22"/>
          <w:szCs w:val="22"/>
        </w:rPr>
        <w:t>which was indicated in the figures as follows</w:t>
      </w:r>
      <w:r>
        <w:rPr>
          <w:rFonts w:hint="default" w:ascii="Arial" w:hAnsi="Arial" w:cs="Arial"/>
          <w:sz w:val="22"/>
          <w:szCs w:val="22"/>
        </w:rPr>
        <w:t>.</w:t>
      </w:r>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5876925" cy="2206625"/>
            <wp:effectExtent l="0" t="0" r="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82934" cy="2208984"/>
                    </a:xfrm>
                    <a:prstGeom prst="rect">
                      <a:avLst/>
                    </a:prstGeom>
                  </pic:spPr>
                </pic:pic>
              </a:graphicData>
            </a:graphic>
          </wp:inline>
        </w:drawing>
      </w:r>
    </w:p>
    <w:p>
      <w:pPr>
        <w:pStyle w:val="10"/>
        <w:spacing w:line="360" w:lineRule="auto"/>
        <w:ind w:left="420" w:firstLine="0" w:firstLineChars="0"/>
        <w:jc w:val="center"/>
        <w:rPr>
          <w:rFonts w:hint="default" w:ascii="Arial" w:hAnsi="Arial" w:cs="Arial"/>
          <w:sz w:val="21"/>
          <w:szCs w:val="21"/>
        </w:rPr>
      </w:pPr>
      <w:r>
        <w:rPr>
          <w:rFonts w:hint="default" w:ascii="Arial" w:hAnsi="Arial" w:cs="Arial"/>
          <w:sz w:val="21"/>
          <w:szCs w:val="21"/>
        </w:rPr>
        <w:t>The images (a, b), (c, d), (e, f) and (g, h) were obtained from the same patients and showed no enhancement that are hypointense on pre-contrast T1WI (a) and no contrast enhancement in the early phase (c, e, g) and delay phase (b, d, f, h) (white arrows)</w:t>
      </w:r>
    </w:p>
    <w:p>
      <w:pPr>
        <w:pStyle w:val="10"/>
        <w:spacing w:line="360" w:lineRule="auto"/>
        <w:ind w:left="420" w:firstLine="0" w:firstLineChars="0"/>
        <w:jc w:val="center"/>
        <w:rPr>
          <w:rFonts w:hint="default" w:ascii="Arial" w:hAnsi="Arial" w:cs="Arial"/>
          <w:b/>
          <w:bCs/>
          <w:sz w:val="24"/>
          <w:szCs w:val="24"/>
        </w:rPr>
      </w:pPr>
    </w:p>
    <w:p>
      <w:pPr>
        <w:pStyle w:val="10"/>
        <w:numPr>
          <w:ilvl w:val="0"/>
          <w:numId w:val="1"/>
        </w:numPr>
        <w:spacing w:line="360" w:lineRule="auto"/>
        <w:ind w:firstLineChars="0"/>
        <w:rPr>
          <w:rFonts w:hint="default" w:ascii="Arial" w:hAnsi="Arial" w:cs="Arial"/>
          <w:b/>
          <w:bCs/>
          <w:sz w:val="22"/>
          <w:szCs w:val="22"/>
        </w:rPr>
      </w:pPr>
      <w:r>
        <w:rPr>
          <w:rFonts w:hint="default" w:ascii="Arial" w:hAnsi="Arial" w:cs="Arial"/>
          <w:b/>
          <w:bCs/>
          <w:sz w:val="22"/>
          <w:szCs w:val="22"/>
        </w:rPr>
        <w:t>High signal intensity on T2WI</w:t>
      </w:r>
    </w:p>
    <w:p>
      <w:pPr>
        <w:pStyle w:val="10"/>
        <w:numPr>
          <w:ilvl w:val="0"/>
          <w:numId w:val="0"/>
        </w:numPr>
        <w:spacing w:line="360" w:lineRule="auto"/>
        <w:ind w:left="420" w:leftChars="0"/>
        <w:rPr>
          <w:rFonts w:hint="default" w:ascii="Arial" w:hAnsi="Arial" w:cs="Arial"/>
          <w:b/>
          <w:bCs/>
          <w:sz w:val="22"/>
          <w:szCs w:val="22"/>
        </w:rPr>
      </w:pPr>
      <w:bookmarkStart w:id="9" w:name="_Hlk106918898"/>
      <w:r>
        <w:rPr>
          <w:rFonts w:hint="default" w:ascii="Arial" w:hAnsi="Arial" w:cs="Arial"/>
          <w:b/>
          <w:bCs/>
          <w:sz w:val="22"/>
          <w:szCs w:val="22"/>
        </w:rPr>
        <w:t xml:space="preserve">The criteria for diagnosis: </w:t>
      </w:r>
      <w:bookmarkStart w:id="10" w:name="OLE_LINK7"/>
      <w:r>
        <w:rPr>
          <w:rFonts w:hint="default" w:ascii="Arial" w:hAnsi="Arial" w:cs="Arial"/>
          <w:sz w:val="22"/>
          <w:szCs w:val="22"/>
        </w:rPr>
        <w:t>high signal intensity on T2WI images can be seen in focal or diffuse area of thyroid nodule, similar to cerebrospinal fluid signal intensity.</w:t>
      </w:r>
      <w:bookmarkEnd w:id="10"/>
      <w:bookmarkStart w:id="11" w:name="OLE_LINK8"/>
      <w:bookmarkStart w:id="12" w:name="OLE_LINK11"/>
      <w:r>
        <w:rPr>
          <w:rFonts w:hint="eastAsia" w:ascii="Arial" w:hAnsi="Arial" w:cs="Arial"/>
          <w:sz w:val="22"/>
          <w:szCs w:val="22"/>
          <w:lang w:val="en-US" w:eastAsia="zh-CN"/>
        </w:rPr>
        <w:t xml:space="preserve"> </w:t>
      </w:r>
      <w:r>
        <w:rPr>
          <w:rFonts w:hint="default" w:ascii="Arial" w:hAnsi="Arial" w:cs="Arial"/>
          <w:b/>
          <w:bCs/>
          <w:sz w:val="22"/>
          <w:szCs w:val="22"/>
        </w:rPr>
        <w:t>Variable was indicated in the figures as follows:</w:t>
      </w:r>
    </w:p>
    <w:bookmarkEnd w:id="9"/>
    <w:bookmarkEnd w:id="11"/>
    <w:bookmarkEnd w:id="12"/>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3968115" cy="29914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4453" cy="3019042"/>
                    </a:xfrm>
                    <a:prstGeom prst="rect">
                      <a:avLst/>
                    </a:prstGeom>
                  </pic:spPr>
                </pic:pic>
              </a:graphicData>
            </a:graphic>
          </wp:inline>
        </w:drawing>
      </w:r>
    </w:p>
    <w:p>
      <w:pPr>
        <w:pStyle w:val="10"/>
        <w:spacing w:line="360" w:lineRule="auto"/>
        <w:ind w:left="420" w:firstLine="0" w:firstLineChars="0"/>
        <w:jc w:val="center"/>
        <w:rPr>
          <w:rFonts w:hint="default" w:ascii="Arial" w:hAnsi="Arial" w:cs="Arial"/>
          <w:b/>
          <w:bCs/>
          <w:sz w:val="24"/>
          <w:szCs w:val="24"/>
        </w:rPr>
      </w:pPr>
    </w:p>
    <w:p>
      <w:pPr>
        <w:pStyle w:val="10"/>
        <w:numPr>
          <w:ilvl w:val="0"/>
          <w:numId w:val="1"/>
        </w:numPr>
        <w:spacing w:line="360" w:lineRule="auto"/>
        <w:ind w:firstLineChars="0"/>
        <w:rPr>
          <w:rFonts w:hint="default" w:ascii="Arial" w:hAnsi="Arial" w:cs="Arial"/>
          <w:b/>
          <w:bCs/>
          <w:sz w:val="22"/>
          <w:szCs w:val="22"/>
        </w:rPr>
      </w:pPr>
      <w:r>
        <w:rPr>
          <w:rFonts w:hint="default" w:ascii="Arial" w:hAnsi="Arial" w:cs="Arial"/>
          <w:b/>
          <w:bCs/>
          <w:sz w:val="22"/>
          <w:szCs w:val="22"/>
        </w:rPr>
        <w:t>High signal intensity on T1WI</w:t>
      </w:r>
    </w:p>
    <w:p>
      <w:pPr>
        <w:pStyle w:val="10"/>
        <w:numPr>
          <w:ilvl w:val="0"/>
          <w:numId w:val="0"/>
        </w:numPr>
        <w:spacing w:line="360" w:lineRule="auto"/>
        <w:ind w:left="420" w:leftChars="0"/>
        <w:rPr>
          <w:rFonts w:hint="default" w:ascii="Arial" w:hAnsi="Arial" w:cs="Arial"/>
          <w:b/>
          <w:bCs/>
          <w:sz w:val="22"/>
          <w:szCs w:val="22"/>
        </w:rPr>
      </w:pPr>
      <w:r>
        <w:rPr>
          <w:rFonts w:hint="default" w:ascii="Arial" w:hAnsi="Arial" w:cs="Arial"/>
          <w:b/>
          <w:bCs/>
          <w:sz w:val="22"/>
          <w:szCs w:val="22"/>
        </w:rPr>
        <w:t xml:space="preserve">The criteria for diagnosis: </w:t>
      </w:r>
      <w:r>
        <w:rPr>
          <w:rFonts w:hint="default" w:ascii="Arial" w:hAnsi="Arial" w:cs="Arial"/>
          <w:sz w:val="22"/>
          <w:szCs w:val="22"/>
        </w:rPr>
        <w:t>high signal intensity on T1WI images can be seen in focal or diffuse area of thyroid nodule.</w:t>
      </w:r>
      <w:r>
        <w:rPr>
          <w:rFonts w:hint="default" w:ascii="Arial" w:hAnsi="Arial" w:cs="Arial"/>
          <w:b/>
          <w:bCs/>
          <w:sz w:val="22"/>
          <w:szCs w:val="22"/>
        </w:rPr>
        <w:t>Variable was indicated in the figures as follows:</w:t>
      </w:r>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3928745" cy="29622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4646" cy="2966413"/>
                    </a:xfrm>
                    <a:prstGeom prst="rect">
                      <a:avLst/>
                    </a:prstGeom>
                  </pic:spPr>
                </pic:pic>
              </a:graphicData>
            </a:graphic>
          </wp:inline>
        </w:drawing>
      </w:r>
    </w:p>
    <w:p>
      <w:pPr>
        <w:pStyle w:val="10"/>
        <w:spacing w:line="360" w:lineRule="auto"/>
        <w:ind w:left="420" w:firstLine="0" w:firstLineChars="0"/>
        <w:rPr>
          <w:rFonts w:hint="default" w:ascii="Arial" w:hAnsi="Arial" w:cs="Arial"/>
          <w:b/>
          <w:bCs/>
          <w:sz w:val="24"/>
          <w:szCs w:val="24"/>
        </w:rPr>
      </w:pPr>
    </w:p>
    <w:p>
      <w:pPr>
        <w:pStyle w:val="10"/>
        <w:numPr>
          <w:ilvl w:val="0"/>
          <w:numId w:val="1"/>
        </w:numPr>
        <w:spacing w:line="360" w:lineRule="auto"/>
        <w:ind w:firstLineChars="0"/>
        <w:rPr>
          <w:rFonts w:hint="default" w:ascii="Arial" w:hAnsi="Arial" w:cs="Arial"/>
          <w:b/>
          <w:bCs/>
          <w:sz w:val="22"/>
          <w:szCs w:val="22"/>
        </w:rPr>
      </w:pPr>
      <w:bookmarkStart w:id="13" w:name="OLE_LINK21"/>
      <w:r>
        <w:rPr>
          <w:rFonts w:hint="eastAsia" w:ascii="Arial" w:hAnsi="Arial" w:cs="Arial"/>
          <w:b/>
          <w:bCs/>
          <w:sz w:val="22"/>
          <w:szCs w:val="22"/>
          <w:lang w:val="en-US" w:eastAsia="zh-CN"/>
        </w:rPr>
        <w:t>Low signal intensity</w:t>
      </w:r>
      <w:r>
        <w:rPr>
          <w:rFonts w:hint="default" w:ascii="Arial" w:hAnsi="Arial" w:cs="Arial"/>
          <w:b/>
          <w:bCs/>
          <w:sz w:val="22"/>
          <w:szCs w:val="22"/>
        </w:rPr>
        <w:t xml:space="preserve"> on T2WI</w:t>
      </w:r>
    </w:p>
    <w:bookmarkEnd w:id="13"/>
    <w:p>
      <w:pPr>
        <w:pStyle w:val="10"/>
        <w:numPr>
          <w:ilvl w:val="0"/>
          <w:numId w:val="0"/>
        </w:numPr>
        <w:spacing w:line="360" w:lineRule="auto"/>
        <w:ind w:left="420" w:leftChars="0"/>
        <w:rPr>
          <w:rFonts w:hint="default" w:ascii="Arial" w:hAnsi="Arial" w:cs="Arial"/>
          <w:b/>
          <w:bCs/>
          <w:sz w:val="22"/>
          <w:szCs w:val="22"/>
        </w:rPr>
      </w:pPr>
      <w:r>
        <w:rPr>
          <w:rFonts w:hint="default" w:ascii="Arial" w:hAnsi="Arial" w:cs="Arial"/>
          <w:b/>
          <w:bCs/>
          <w:sz w:val="22"/>
          <w:szCs w:val="22"/>
        </w:rPr>
        <w:t xml:space="preserve">The criteria for diagnosis: </w:t>
      </w:r>
      <w:r>
        <w:rPr>
          <w:rFonts w:hint="default" w:ascii="Arial" w:hAnsi="Arial" w:cs="Arial"/>
          <w:sz w:val="22"/>
          <w:szCs w:val="22"/>
        </w:rPr>
        <w:t>low signal intensity on T2WI images can be seen in focal or diffuse area of thyroid nodule.</w:t>
      </w:r>
      <w:r>
        <w:rPr>
          <w:rFonts w:hint="default" w:ascii="Arial" w:hAnsi="Arial" w:cs="Arial"/>
          <w:sz w:val="22"/>
          <w:szCs w:val="22"/>
          <w:lang w:val="en-US" w:eastAsia="zh-CN"/>
        </w:rPr>
        <w:t xml:space="preserve"> </w:t>
      </w:r>
      <w:r>
        <w:rPr>
          <w:rFonts w:hint="default" w:ascii="Arial" w:hAnsi="Arial" w:cs="Arial"/>
          <w:b/>
          <w:bCs/>
          <w:sz w:val="22"/>
          <w:szCs w:val="22"/>
        </w:rPr>
        <w:t>Variable was indicated in the figures as follows:</w:t>
      </w:r>
    </w:p>
    <w:p>
      <w:pPr>
        <w:pStyle w:val="10"/>
        <w:spacing w:line="360" w:lineRule="auto"/>
        <w:ind w:left="420" w:firstLine="0" w:firstLineChars="0"/>
        <w:jc w:val="center"/>
        <w:rPr>
          <w:rFonts w:hint="default" w:ascii="Arial" w:hAnsi="Arial" w:cs="Arial"/>
          <w:b/>
          <w:bCs/>
          <w:sz w:val="22"/>
          <w:szCs w:val="22"/>
        </w:rPr>
      </w:pPr>
      <w:r>
        <w:rPr>
          <w:rFonts w:hint="default" w:ascii="Arial" w:hAnsi="Arial" w:cs="Arial"/>
          <w:b/>
          <w:bCs/>
          <w:sz w:val="22"/>
          <w:szCs w:val="22"/>
        </w:rPr>
        <w:drawing>
          <wp:inline distT="0" distB="0" distL="0" distR="0">
            <wp:extent cx="3998595" cy="3014345"/>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02992" cy="3017941"/>
                    </a:xfrm>
                    <a:prstGeom prst="rect">
                      <a:avLst/>
                    </a:prstGeom>
                  </pic:spPr>
                </pic:pic>
              </a:graphicData>
            </a:graphic>
          </wp:inline>
        </w:drawing>
      </w:r>
    </w:p>
    <w:p>
      <w:pPr>
        <w:pStyle w:val="10"/>
        <w:spacing w:line="360" w:lineRule="auto"/>
        <w:ind w:left="420" w:firstLine="0" w:firstLineChars="0"/>
        <w:jc w:val="center"/>
        <w:rPr>
          <w:rFonts w:hint="default" w:ascii="Arial" w:hAnsi="Arial" w:cs="Arial"/>
          <w:b/>
          <w:bCs/>
          <w:sz w:val="22"/>
          <w:szCs w:val="22"/>
        </w:rPr>
      </w:pPr>
    </w:p>
    <w:p>
      <w:pPr>
        <w:pStyle w:val="10"/>
        <w:numPr>
          <w:ilvl w:val="0"/>
          <w:numId w:val="1"/>
        </w:numPr>
        <w:spacing w:line="360" w:lineRule="auto"/>
        <w:ind w:firstLineChars="0"/>
        <w:rPr>
          <w:rFonts w:hint="default" w:ascii="Arial" w:hAnsi="Arial" w:cs="Arial"/>
          <w:b/>
          <w:bCs/>
          <w:sz w:val="22"/>
          <w:szCs w:val="22"/>
        </w:rPr>
      </w:pPr>
      <w:bookmarkStart w:id="14" w:name="_Hlk105711755"/>
      <w:r>
        <w:rPr>
          <w:rFonts w:hint="default" w:ascii="Arial" w:hAnsi="Arial" w:cs="Arial"/>
          <w:b/>
          <w:bCs/>
          <w:sz w:val="22"/>
          <w:szCs w:val="22"/>
        </w:rPr>
        <w:t>Restricted diffusion</w:t>
      </w:r>
      <w:r>
        <w:rPr>
          <w:rFonts w:hint="default" w:ascii="Arial" w:hAnsi="Arial" w:cs="Arial"/>
          <w:sz w:val="22"/>
          <w:szCs w:val="22"/>
        </w:rPr>
        <w:t xml:space="preserve"> was identified as areas that were hyperintense or isointense on DWI images, hypointense on ADC maps and presented with enhancement</w:t>
      </w:r>
      <w:bookmarkStart w:id="15" w:name="OLE_LINK28"/>
      <w:bookmarkStart w:id="16" w:name="OLE_LINK29"/>
      <w:r>
        <w:rPr>
          <w:rFonts w:hint="default" w:ascii="Arial" w:hAnsi="Arial" w:cs="Arial"/>
          <w:sz w:val="22"/>
          <w:szCs w:val="22"/>
        </w:rPr>
        <w:t xml:space="preserve">, </w:t>
      </w:r>
      <w:r>
        <w:rPr>
          <w:rFonts w:hint="default" w:ascii="Arial" w:hAnsi="Arial" w:cs="Arial"/>
          <w:b/>
          <w:bCs/>
          <w:sz w:val="22"/>
          <w:szCs w:val="22"/>
        </w:rPr>
        <w:t>which was indicated in the figures as follows</w:t>
      </w:r>
      <w:r>
        <w:rPr>
          <w:rFonts w:hint="default" w:ascii="Arial" w:hAnsi="Arial" w:cs="Arial"/>
          <w:sz w:val="22"/>
          <w:szCs w:val="22"/>
        </w:rPr>
        <w:t>.</w:t>
      </w:r>
      <w:bookmarkEnd w:id="14"/>
      <w:bookmarkEnd w:id="15"/>
      <w:bookmarkEnd w:id="16"/>
    </w:p>
    <w:p>
      <w:pPr>
        <w:pStyle w:val="10"/>
        <w:spacing w:line="360" w:lineRule="auto"/>
        <w:ind w:left="420" w:firstLine="0" w:firstLineChars="0"/>
        <w:rPr>
          <w:rFonts w:hint="default" w:ascii="Arial" w:hAnsi="Arial" w:cs="Arial"/>
          <w:b/>
          <w:bCs/>
          <w:sz w:val="24"/>
          <w:szCs w:val="24"/>
        </w:rPr>
      </w:pPr>
      <w:r>
        <w:rPr>
          <w:rFonts w:hint="default" w:ascii="Arial" w:hAnsi="Arial" w:cs="Arial"/>
          <w:b/>
          <w:bCs/>
          <w:sz w:val="24"/>
          <w:szCs w:val="24"/>
        </w:rPr>
        <w:drawing>
          <wp:inline distT="0" distB="0" distL="0" distR="0">
            <wp:extent cx="5906770" cy="22180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15125" cy="2221072"/>
                    </a:xfrm>
                    <a:prstGeom prst="rect">
                      <a:avLst/>
                    </a:prstGeom>
                  </pic:spPr>
                </pic:pic>
              </a:graphicData>
            </a:graphic>
          </wp:inline>
        </w:drawing>
      </w:r>
    </w:p>
    <w:p>
      <w:pPr>
        <w:pStyle w:val="10"/>
        <w:spacing w:line="360" w:lineRule="auto"/>
        <w:ind w:left="420" w:firstLine="0" w:firstLineChars="0"/>
        <w:rPr>
          <w:rFonts w:hint="default" w:ascii="Arial" w:hAnsi="Arial" w:cs="Arial"/>
          <w:sz w:val="21"/>
          <w:szCs w:val="21"/>
        </w:rPr>
      </w:pPr>
      <w:bookmarkStart w:id="17" w:name="_Hlk108087320"/>
      <w:r>
        <w:rPr>
          <w:rFonts w:hint="default" w:ascii="Arial" w:hAnsi="Arial" w:cs="Arial"/>
          <w:sz w:val="21"/>
          <w:szCs w:val="21"/>
        </w:rPr>
        <w:t>The images (a, b), (c, d), (e, f) and (g, h) were obtained from the same patients and showed restricted diffusion that are hyperintense on DWI (a, c, e, g) and hypointense on ADC (b, d, f, h) (white arrows)</w:t>
      </w:r>
      <w:bookmarkEnd w:id="17"/>
    </w:p>
    <w:p>
      <w:pPr>
        <w:pStyle w:val="10"/>
        <w:spacing w:line="360" w:lineRule="auto"/>
        <w:ind w:left="420" w:firstLine="0" w:firstLineChars="0"/>
        <w:rPr>
          <w:rFonts w:hint="default" w:ascii="Arial" w:hAnsi="Arial" w:cs="Arial"/>
          <w:b/>
          <w:bCs/>
          <w:sz w:val="24"/>
          <w:szCs w:val="24"/>
        </w:rPr>
      </w:pPr>
    </w:p>
    <w:p>
      <w:pPr>
        <w:pStyle w:val="10"/>
        <w:numPr>
          <w:ilvl w:val="0"/>
          <w:numId w:val="1"/>
        </w:numPr>
        <w:spacing w:line="360" w:lineRule="auto"/>
        <w:ind w:firstLineChars="0"/>
        <w:rPr>
          <w:rFonts w:hint="default" w:ascii="Arial" w:hAnsi="Arial" w:cs="Arial"/>
          <w:sz w:val="22"/>
          <w:szCs w:val="22"/>
        </w:rPr>
      </w:pPr>
      <w:r>
        <w:rPr>
          <w:rFonts w:hint="default" w:ascii="Arial" w:hAnsi="Arial" w:cs="Arial"/>
          <w:b/>
          <w:bCs/>
          <w:sz w:val="22"/>
          <w:szCs w:val="22"/>
        </w:rPr>
        <w:t>Reversed halo sign in delay phase</w:t>
      </w:r>
      <w:r>
        <w:rPr>
          <w:rFonts w:hint="default" w:ascii="Arial" w:hAnsi="Arial" w:cs="Arial"/>
          <w:sz w:val="22"/>
          <w:szCs w:val="22"/>
        </w:rPr>
        <w:t xml:space="preserve"> </w:t>
      </w:r>
      <w:bookmarkStart w:id="18" w:name="OLE_LINK3"/>
      <w:bookmarkStart w:id="19" w:name="OLE_LINK4"/>
      <w:r>
        <w:rPr>
          <w:rFonts w:hint="default" w:ascii="Arial" w:hAnsi="Arial" w:cs="Arial"/>
          <w:sz w:val="22"/>
          <w:szCs w:val="22"/>
        </w:rPr>
        <w:t xml:space="preserve">was defined as the enhancement pattern </w:t>
      </w:r>
      <w:bookmarkEnd w:id="18"/>
      <w:bookmarkEnd w:id="19"/>
      <w:r>
        <w:rPr>
          <w:rFonts w:hint="default" w:ascii="Arial" w:hAnsi="Arial" w:cs="Arial"/>
          <w:sz w:val="22"/>
          <w:szCs w:val="22"/>
        </w:rPr>
        <w:t xml:space="preserve">that the enhancement of </w:t>
      </w:r>
      <w:bookmarkStart w:id="20" w:name="_Hlk104633830"/>
      <w:r>
        <w:rPr>
          <w:rFonts w:hint="default" w:ascii="Arial" w:hAnsi="Arial" w:cs="Arial"/>
          <w:sz w:val="22"/>
          <w:szCs w:val="22"/>
        </w:rPr>
        <w:t>the peripheral area of</w:t>
      </w:r>
      <w:bookmarkEnd w:id="20"/>
      <w:r>
        <w:rPr>
          <w:rFonts w:hint="default" w:ascii="Arial" w:hAnsi="Arial" w:cs="Arial"/>
          <w:sz w:val="22"/>
          <w:szCs w:val="22"/>
        </w:rPr>
        <w:t xml:space="preserve"> the lesion was greater than that of the central area in delay phase of multiphasic contrast-enhanced MRI, and the demarcation between area was blurred, </w:t>
      </w:r>
      <w:r>
        <w:rPr>
          <w:rFonts w:hint="default" w:ascii="Arial" w:hAnsi="Arial" w:cs="Arial"/>
          <w:b/>
          <w:bCs/>
          <w:sz w:val="22"/>
          <w:szCs w:val="22"/>
        </w:rPr>
        <w:t>which was indicated in the figures as follows</w:t>
      </w:r>
      <w:r>
        <w:rPr>
          <w:rFonts w:hint="default" w:ascii="Arial" w:hAnsi="Arial" w:cs="Arial"/>
          <w:sz w:val="22"/>
          <w:szCs w:val="22"/>
        </w:rPr>
        <w:t>.</w:t>
      </w:r>
      <w:bookmarkEnd w:id="0"/>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3830320" cy="28879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4245" cy="2890720"/>
                    </a:xfrm>
                    <a:prstGeom prst="rect">
                      <a:avLst/>
                    </a:prstGeom>
                  </pic:spPr>
                </pic:pic>
              </a:graphicData>
            </a:graphic>
          </wp:inline>
        </w:drawing>
      </w:r>
    </w:p>
    <w:p>
      <w:pPr>
        <w:pStyle w:val="10"/>
        <w:spacing w:line="360" w:lineRule="auto"/>
        <w:ind w:left="420" w:firstLine="0" w:firstLineChars="0"/>
        <w:jc w:val="center"/>
        <w:rPr>
          <w:rFonts w:hint="default" w:ascii="Arial" w:hAnsi="Arial" w:cs="Arial"/>
          <w:szCs w:val="21"/>
        </w:rPr>
      </w:pPr>
      <w:bookmarkStart w:id="21" w:name="_Hlk108013516"/>
      <w:r>
        <w:rPr>
          <w:rFonts w:hint="default" w:ascii="Arial" w:hAnsi="Arial" w:cs="Arial"/>
          <w:szCs w:val="21"/>
        </w:rPr>
        <w:t>The white arrow refers to the reversed halo sign in delay phase from four different patients.</w:t>
      </w:r>
      <w:bookmarkEnd w:id="21"/>
    </w:p>
    <w:p>
      <w:pPr>
        <w:pStyle w:val="10"/>
        <w:spacing w:line="360" w:lineRule="auto"/>
        <w:ind w:left="420" w:firstLine="0" w:firstLineChars="0"/>
        <w:rPr>
          <w:rFonts w:hint="default" w:ascii="Arial" w:hAnsi="Arial" w:cs="Arial"/>
          <w:sz w:val="24"/>
          <w:szCs w:val="24"/>
        </w:rPr>
      </w:pPr>
    </w:p>
    <w:p>
      <w:pPr>
        <w:pStyle w:val="10"/>
        <w:numPr>
          <w:ilvl w:val="0"/>
          <w:numId w:val="1"/>
        </w:numPr>
        <w:spacing w:line="360" w:lineRule="auto"/>
        <w:ind w:left="284" w:firstLineChars="0"/>
        <w:rPr>
          <w:rFonts w:hint="default" w:ascii="Arial" w:hAnsi="Arial" w:cs="Arial"/>
          <w:sz w:val="22"/>
          <w:szCs w:val="22"/>
        </w:rPr>
      </w:pPr>
      <w:bookmarkStart w:id="22" w:name="_Hlk104678180"/>
      <w:r>
        <w:rPr>
          <w:rFonts w:hint="default" w:ascii="Arial" w:hAnsi="Arial" w:cs="Arial"/>
          <w:b/>
          <w:bCs/>
          <w:sz w:val="22"/>
          <w:szCs w:val="22"/>
        </w:rPr>
        <w:t>Pseudocapsule</w:t>
      </w:r>
      <w:r>
        <w:rPr>
          <w:rFonts w:hint="default" w:ascii="Arial" w:hAnsi="Arial" w:cs="Arial"/>
          <w:sz w:val="22"/>
          <w:szCs w:val="22"/>
        </w:rPr>
        <w:t xml:space="preserve"> was defined as a peritumoral rim that showed enhancement in multiphasic contrast-enhanced MRI imaging</w:t>
      </w:r>
      <w:bookmarkEnd w:id="22"/>
      <w:r>
        <w:rPr>
          <w:rFonts w:hint="default" w:ascii="Arial" w:hAnsi="Arial" w:cs="Arial"/>
          <w:sz w:val="22"/>
          <w:szCs w:val="22"/>
        </w:rPr>
        <w:t xml:space="preserve">, </w:t>
      </w:r>
      <w:r>
        <w:rPr>
          <w:rFonts w:hint="default" w:ascii="Arial" w:hAnsi="Arial" w:cs="Arial"/>
          <w:b/>
          <w:bCs/>
          <w:sz w:val="22"/>
          <w:szCs w:val="22"/>
        </w:rPr>
        <w:t>which was indicated in the figures as follows</w:t>
      </w:r>
      <w:r>
        <w:rPr>
          <w:rFonts w:hint="default" w:ascii="Arial" w:hAnsi="Arial" w:cs="Arial"/>
          <w:sz w:val="22"/>
          <w:szCs w:val="22"/>
        </w:rPr>
        <w:t>.</w:t>
      </w:r>
    </w:p>
    <w:p>
      <w:pPr>
        <w:spacing w:line="360" w:lineRule="auto"/>
        <w:jc w:val="center"/>
        <w:rPr>
          <w:rFonts w:hint="default" w:ascii="Arial" w:hAnsi="Arial" w:cs="Arial"/>
          <w:sz w:val="24"/>
          <w:szCs w:val="24"/>
        </w:rPr>
      </w:pPr>
      <w:r>
        <w:rPr>
          <w:rFonts w:hint="default" w:ascii="Arial" w:hAnsi="Arial" w:cs="Arial"/>
          <w:sz w:val="24"/>
          <w:szCs w:val="24"/>
        </w:rPr>
        <w:drawing>
          <wp:inline distT="0" distB="0" distL="0" distR="0">
            <wp:extent cx="6119495" cy="229743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000" cy="2298000"/>
                    </a:xfrm>
                    <a:prstGeom prst="rect">
                      <a:avLst/>
                    </a:prstGeom>
                  </pic:spPr>
                </pic:pic>
              </a:graphicData>
            </a:graphic>
          </wp:inline>
        </w:drawing>
      </w:r>
    </w:p>
    <w:p>
      <w:pPr>
        <w:spacing w:line="360" w:lineRule="auto"/>
        <w:jc w:val="center"/>
        <w:rPr>
          <w:rFonts w:hint="default" w:ascii="Arial" w:hAnsi="Arial" w:cs="Arial"/>
          <w:sz w:val="21"/>
          <w:szCs w:val="21"/>
        </w:rPr>
      </w:pPr>
      <w:r>
        <w:rPr>
          <w:rFonts w:hint="default" w:ascii="Arial" w:hAnsi="Arial" w:cs="Arial"/>
          <w:sz w:val="21"/>
          <w:szCs w:val="21"/>
        </w:rPr>
        <w:t>The early phase (a, c, e, g) and delay phase (b, d, f, h) of multiphasic contrast-enhanced MRI show pseudocapsule sign (white arrows), and the images (a, b), (c, d), (e, f) and (g, h) were obtained from the same patients.</w:t>
      </w:r>
    </w:p>
    <w:p>
      <w:pPr>
        <w:spacing w:line="360" w:lineRule="auto"/>
        <w:rPr>
          <w:rFonts w:hint="default" w:ascii="Arial" w:hAnsi="Arial" w:cs="Arial"/>
          <w:sz w:val="20"/>
          <w:szCs w:val="20"/>
        </w:rPr>
      </w:pPr>
    </w:p>
    <w:p>
      <w:pPr>
        <w:pStyle w:val="10"/>
        <w:numPr>
          <w:ilvl w:val="0"/>
          <w:numId w:val="1"/>
        </w:numPr>
        <w:spacing w:line="360" w:lineRule="auto"/>
        <w:ind w:left="566" w:hanging="519" w:hangingChars="236"/>
        <w:rPr>
          <w:rFonts w:hint="default" w:ascii="Arial" w:hAnsi="Arial" w:cs="Arial"/>
          <w:sz w:val="22"/>
          <w:szCs w:val="22"/>
        </w:rPr>
      </w:pPr>
      <w:r>
        <w:rPr>
          <w:rFonts w:hint="default" w:ascii="Arial" w:hAnsi="Arial" w:cs="Arial"/>
          <w:b/>
          <w:bCs/>
          <w:sz w:val="22"/>
          <w:szCs w:val="22"/>
          <w:lang w:val="en-US" w:eastAsia="zh-CN"/>
        </w:rPr>
        <w:t>F</w:t>
      </w:r>
      <w:r>
        <w:rPr>
          <w:rFonts w:hint="default" w:ascii="Arial" w:hAnsi="Arial" w:cs="Arial"/>
          <w:b/>
          <w:bCs/>
          <w:sz w:val="22"/>
          <w:szCs w:val="22"/>
        </w:rPr>
        <w:t>issure-filling enhancement</w:t>
      </w:r>
      <w:r>
        <w:rPr>
          <w:rFonts w:hint="default" w:ascii="Arial" w:hAnsi="Arial" w:cs="Arial"/>
          <w:sz w:val="22"/>
          <w:szCs w:val="22"/>
        </w:rPr>
        <w:t xml:space="preserve"> was defined as the irregular fissure that did not enhance in the early phase in the internal area of the lesion presented a progressive and filling enhancement pattern in the delay phase, </w:t>
      </w:r>
      <w:r>
        <w:rPr>
          <w:rFonts w:hint="default" w:ascii="Arial" w:hAnsi="Arial" w:cs="Arial"/>
          <w:b/>
          <w:bCs/>
          <w:sz w:val="22"/>
          <w:szCs w:val="22"/>
        </w:rPr>
        <w:t>which was indicated in the figures as follows.</w:t>
      </w:r>
    </w:p>
    <w:p>
      <w:pPr>
        <w:spacing w:line="360" w:lineRule="auto"/>
        <w:jc w:val="center"/>
        <w:rPr>
          <w:rFonts w:hint="default" w:ascii="Arial" w:hAnsi="Arial" w:cs="Arial"/>
          <w:b/>
          <w:bCs/>
          <w:sz w:val="24"/>
          <w:szCs w:val="24"/>
        </w:rPr>
      </w:pPr>
      <w:r>
        <w:rPr>
          <w:rFonts w:hint="default" w:ascii="Arial" w:hAnsi="Arial" w:cs="Arial"/>
          <w:b/>
          <w:bCs/>
          <w:sz w:val="24"/>
          <w:szCs w:val="24"/>
        </w:rPr>
        <w:drawing>
          <wp:inline distT="0" distB="0" distL="0" distR="0">
            <wp:extent cx="6119495" cy="2297430"/>
            <wp:effectExtent l="0" t="0" r="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000" cy="2298000"/>
                    </a:xfrm>
                    <a:prstGeom prst="rect">
                      <a:avLst/>
                    </a:prstGeom>
                  </pic:spPr>
                </pic:pic>
              </a:graphicData>
            </a:graphic>
          </wp:inline>
        </w:drawing>
      </w:r>
    </w:p>
    <w:p>
      <w:pPr>
        <w:spacing w:line="360" w:lineRule="auto"/>
        <w:jc w:val="center"/>
        <w:rPr>
          <w:rFonts w:hint="default" w:ascii="Arial" w:hAnsi="Arial" w:cs="Arial"/>
          <w:sz w:val="21"/>
          <w:szCs w:val="21"/>
        </w:rPr>
      </w:pPr>
      <w:bookmarkStart w:id="23" w:name="OLE_LINK12"/>
      <w:bookmarkStart w:id="24" w:name="OLE_LINK17"/>
      <w:r>
        <w:rPr>
          <w:rFonts w:hint="default" w:ascii="Arial" w:hAnsi="Arial" w:cs="Arial"/>
          <w:sz w:val="21"/>
          <w:szCs w:val="21"/>
        </w:rPr>
        <w:t>The early phase (a, c, e, g) and delay phase (b, d, f, h) of multiphasic contrast-enhanced MRI show fissure-filling enhancement (white arrows), and the images (a, b), (c, d), (e, f) and (g, h) were obtained from the same patients.</w:t>
      </w:r>
      <w:bookmarkEnd w:id="23"/>
      <w:bookmarkEnd w:id="24"/>
    </w:p>
    <w:p>
      <w:pPr>
        <w:spacing w:line="360" w:lineRule="auto"/>
        <w:jc w:val="center"/>
        <w:rPr>
          <w:rFonts w:hint="default" w:ascii="Arial" w:hAnsi="Arial" w:cs="Arial"/>
          <w:sz w:val="20"/>
          <w:szCs w:val="20"/>
        </w:rPr>
      </w:pPr>
    </w:p>
    <w:p>
      <w:pPr>
        <w:pStyle w:val="10"/>
        <w:numPr>
          <w:ilvl w:val="0"/>
          <w:numId w:val="1"/>
        </w:numPr>
        <w:spacing w:line="360" w:lineRule="auto"/>
        <w:ind w:left="567" w:hanging="567" w:firstLineChars="0"/>
        <w:rPr>
          <w:rFonts w:hint="default" w:ascii="Arial" w:hAnsi="Arial" w:cs="Arial"/>
          <w:sz w:val="22"/>
          <w:szCs w:val="22"/>
        </w:rPr>
      </w:pPr>
      <w:bookmarkStart w:id="25" w:name="_Hlk104678323"/>
      <w:r>
        <w:rPr>
          <w:rFonts w:hint="default" w:ascii="Arial" w:hAnsi="Arial" w:cs="Arial"/>
          <w:b/>
          <w:bCs/>
          <w:sz w:val="22"/>
          <w:szCs w:val="22"/>
        </w:rPr>
        <w:t>Cystic degeneration</w:t>
      </w:r>
      <w:bookmarkStart w:id="26" w:name="_Hlk106919192"/>
      <w:r>
        <w:rPr>
          <w:rFonts w:hint="default" w:ascii="Arial" w:hAnsi="Arial" w:cs="Arial"/>
          <w:sz w:val="22"/>
          <w:szCs w:val="22"/>
        </w:rPr>
        <w:t xml:space="preserve"> was </w:t>
      </w:r>
      <w:bookmarkEnd w:id="25"/>
      <w:r>
        <w:rPr>
          <w:rFonts w:hint="default" w:ascii="Arial" w:hAnsi="Arial" w:cs="Arial"/>
          <w:sz w:val="22"/>
          <w:szCs w:val="22"/>
        </w:rPr>
        <w:t xml:space="preserve">identified as the area that was hypointense on pre-contrast T1-weighted images, markedly hyperintense on T2-weighted images and presented with non-enhancement, </w:t>
      </w:r>
      <w:r>
        <w:rPr>
          <w:rFonts w:hint="default" w:ascii="Arial" w:hAnsi="Arial" w:cs="Arial"/>
          <w:b/>
          <w:bCs/>
          <w:sz w:val="22"/>
          <w:szCs w:val="22"/>
        </w:rPr>
        <w:t>which was indicated in the figures as follows</w:t>
      </w:r>
      <w:r>
        <w:rPr>
          <w:rFonts w:hint="default" w:ascii="Arial" w:hAnsi="Arial" w:cs="Arial"/>
          <w:sz w:val="22"/>
          <w:szCs w:val="22"/>
        </w:rPr>
        <w:t>.</w:t>
      </w:r>
      <w:bookmarkEnd w:id="26"/>
    </w:p>
    <w:p>
      <w:pPr>
        <w:spacing w:line="360" w:lineRule="auto"/>
        <w:jc w:val="center"/>
        <w:rPr>
          <w:rFonts w:hint="default" w:ascii="Arial" w:hAnsi="Arial" w:cs="Arial"/>
          <w:sz w:val="24"/>
          <w:szCs w:val="24"/>
        </w:rPr>
      </w:pPr>
      <w:r>
        <w:rPr>
          <w:rFonts w:hint="default" w:ascii="Arial" w:hAnsi="Arial" w:cs="Arial"/>
          <w:sz w:val="24"/>
          <w:szCs w:val="24"/>
        </w:rPr>
        <w:drawing>
          <wp:inline distT="0" distB="0" distL="0" distR="0">
            <wp:extent cx="4058920" cy="306260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75612" cy="3075488"/>
                    </a:xfrm>
                    <a:prstGeom prst="rect">
                      <a:avLst/>
                    </a:prstGeom>
                  </pic:spPr>
                </pic:pic>
              </a:graphicData>
            </a:graphic>
          </wp:inline>
        </w:drawing>
      </w:r>
    </w:p>
    <w:p>
      <w:pPr>
        <w:spacing w:line="360" w:lineRule="auto"/>
        <w:jc w:val="center"/>
        <w:rPr>
          <w:rFonts w:hint="default" w:ascii="Arial" w:hAnsi="Arial" w:cs="Arial"/>
          <w:sz w:val="21"/>
          <w:szCs w:val="21"/>
        </w:rPr>
      </w:pPr>
      <w:bookmarkStart w:id="27" w:name="_Hlk108010283"/>
      <w:r>
        <w:rPr>
          <w:rFonts w:hint="default" w:ascii="Arial" w:hAnsi="Arial" w:cs="Arial"/>
          <w:sz w:val="21"/>
          <w:szCs w:val="21"/>
        </w:rPr>
        <w:t>The images (a, b, c), (d, e, f) and (g, h, i) were obtained from the same patients and showed cystic degeneration (white arrows) that are markedly hyperintense on T2WI (a, d, g), hypointense on T1WI (b, e, h) and no enhancement was observed on the contrast-enhanced T1WI (c, f, i).</w:t>
      </w:r>
      <w:bookmarkEnd w:id="27"/>
    </w:p>
    <w:p>
      <w:pPr>
        <w:spacing w:line="360" w:lineRule="auto"/>
        <w:jc w:val="center"/>
        <w:rPr>
          <w:rFonts w:hint="default" w:ascii="Arial" w:hAnsi="Arial" w:cs="Arial"/>
          <w:sz w:val="20"/>
          <w:szCs w:val="20"/>
        </w:rPr>
      </w:pPr>
    </w:p>
    <w:p>
      <w:pPr>
        <w:pStyle w:val="10"/>
        <w:numPr>
          <w:ilvl w:val="0"/>
          <w:numId w:val="1"/>
        </w:numPr>
        <w:spacing w:line="360" w:lineRule="auto"/>
        <w:ind w:left="567" w:hanging="567" w:firstLineChars="0"/>
        <w:jc w:val="left"/>
        <w:rPr>
          <w:rFonts w:hint="default" w:ascii="Arial" w:hAnsi="Arial" w:cs="Arial"/>
          <w:sz w:val="22"/>
          <w:szCs w:val="22"/>
        </w:rPr>
      </w:pPr>
      <w:bookmarkStart w:id="28" w:name="_Hlk104678404"/>
      <w:bookmarkStart w:id="29" w:name="_Hlk108010710"/>
      <w:r>
        <w:rPr>
          <w:rFonts w:hint="eastAsia" w:ascii="Arial" w:hAnsi="Arial" w:cs="Arial"/>
          <w:b/>
          <w:bCs/>
          <w:sz w:val="22"/>
          <w:szCs w:val="22"/>
          <w:lang w:val="en-US" w:eastAsia="zh-CN"/>
        </w:rPr>
        <w:t>hyperintense on T2WI with enhancement</w:t>
      </w:r>
      <w:r>
        <w:rPr>
          <w:rFonts w:hint="eastAsia" w:ascii="Arial" w:hAnsi="Arial" w:eastAsia="等线" w:cs="Arial"/>
          <w:b/>
          <w:bCs/>
          <w:sz w:val="22"/>
          <w:szCs w:val="22"/>
          <w:lang w:val="en-US" w:eastAsia="zh-CN" w:bidi="ar"/>
        </w:rPr>
        <w:t xml:space="preserve"> </w:t>
      </w:r>
      <w:r>
        <w:rPr>
          <w:rFonts w:hint="default" w:ascii="Arial" w:hAnsi="Arial" w:cs="Arial"/>
          <w:sz w:val="22"/>
          <w:szCs w:val="22"/>
        </w:rPr>
        <w:t xml:space="preserve">was defined as </w:t>
      </w:r>
      <w:bookmarkStart w:id="30" w:name="OLE_LINK6"/>
      <w:bookmarkStart w:id="31" w:name="OLE_LINK5"/>
      <w:r>
        <w:rPr>
          <w:rFonts w:hint="default" w:ascii="Arial" w:hAnsi="Arial" w:cs="Arial"/>
          <w:sz w:val="22"/>
          <w:szCs w:val="22"/>
        </w:rPr>
        <w:t xml:space="preserve">high signal </w:t>
      </w:r>
      <w:bookmarkStart w:id="32" w:name="_Hlk104676934"/>
      <w:r>
        <w:rPr>
          <w:rFonts w:hint="default" w:ascii="Arial" w:hAnsi="Arial" w:cs="Arial"/>
          <w:sz w:val="22"/>
          <w:szCs w:val="22"/>
        </w:rPr>
        <w:t>similar to cerebrospinal fluid signal</w:t>
      </w:r>
      <w:bookmarkEnd w:id="32"/>
      <w:r>
        <w:rPr>
          <w:rFonts w:hint="default" w:ascii="Arial" w:hAnsi="Arial" w:cs="Arial"/>
          <w:sz w:val="22"/>
          <w:szCs w:val="22"/>
        </w:rPr>
        <w:t xml:space="preserve"> on T2WI</w:t>
      </w:r>
      <w:bookmarkEnd w:id="30"/>
      <w:bookmarkEnd w:id="31"/>
      <w:r>
        <w:rPr>
          <w:rFonts w:hint="default" w:ascii="Arial" w:hAnsi="Arial" w:cs="Arial"/>
          <w:sz w:val="22"/>
          <w:szCs w:val="22"/>
        </w:rPr>
        <w:t xml:space="preserve"> with enhancement in contrast-enhanced phase</w:t>
      </w:r>
      <w:bookmarkEnd w:id="28"/>
      <w:r>
        <w:rPr>
          <w:rFonts w:hint="default" w:ascii="Arial" w:hAnsi="Arial" w:cs="Arial"/>
          <w:sz w:val="22"/>
          <w:szCs w:val="22"/>
        </w:rPr>
        <w:t xml:space="preserve">, </w:t>
      </w:r>
      <w:r>
        <w:rPr>
          <w:rFonts w:hint="default" w:ascii="Arial" w:hAnsi="Arial" w:cs="Arial"/>
          <w:b/>
          <w:bCs/>
          <w:sz w:val="22"/>
          <w:szCs w:val="22"/>
        </w:rPr>
        <w:t>which was indicated in the figures as follows</w:t>
      </w:r>
      <w:r>
        <w:rPr>
          <w:rFonts w:hint="default" w:ascii="Arial" w:hAnsi="Arial" w:cs="Arial"/>
          <w:sz w:val="22"/>
          <w:szCs w:val="22"/>
        </w:rPr>
        <w:t>.</w:t>
      </w:r>
      <w:bookmarkEnd w:id="29"/>
    </w:p>
    <w:p>
      <w:pPr>
        <w:spacing w:line="360" w:lineRule="auto"/>
        <w:jc w:val="center"/>
        <w:rPr>
          <w:rFonts w:hint="default" w:ascii="Arial" w:hAnsi="Arial" w:cs="Arial"/>
          <w:sz w:val="24"/>
          <w:szCs w:val="24"/>
        </w:rPr>
      </w:pPr>
      <w:r>
        <w:rPr>
          <w:rFonts w:hint="default" w:ascii="Arial" w:hAnsi="Arial" w:cs="Arial"/>
          <w:sz w:val="24"/>
          <w:szCs w:val="24"/>
        </w:rPr>
        <w:drawing>
          <wp:inline distT="0" distB="0" distL="0" distR="0">
            <wp:extent cx="5644515" cy="211963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8138" cy="2120821"/>
                    </a:xfrm>
                    <a:prstGeom prst="rect">
                      <a:avLst/>
                    </a:prstGeom>
                  </pic:spPr>
                </pic:pic>
              </a:graphicData>
            </a:graphic>
          </wp:inline>
        </w:drawing>
      </w:r>
    </w:p>
    <w:p>
      <w:pPr>
        <w:spacing w:line="360" w:lineRule="auto"/>
        <w:jc w:val="center"/>
        <w:rPr>
          <w:rFonts w:hint="default" w:ascii="Arial" w:hAnsi="Arial" w:cs="Arial"/>
          <w:sz w:val="21"/>
          <w:szCs w:val="21"/>
        </w:rPr>
      </w:pPr>
      <w:r>
        <w:rPr>
          <w:rFonts w:hint="default" w:ascii="Arial" w:hAnsi="Arial" w:cs="Arial"/>
          <w:sz w:val="21"/>
          <w:szCs w:val="21"/>
        </w:rPr>
        <w:t>The images (a, b), (c, d), (e, f) and (g, h) were obtained from the same patients and showed hyperintense on T2WI with enhancement (white arrows) that are markedly hyperintense on T2WI (a, c, e, g) and enhancement was observed on the contrast-enhanced T1WI (b, d, f, h).</w:t>
      </w:r>
    </w:p>
    <w:p>
      <w:pPr>
        <w:spacing w:line="360" w:lineRule="auto"/>
        <w:jc w:val="left"/>
        <w:rPr>
          <w:rFonts w:hint="default" w:ascii="Arial" w:hAnsi="Arial" w:cs="Arial"/>
          <w:sz w:val="22"/>
          <w:szCs w:val="22"/>
        </w:rPr>
      </w:pPr>
    </w:p>
    <w:p>
      <w:pPr>
        <w:pStyle w:val="10"/>
        <w:numPr>
          <w:ilvl w:val="0"/>
          <w:numId w:val="1"/>
        </w:numPr>
        <w:spacing w:line="360" w:lineRule="auto"/>
        <w:ind w:left="567" w:hanging="567" w:firstLineChars="0"/>
        <w:jc w:val="left"/>
        <w:rPr>
          <w:rFonts w:hint="default" w:ascii="Arial" w:hAnsi="Arial" w:cs="Arial"/>
          <w:b/>
          <w:bCs/>
          <w:sz w:val="22"/>
          <w:szCs w:val="22"/>
        </w:rPr>
      </w:pPr>
      <w:bookmarkStart w:id="33" w:name="_Hlk104678584"/>
      <w:r>
        <w:rPr>
          <w:rFonts w:hint="default" w:ascii="Arial" w:hAnsi="Arial" w:cs="Arial"/>
          <w:b/>
          <w:bCs/>
          <w:sz w:val="22"/>
          <w:szCs w:val="22"/>
        </w:rPr>
        <w:t>Flow-void signal</w:t>
      </w:r>
      <w:bookmarkEnd w:id="33"/>
      <w:r>
        <w:rPr>
          <w:rFonts w:hint="default" w:ascii="Arial" w:hAnsi="Arial" w:cs="Arial"/>
          <w:sz w:val="22"/>
          <w:szCs w:val="22"/>
        </w:rPr>
        <w:t xml:space="preserve"> was identified as multiple lines with no signal in the lesion on T2WI image, </w:t>
      </w:r>
      <w:r>
        <w:rPr>
          <w:rFonts w:hint="default" w:ascii="Arial" w:hAnsi="Arial" w:cs="Arial"/>
          <w:b/>
          <w:bCs/>
          <w:sz w:val="22"/>
          <w:szCs w:val="22"/>
        </w:rPr>
        <w:t>which was indicated in the figures as follows</w:t>
      </w:r>
      <w:r>
        <w:rPr>
          <w:rFonts w:hint="default" w:ascii="Arial" w:hAnsi="Arial" w:cs="Arial"/>
          <w:sz w:val="22"/>
          <w:szCs w:val="22"/>
        </w:rPr>
        <w:t>.</w:t>
      </w:r>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4367530" cy="3292475"/>
            <wp:effectExtent l="0" t="0" r="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74911" cy="3298339"/>
                    </a:xfrm>
                    <a:prstGeom prst="rect">
                      <a:avLst/>
                    </a:prstGeom>
                  </pic:spPr>
                </pic:pic>
              </a:graphicData>
            </a:graphic>
          </wp:inline>
        </w:drawing>
      </w:r>
    </w:p>
    <w:p>
      <w:pPr>
        <w:pStyle w:val="10"/>
        <w:spacing w:line="360" w:lineRule="auto"/>
        <w:ind w:left="420" w:firstLine="0" w:firstLineChars="0"/>
        <w:jc w:val="center"/>
        <w:rPr>
          <w:rFonts w:hint="default" w:ascii="Arial" w:hAnsi="Arial" w:cs="Arial"/>
          <w:szCs w:val="21"/>
        </w:rPr>
      </w:pPr>
      <w:r>
        <w:rPr>
          <w:rFonts w:hint="default" w:ascii="Arial" w:hAnsi="Arial" w:cs="Arial"/>
          <w:szCs w:val="21"/>
        </w:rPr>
        <w:t>The white arrow refers to the flow-void signal from four different patients.</w:t>
      </w:r>
    </w:p>
    <w:p>
      <w:pPr>
        <w:pStyle w:val="10"/>
        <w:spacing w:line="360" w:lineRule="auto"/>
        <w:ind w:left="420" w:firstLine="0" w:firstLineChars="0"/>
        <w:jc w:val="center"/>
        <w:rPr>
          <w:rFonts w:hint="default" w:ascii="Arial" w:hAnsi="Arial" w:cs="Arial"/>
          <w:b/>
          <w:bCs/>
          <w:sz w:val="22"/>
          <w:szCs w:val="22"/>
        </w:rPr>
      </w:pPr>
    </w:p>
    <w:p>
      <w:pPr>
        <w:pStyle w:val="10"/>
        <w:numPr>
          <w:ilvl w:val="0"/>
          <w:numId w:val="1"/>
        </w:numPr>
        <w:spacing w:line="360" w:lineRule="auto"/>
        <w:ind w:left="567" w:hanging="567" w:firstLineChars="0"/>
        <w:jc w:val="left"/>
        <w:rPr>
          <w:rFonts w:hint="default" w:ascii="Arial" w:hAnsi="Arial" w:cs="Arial"/>
          <w:b/>
          <w:bCs/>
          <w:sz w:val="22"/>
          <w:szCs w:val="22"/>
        </w:rPr>
      </w:pPr>
      <w:bookmarkStart w:id="34" w:name="_Hlk108277860"/>
      <w:r>
        <w:rPr>
          <w:rFonts w:hint="default" w:ascii="Arial" w:hAnsi="Arial" w:cs="Arial"/>
          <w:b/>
          <w:bCs/>
          <w:sz w:val="22"/>
          <w:szCs w:val="22"/>
        </w:rPr>
        <w:t>Wash-out pattern</w:t>
      </w:r>
      <w:r>
        <w:rPr>
          <w:rFonts w:hint="default" w:ascii="Arial" w:hAnsi="Arial" w:cs="Arial"/>
          <w:sz w:val="22"/>
          <w:szCs w:val="22"/>
        </w:rPr>
        <w:t xml:space="preserve"> was identified as the enhancement of lesion in early phase of multiphasic contrast-enhanced, and the degree of enhancement in delay phase decreased, </w:t>
      </w:r>
      <w:r>
        <w:rPr>
          <w:rFonts w:hint="default" w:ascii="Arial" w:hAnsi="Arial" w:cs="Arial"/>
          <w:b/>
          <w:bCs/>
          <w:sz w:val="22"/>
          <w:szCs w:val="22"/>
        </w:rPr>
        <w:t>which was indicated in the figures as follows</w:t>
      </w:r>
      <w:r>
        <w:rPr>
          <w:rFonts w:hint="default" w:ascii="Arial" w:hAnsi="Arial" w:cs="Arial"/>
          <w:sz w:val="22"/>
          <w:szCs w:val="22"/>
        </w:rPr>
        <w:t>.</w:t>
      </w:r>
    </w:p>
    <w:bookmarkEnd w:id="34"/>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5575935" cy="2790825"/>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4340" cy="2794907"/>
                    </a:xfrm>
                    <a:prstGeom prst="rect">
                      <a:avLst/>
                    </a:prstGeom>
                  </pic:spPr>
                </pic:pic>
              </a:graphicData>
            </a:graphic>
          </wp:inline>
        </w:drawing>
      </w:r>
    </w:p>
    <w:p>
      <w:pPr>
        <w:pStyle w:val="10"/>
        <w:spacing w:line="360" w:lineRule="auto"/>
        <w:ind w:left="420" w:firstLine="0" w:firstLineChars="0"/>
        <w:jc w:val="center"/>
        <w:rPr>
          <w:rFonts w:hint="default" w:ascii="Arial" w:hAnsi="Arial" w:cs="Arial"/>
          <w:sz w:val="21"/>
          <w:szCs w:val="21"/>
        </w:rPr>
      </w:pPr>
      <w:r>
        <w:rPr>
          <w:rFonts w:hint="default" w:ascii="Arial" w:hAnsi="Arial" w:cs="Arial"/>
          <w:sz w:val="21"/>
          <w:szCs w:val="21"/>
        </w:rPr>
        <w:t>The early phase (a, b, c) and delay phase (d, e, f) of multiphasic contrast-enhanced MRI showed wash-out pattern (white arrows), and the images (a, d), (b, e) and (c, f) were obtained from the same patients.</w:t>
      </w:r>
    </w:p>
    <w:p>
      <w:pPr>
        <w:pStyle w:val="10"/>
        <w:spacing w:line="360" w:lineRule="auto"/>
        <w:ind w:left="0" w:leftChars="0" w:firstLine="0" w:firstLineChars="0"/>
        <w:rPr>
          <w:rFonts w:hint="default" w:ascii="Arial" w:hAnsi="Arial" w:cs="Arial"/>
          <w:b/>
          <w:bCs/>
          <w:sz w:val="24"/>
          <w:szCs w:val="24"/>
        </w:rPr>
      </w:pPr>
    </w:p>
    <w:p>
      <w:pPr>
        <w:pStyle w:val="10"/>
        <w:numPr>
          <w:ilvl w:val="0"/>
          <w:numId w:val="1"/>
        </w:numPr>
        <w:spacing w:line="360" w:lineRule="auto"/>
        <w:ind w:left="567" w:hanging="567" w:firstLineChars="0"/>
        <w:jc w:val="left"/>
        <w:rPr>
          <w:rFonts w:hint="default" w:ascii="Arial" w:hAnsi="Arial" w:cs="Arial"/>
          <w:sz w:val="22"/>
          <w:szCs w:val="22"/>
        </w:rPr>
      </w:pPr>
      <w:bookmarkStart w:id="35" w:name="OLE_LINK16"/>
      <w:bookmarkStart w:id="36" w:name="OLE_LINK15"/>
      <w:bookmarkStart w:id="37" w:name="OLE_LINK18"/>
      <w:r>
        <w:rPr>
          <w:rFonts w:hint="default" w:ascii="Arial" w:hAnsi="Arial" w:cs="Arial"/>
          <w:b/>
          <w:bCs/>
          <w:sz w:val="22"/>
          <w:szCs w:val="22"/>
        </w:rPr>
        <w:t>Hyperenhancement in early phase</w:t>
      </w:r>
      <w:bookmarkStart w:id="38" w:name="OLE_LINK20"/>
      <w:bookmarkStart w:id="39" w:name="OLE_LINK19"/>
      <w:r>
        <w:rPr>
          <w:rFonts w:hint="default" w:ascii="Arial" w:hAnsi="Arial" w:cs="Arial"/>
          <w:sz w:val="22"/>
          <w:szCs w:val="22"/>
        </w:rPr>
        <w:t xml:space="preserve"> was defined as the enhancement degree of lesion similar to that of the common carotid artery in the early phase of multiphasic contrast-enhanced MRI</w:t>
      </w:r>
      <w:bookmarkEnd w:id="35"/>
      <w:bookmarkEnd w:id="36"/>
      <w:r>
        <w:rPr>
          <w:rFonts w:hint="default" w:ascii="Arial" w:hAnsi="Arial" w:cs="Arial"/>
          <w:sz w:val="22"/>
          <w:szCs w:val="22"/>
        </w:rPr>
        <w:t>,</w:t>
      </w:r>
      <w:r>
        <w:rPr>
          <w:rFonts w:hint="default" w:ascii="Arial" w:hAnsi="Arial" w:cs="Arial"/>
          <w:b/>
          <w:bCs/>
          <w:sz w:val="22"/>
          <w:szCs w:val="22"/>
        </w:rPr>
        <w:t xml:space="preserve"> which was indicated in the figures as follows</w:t>
      </w:r>
      <w:bookmarkEnd w:id="37"/>
      <w:r>
        <w:rPr>
          <w:rFonts w:hint="default" w:ascii="Arial" w:hAnsi="Arial" w:cs="Arial"/>
          <w:sz w:val="22"/>
          <w:szCs w:val="22"/>
        </w:rPr>
        <w:t>.</w:t>
      </w:r>
      <w:bookmarkEnd w:id="38"/>
      <w:bookmarkEnd w:id="39"/>
    </w:p>
    <w:p>
      <w:pPr>
        <w:pStyle w:val="10"/>
        <w:spacing w:line="360" w:lineRule="auto"/>
        <w:ind w:left="420" w:firstLine="0" w:firstLineChars="0"/>
        <w:jc w:val="center"/>
        <w:rPr>
          <w:rFonts w:hint="default" w:ascii="Arial" w:hAnsi="Arial" w:cs="Arial"/>
          <w:b/>
          <w:bCs/>
          <w:sz w:val="24"/>
          <w:szCs w:val="24"/>
        </w:rPr>
      </w:pPr>
      <w:r>
        <w:rPr>
          <w:rFonts w:hint="default" w:ascii="Arial" w:hAnsi="Arial" w:cs="Arial"/>
          <w:b/>
          <w:bCs/>
          <w:sz w:val="24"/>
          <w:szCs w:val="24"/>
        </w:rPr>
        <w:drawing>
          <wp:inline distT="0" distB="0" distL="0" distR="0">
            <wp:extent cx="4170045" cy="3143885"/>
            <wp:effectExtent l="0" t="0" r="190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79026" cy="3150657"/>
                    </a:xfrm>
                    <a:prstGeom prst="rect">
                      <a:avLst/>
                    </a:prstGeom>
                  </pic:spPr>
                </pic:pic>
              </a:graphicData>
            </a:graphic>
          </wp:inline>
        </w:drawing>
      </w:r>
    </w:p>
    <w:p>
      <w:pPr>
        <w:pStyle w:val="10"/>
        <w:spacing w:line="360" w:lineRule="auto"/>
        <w:ind w:left="420" w:firstLine="0" w:firstLineChars="0"/>
        <w:jc w:val="center"/>
        <w:rPr>
          <w:rFonts w:hint="default" w:ascii="Arial" w:hAnsi="Arial" w:cs="Arial"/>
          <w:szCs w:val="21"/>
        </w:rPr>
      </w:pPr>
      <w:bookmarkStart w:id="40" w:name="_Hlk108086779"/>
      <w:r>
        <w:rPr>
          <w:rFonts w:hint="default" w:ascii="Arial" w:hAnsi="Arial" w:cs="Arial"/>
          <w:szCs w:val="21"/>
        </w:rPr>
        <w:t>The white arrow refers to hyperenhancement in early phase from four different patients.</w:t>
      </w:r>
      <w:bookmarkEnd w:id="40"/>
    </w:p>
    <w:p>
      <w:pPr>
        <w:pStyle w:val="10"/>
        <w:spacing w:line="360" w:lineRule="auto"/>
        <w:ind w:left="420" w:firstLine="0" w:firstLineChars="0"/>
        <w:jc w:val="center"/>
        <w:rPr>
          <w:rFonts w:ascii="Times New Roman" w:hAnsi="Times New Roman" w:cs="Times New Roman"/>
          <w:szCs w:val="21"/>
        </w:rPr>
      </w:pPr>
    </w:p>
    <w:p>
      <w:pPr>
        <w:pStyle w:val="10"/>
        <w:numPr>
          <w:ilvl w:val="0"/>
          <w:numId w:val="1"/>
        </w:numPr>
        <w:spacing w:line="360" w:lineRule="auto"/>
        <w:ind w:left="567" w:hanging="567" w:firstLineChars="0"/>
        <w:jc w:val="left"/>
        <w:rPr>
          <w:rFonts w:hint="default" w:ascii="Arial" w:hAnsi="Arial" w:cs="Arial"/>
          <w:b/>
          <w:bCs/>
          <w:sz w:val="22"/>
          <w:szCs w:val="22"/>
        </w:rPr>
      </w:pPr>
      <w:r>
        <w:rPr>
          <w:rFonts w:hint="default" w:ascii="Arial" w:hAnsi="Arial" w:cs="Arial"/>
          <w:b/>
          <w:bCs/>
          <w:sz w:val="22"/>
          <w:szCs w:val="22"/>
        </w:rPr>
        <w:t xml:space="preserve">Change of lesion </w:t>
      </w:r>
      <w:r>
        <w:rPr>
          <w:rFonts w:hint="eastAsia" w:ascii="Arial" w:hAnsi="Arial" w:cs="Arial"/>
          <w:b/>
          <w:bCs/>
          <w:sz w:val="22"/>
          <w:szCs w:val="22"/>
          <w:lang w:val="en-US" w:eastAsia="zh-CN"/>
        </w:rPr>
        <w:t xml:space="preserve">size </w:t>
      </w:r>
      <w:r>
        <w:rPr>
          <w:rFonts w:hint="default" w:ascii="Arial" w:hAnsi="Arial" w:cs="Arial"/>
          <w:b/>
          <w:bCs/>
          <w:sz w:val="22"/>
          <w:szCs w:val="22"/>
        </w:rPr>
        <w:t>in multiphasic enhancement</w:t>
      </w:r>
      <w:bookmarkStart w:id="41" w:name="_Hlk108086283"/>
      <w:r>
        <w:rPr>
          <w:rFonts w:hint="default" w:ascii="Arial" w:hAnsi="Arial" w:cs="Arial"/>
          <w:sz w:val="22"/>
          <w:szCs w:val="22"/>
        </w:rPr>
        <w:t xml:space="preserve"> </w:t>
      </w:r>
      <w:bookmarkStart w:id="42" w:name="_Hlk108087855"/>
      <w:r>
        <w:rPr>
          <w:rFonts w:hint="default" w:ascii="Arial" w:hAnsi="Arial" w:cs="Arial"/>
          <w:sz w:val="22"/>
          <w:szCs w:val="22"/>
        </w:rPr>
        <w:t xml:space="preserve">was defined as </w:t>
      </w:r>
      <w:bookmarkStart w:id="43" w:name="_Hlk108085896"/>
      <w:r>
        <w:rPr>
          <w:rFonts w:hint="default" w:ascii="Arial" w:hAnsi="Arial" w:cs="Arial"/>
          <w:sz w:val="22"/>
          <w:szCs w:val="22"/>
        </w:rPr>
        <w:t>changes in the size and morphology of lesion</w:t>
      </w:r>
      <w:bookmarkEnd w:id="43"/>
      <w:r>
        <w:rPr>
          <w:rFonts w:hint="default" w:ascii="Arial" w:hAnsi="Arial" w:cs="Arial"/>
          <w:sz w:val="22"/>
          <w:szCs w:val="22"/>
        </w:rPr>
        <w:t xml:space="preserve"> in the early phase and delay phase of multiphasic contrast-enhanced MRI,</w:t>
      </w:r>
      <w:r>
        <w:rPr>
          <w:rFonts w:hint="default" w:ascii="Arial" w:hAnsi="Arial" w:cs="Arial"/>
          <w:b/>
          <w:bCs/>
          <w:sz w:val="22"/>
          <w:szCs w:val="22"/>
        </w:rPr>
        <w:t xml:space="preserve"> </w:t>
      </w:r>
      <w:bookmarkEnd w:id="42"/>
      <w:r>
        <w:rPr>
          <w:rFonts w:hint="default" w:ascii="Arial" w:hAnsi="Arial" w:cs="Arial"/>
          <w:b/>
          <w:bCs/>
          <w:sz w:val="22"/>
          <w:szCs w:val="22"/>
        </w:rPr>
        <w:t>which was indicated in the figures as follows</w:t>
      </w:r>
      <w:r>
        <w:rPr>
          <w:rFonts w:hint="default" w:ascii="Arial" w:hAnsi="Arial" w:cs="Arial"/>
          <w:sz w:val="22"/>
          <w:szCs w:val="22"/>
        </w:rPr>
        <w:t>.</w:t>
      </w:r>
      <w:bookmarkEnd w:id="41"/>
    </w:p>
    <w:p>
      <w:pPr>
        <w:spacing w:line="360" w:lineRule="auto"/>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6119495" cy="2297430"/>
            <wp:effectExtent l="0" t="0" r="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000" cy="2298000"/>
                    </a:xfrm>
                    <a:prstGeom prst="rect">
                      <a:avLst/>
                    </a:prstGeom>
                  </pic:spPr>
                </pic:pic>
              </a:graphicData>
            </a:graphic>
          </wp:inline>
        </w:drawing>
      </w:r>
    </w:p>
    <w:p>
      <w:pPr>
        <w:pStyle w:val="10"/>
        <w:spacing w:line="360" w:lineRule="auto"/>
        <w:ind w:left="420" w:firstLine="0" w:firstLineChars="0"/>
        <w:jc w:val="center"/>
        <w:rPr>
          <w:rFonts w:hint="default" w:ascii="Arial" w:hAnsi="Arial" w:cs="Arial"/>
          <w:sz w:val="21"/>
          <w:szCs w:val="21"/>
        </w:rPr>
      </w:pPr>
      <w:r>
        <w:rPr>
          <w:rFonts w:hint="default" w:ascii="Arial" w:hAnsi="Arial" w:cs="Arial"/>
          <w:sz w:val="21"/>
          <w:szCs w:val="21"/>
        </w:rPr>
        <w:t>The images (a, b), (c, d), (e, f) and (g, h) were obtained from the same patients. The early phase (a, c, e, g) and delay phase (b, d, f, h) of multiphasic contrast-enhanced MRI showed change (a, b, c, d) and no change (e, f, g, h) of lesion in multiphasic enhancement.</w:t>
      </w:r>
    </w:p>
    <w:p>
      <w:pPr>
        <w:pStyle w:val="10"/>
        <w:spacing w:line="360" w:lineRule="auto"/>
        <w:ind w:left="420" w:firstLine="0" w:firstLineChars="0"/>
        <w:jc w:val="center"/>
        <w:rPr>
          <w:rFonts w:ascii="Times New Roman" w:hAnsi="Times New Roman" w:cs="Times New Roman"/>
          <w:sz w:val="22"/>
          <w:szCs w:val="22"/>
        </w:rPr>
      </w:pPr>
    </w:p>
    <w:p>
      <w:pPr>
        <w:widowControl/>
        <w:jc w:val="left"/>
        <w:rPr>
          <w:rFonts w:hint="default" w:ascii="Arial" w:hAnsi="Arial" w:cs="Arial"/>
          <w:b/>
          <w:color w:val="252525"/>
          <w:sz w:val="22"/>
          <w:szCs w:val="22"/>
          <w:shd w:val="clear" w:color="auto" w:fill="FFFFFF"/>
        </w:rPr>
      </w:pPr>
      <w:r>
        <w:rPr>
          <w:rFonts w:hint="default" w:ascii="Arial" w:hAnsi="Arial" w:cs="Arial"/>
          <w:b/>
          <w:color w:val="252525"/>
          <w:sz w:val="22"/>
          <w:szCs w:val="22"/>
          <w:shd w:val="clear" w:color="auto" w:fill="FFFFFF"/>
        </w:rPr>
        <w:t xml:space="preserve">Table </w:t>
      </w:r>
      <w:r>
        <w:rPr>
          <w:rFonts w:hint="default" w:ascii="Arial" w:hAnsi="Arial" w:cs="Arial"/>
          <w:b/>
          <w:color w:val="252525"/>
          <w:sz w:val="22"/>
          <w:szCs w:val="22"/>
          <w:shd w:val="clear" w:color="auto" w:fill="FFFFFF"/>
          <w:lang w:val="en-US" w:eastAsia="zh-CN"/>
        </w:rPr>
        <w:t>S</w:t>
      </w:r>
      <w:r>
        <w:rPr>
          <w:rFonts w:hint="default" w:ascii="Arial" w:hAnsi="Arial" w:cs="Arial"/>
          <w:b/>
          <w:color w:val="252525"/>
          <w:sz w:val="22"/>
          <w:szCs w:val="22"/>
          <w:shd w:val="clear" w:color="auto" w:fill="FFFFFF"/>
        </w:rPr>
        <w:t xml:space="preserve">1. </w:t>
      </w:r>
      <w:r>
        <w:rPr>
          <w:rFonts w:hint="default" w:ascii="Arial" w:hAnsi="Arial" w:cs="Arial"/>
          <w:bCs/>
          <w:color w:val="252525"/>
          <w:sz w:val="22"/>
          <w:szCs w:val="22"/>
          <w:shd w:val="clear" w:color="auto" w:fill="FFFFFF"/>
        </w:rPr>
        <w:t>Parameters of MRI Sequence</w:t>
      </w:r>
      <w:bookmarkStart w:id="47" w:name="_GoBack"/>
      <w:bookmarkEnd w:id="47"/>
    </w:p>
    <w:tbl>
      <w:tblPr>
        <w:tblStyle w:val="5"/>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63"/>
        <w:gridCol w:w="957"/>
        <w:gridCol w:w="740"/>
        <w:gridCol w:w="666"/>
        <w:gridCol w:w="1153"/>
        <w:gridCol w:w="1088"/>
        <w:gridCol w:w="768"/>
        <w:gridCol w:w="703"/>
        <w:gridCol w:w="1079"/>
        <w:gridCol w:w="124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84" w:type="pct"/>
            <w:tcBorders>
              <w:top w:val="single" w:color="auto" w:sz="4" w:space="0"/>
              <w:left w:val="nil"/>
              <w:bottom w:val="single" w:color="auto" w:sz="4" w:space="0"/>
              <w:right w:val="nil"/>
            </w:tcBorders>
            <w:vAlign w:val="center"/>
          </w:tcPr>
          <w:p>
            <w:pPr>
              <w:rPr>
                <w:rFonts w:hint="default" w:ascii="Arial" w:hAnsi="Arial" w:cs="Arial"/>
                <w:sz w:val="22"/>
                <w:szCs w:val="22"/>
              </w:rPr>
            </w:pPr>
          </w:p>
        </w:tc>
        <w:tc>
          <w:tcPr>
            <w:tcW w:w="480"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Plane</w:t>
            </w:r>
          </w:p>
        </w:tc>
        <w:tc>
          <w:tcPr>
            <w:tcW w:w="371"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TR</w:t>
            </w:r>
          </w:p>
        </w:tc>
        <w:tc>
          <w:tcPr>
            <w:tcW w:w="334"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TE</w:t>
            </w:r>
          </w:p>
        </w:tc>
        <w:tc>
          <w:tcPr>
            <w:tcW w:w="578"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Slice thickness</w:t>
            </w:r>
          </w:p>
        </w:tc>
        <w:tc>
          <w:tcPr>
            <w:tcW w:w="546"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Gap between slices</w:t>
            </w:r>
          </w:p>
        </w:tc>
        <w:tc>
          <w:tcPr>
            <w:tcW w:w="385"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NEX</w:t>
            </w:r>
          </w:p>
        </w:tc>
        <w:tc>
          <w:tcPr>
            <w:tcW w:w="352"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FOV</w:t>
            </w:r>
          </w:p>
        </w:tc>
        <w:tc>
          <w:tcPr>
            <w:tcW w:w="541"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Matrix size</w:t>
            </w:r>
          </w:p>
        </w:tc>
        <w:tc>
          <w:tcPr>
            <w:tcW w:w="624" w:type="pct"/>
            <w:tcBorders>
              <w:top w:val="single" w:color="auto" w:sz="4" w:space="0"/>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Sequence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784" w:type="pct"/>
            <w:tcBorders>
              <w:top w:val="single" w:color="auto" w:sz="4" w:space="0"/>
              <w:left w:val="nil"/>
              <w:bottom w:val="nil"/>
              <w:right w:val="nil"/>
            </w:tcBorders>
            <w:vAlign w:val="center"/>
          </w:tcPr>
          <w:p>
            <w:pPr>
              <w:jc w:val="left"/>
              <w:rPr>
                <w:rFonts w:hint="default" w:ascii="Arial" w:hAnsi="Arial" w:cs="Arial"/>
                <w:sz w:val="22"/>
                <w:szCs w:val="22"/>
              </w:rPr>
            </w:pPr>
            <w:r>
              <w:rPr>
                <w:rFonts w:hint="default" w:ascii="Arial" w:hAnsi="Arial" w:cs="Arial"/>
                <w:sz w:val="22"/>
                <w:szCs w:val="22"/>
              </w:rPr>
              <w:t>T2WI with fat suppression</w:t>
            </w:r>
          </w:p>
        </w:tc>
        <w:tc>
          <w:tcPr>
            <w:tcW w:w="480"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coronal</w:t>
            </w:r>
          </w:p>
        </w:tc>
        <w:tc>
          <w:tcPr>
            <w:tcW w:w="371"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1300</w:t>
            </w:r>
          </w:p>
        </w:tc>
        <w:tc>
          <w:tcPr>
            <w:tcW w:w="334"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81.2</w:t>
            </w:r>
          </w:p>
        </w:tc>
        <w:tc>
          <w:tcPr>
            <w:tcW w:w="578"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546"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0.5</w:t>
            </w:r>
          </w:p>
        </w:tc>
        <w:tc>
          <w:tcPr>
            <w:tcW w:w="385"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352"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20</w:t>
            </w:r>
          </w:p>
        </w:tc>
        <w:tc>
          <w:tcPr>
            <w:tcW w:w="541"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288×192</w:t>
            </w:r>
          </w:p>
        </w:tc>
        <w:tc>
          <w:tcPr>
            <w:tcW w:w="624" w:type="pct"/>
            <w:tcBorders>
              <w:top w:val="single" w:color="auto" w:sz="4" w:space="0"/>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FRFSE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784" w:type="pct"/>
            <w:tcBorders>
              <w:top w:val="nil"/>
              <w:left w:val="nil"/>
              <w:bottom w:val="nil"/>
              <w:right w:val="nil"/>
            </w:tcBorders>
            <w:vAlign w:val="center"/>
          </w:tcPr>
          <w:p>
            <w:pPr>
              <w:rPr>
                <w:rFonts w:hint="default" w:ascii="Arial" w:hAnsi="Arial" w:cs="Arial"/>
                <w:sz w:val="22"/>
                <w:szCs w:val="22"/>
              </w:rPr>
            </w:pPr>
            <w:r>
              <w:rPr>
                <w:rFonts w:hint="default" w:ascii="Arial" w:hAnsi="Arial" w:cs="Arial"/>
                <w:sz w:val="22"/>
                <w:szCs w:val="22"/>
              </w:rPr>
              <w:t>T1WI</w:t>
            </w:r>
          </w:p>
        </w:tc>
        <w:tc>
          <w:tcPr>
            <w:tcW w:w="480"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axial</w:t>
            </w:r>
          </w:p>
        </w:tc>
        <w:tc>
          <w:tcPr>
            <w:tcW w:w="37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540</w:t>
            </w:r>
          </w:p>
        </w:tc>
        <w:tc>
          <w:tcPr>
            <w:tcW w:w="33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10.6</w:t>
            </w:r>
          </w:p>
        </w:tc>
        <w:tc>
          <w:tcPr>
            <w:tcW w:w="578"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546"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0.5</w:t>
            </w:r>
          </w:p>
        </w:tc>
        <w:tc>
          <w:tcPr>
            <w:tcW w:w="385"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w:t>
            </w:r>
          </w:p>
        </w:tc>
        <w:tc>
          <w:tcPr>
            <w:tcW w:w="352"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20</w:t>
            </w:r>
          </w:p>
        </w:tc>
        <w:tc>
          <w:tcPr>
            <w:tcW w:w="54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288×224</w:t>
            </w:r>
          </w:p>
        </w:tc>
        <w:tc>
          <w:tcPr>
            <w:tcW w:w="62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FSE-XL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84" w:type="pct"/>
            <w:tcBorders>
              <w:top w:val="nil"/>
              <w:left w:val="nil"/>
              <w:bottom w:val="nil"/>
              <w:right w:val="nil"/>
            </w:tcBorders>
            <w:vAlign w:val="center"/>
          </w:tcPr>
          <w:p>
            <w:pPr>
              <w:jc w:val="left"/>
              <w:rPr>
                <w:rFonts w:hint="default" w:ascii="Arial" w:hAnsi="Arial" w:cs="Arial"/>
                <w:sz w:val="22"/>
                <w:szCs w:val="22"/>
              </w:rPr>
            </w:pPr>
            <w:r>
              <w:rPr>
                <w:rFonts w:hint="default" w:ascii="Arial" w:hAnsi="Arial" w:cs="Arial"/>
                <w:sz w:val="22"/>
                <w:szCs w:val="22"/>
              </w:rPr>
              <w:t>T2WI with fat suppression</w:t>
            </w:r>
          </w:p>
        </w:tc>
        <w:tc>
          <w:tcPr>
            <w:tcW w:w="480"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axial</w:t>
            </w:r>
          </w:p>
        </w:tc>
        <w:tc>
          <w:tcPr>
            <w:tcW w:w="37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3000</w:t>
            </w:r>
          </w:p>
        </w:tc>
        <w:tc>
          <w:tcPr>
            <w:tcW w:w="33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86.9</w:t>
            </w:r>
          </w:p>
        </w:tc>
        <w:tc>
          <w:tcPr>
            <w:tcW w:w="578"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546"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0.5</w:t>
            </w:r>
          </w:p>
        </w:tc>
        <w:tc>
          <w:tcPr>
            <w:tcW w:w="385"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w:t>
            </w:r>
          </w:p>
        </w:tc>
        <w:tc>
          <w:tcPr>
            <w:tcW w:w="352"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20</w:t>
            </w:r>
          </w:p>
        </w:tc>
        <w:tc>
          <w:tcPr>
            <w:tcW w:w="54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320×224</w:t>
            </w:r>
          </w:p>
        </w:tc>
        <w:tc>
          <w:tcPr>
            <w:tcW w:w="62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FRFSE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784" w:type="pct"/>
            <w:tcBorders>
              <w:top w:val="nil"/>
              <w:left w:val="nil"/>
              <w:bottom w:val="nil"/>
              <w:right w:val="nil"/>
            </w:tcBorders>
            <w:vAlign w:val="center"/>
          </w:tcPr>
          <w:p>
            <w:pPr>
              <w:rPr>
                <w:rFonts w:hint="default" w:ascii="Arial" w:hAnsi="Arial" w:cs="Arial"/>
                <w:sz w:val="22"/>
                <w:szCs w:val="22"/>
              </w:rPr>
            </w:pPr>
            <w:r>
              <w:rPr>
                <w:rFonts w:hint="default" w:ascii="Arial" w:hAnsi="Arial" w:cs="Arial"/>
                <w:sz w:val="22"/>
                <w:szCs w:val="22"/>
              </w:rPr>
              <w:t>DWI</w:t>
            </w:r>
          </w:p>
        </w:tc>
        <w:tc>
          <w:tcPr>
            <w:tcW w:w="480"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axial</w:t>
            </w:r>
          </w:p>
        </w:tc>
        <w:tc>
          <w:tcPr>
            <w:tcW w:w="37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6550</w:t>
            </w:r>
          </w:p>
        </w:tc>
        <w:tc>
          <w:tcPr>
            <w:tcW w:w="33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85</w:t>
            </w:r>
          </w:p>
        </w:tc>
        <w:tc>
          <w:tcPr>
            <w:tcW w:w="578"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546"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0.5</w:t>
            </w:r>
          </w:p>
        </w:tc>
        <w:tc>
          <w:tcPr>
            <w:tcW w:w="385"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8</w:t>
            </w:r>
          </w:p>
        </w:tc>
        <w:tc>
          <w:tcPr>
            <w:tcW w:w="352"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20</w:t>
            </w:r>
          </w:p>
        </w:tc>
        <w:tc>
          <w:tcPr>
            <w:tcW w:w="54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128×128</w:t>
            </w:r>
          </w:p>
        </w:tc>
        <w:tc>
          <w:tcPr>
            <w:tcW w:w="62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SE-EPI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784" w:type="pct"/>
            <w:tcBorders>
              <w:top w:val="nil"/>
              <w:left w:val="nil"/>
              <w:bottom w:val="nil"/>
              <w:right w:val="nil"/>
            </w:tcBorders>
            <w:vAlign w:val="center"/>
          </w:tcPr>
          <w:p>
            <w:pPr>
              <w:jc w:val="left"/>
              <w:rPr>
                <w:rFonts w:hint="default" w:ascii="Arial" w:hAnsi="Arial" w:cs="Arial"/>
                <w:sz w:val="22"/>
                <w:szCs w:val="22"/>
              </w:rPr>
            </w:pPr>
            <w:r>
              <w:rPr>
                <w:rFonts w:hint="default" w:ascii="Arial" w:hAnsi="Arial" w:cs="Arial"/>
                <w:sz w:val="22"/>
                <w:szCs w:val="22"/>
              </w:rPr>
              <w:t>Contrast-enhanced T1WI</w:t>
            </w:r>
          </w:p>
        </w:tc>
        <w:tc>
          <w:tcPr>
            <w:tcW w:w="480"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axial</w:t>
            </w:r>
          </w:p>
        </w:tc>
        <w:tc>
          <w:tcPr>
            <w:tcW w:w="37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5.5</w:t>
            </w:r>
          </w:p>
        </w:tc>
        <w:tc>
          <w:tcPr>
            <w:tcW w:w="33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1.6</w:t>
            </w:r>
          </w:p>
        </w:tc>
        <w:tc>
          <w:tcPr>
            <w:tcW w:w="578"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4</w:t>
            </w:r>
          </w:p>
        </w:tc>
        <w:tc>
          <w:tcPr>
            <w:tcW w:w="546"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w:t>
            </w:r>
          </w:p>
        </w:tc>
        <w:tc>
          <w:tcPr>
            <w:tcW w:w="385"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1</w:t>
            </w:r>
          </w:p>
        </w:tc>
        <w:tc>
          <w:tcPr>
            <w:tcW w:w="352"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25</w:t>
            </w:r>
          </w:p>
        </w:tc>
        <w:tc>
          <w:tcPr>
            <w:tcW w:w="541"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256×192</w:t>
            </w:r>
          </w:p>
        </w:tc>
        <w:tc>
          <w:tcPr>
            <w:tcW w:w="624" w:type="pct"/>
            <w:tcBorders>
              <w:top w:val="nil"/>
              <w:left w:val="nil"/>
              <w:bottom w:val="nil"/>
              <w:right w:val="nil"/>
            </w:tcBorders>
            <w:vAlign w:val="center"/>
          </w:tcPr>
          <w:p>
            <w:pPr>
              <w:jc w:val="center"/>
              <w:rPr>
                <w:rFonts w:hint="default" w:ascii="Arial" w:hAnsi="Arial" w:cs="Arial"/>
                <w:sz w:val="22"/>
                <w:szCs w:val="22"/>
              </w:rPr>
            </w:pPr>
            <w:r>
              <w:rPr>
                <w:rFonts w:hint="default" w:ascii="Arial" w:hAnsi="Arial" w:cs="Arial"/>
                <w:sz w:val="22"/>
                <w:szCs w:val="22"/>
              </w:rPr>
              <w:t>FSPGR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84" w:type="pct"/>
            <w:tcBorders>
              <w:top w:val="nil"/>
              <w:left w:val="nil"/>
              <w:bottom w:val="single" w:color="auto" w:sz="4" w:space="0"/>
              <w:right w:val="nil"/>
            </w:tcBorders>
            <w:vAlign w:val="center"/>
          </w:tcPr>
          <w:p>
            <w:pPr>
              <w:rPr>
                <w:rFonts w:hint="default" w:ascii="Arial" w:hAnsi="Arial" w:cs="Arial"/>
                <w:sz w:val="22"/>
                <w:szCs w:val="22"/>
              </w:rPr>
            </w:pPr>
            <w:r>
              <w:rPr>
                <w:rFonts w:hint="default" w:ascii="Arial" w:hAnsi="Arial" w:cs="Arial"/>
                <w:sz w:val="22"/>
                <w:szCs w:val="22"/>
              </w:rPr>
              <w:t>Units</w:t>
            </w:r>
          </w:p>
        </w:tc>
        <w:tc>
          <w:tcPr>
            <w:tcW w:w="480" w:type="pct"/>
            <w:tcBorders>
              <w:top w:val="nil"/>
              <w:left w:val="nil"/>
              <w:bottom w:val="single" w:color="auto" w:sz="4" w:space="0"/>
              <w:right w:val="nil"/>
            </w:tcBorders>
            <w:vAlign w:val="center"/>
          </w:tcPr>
          <w:p>
            <w:pPr>
              <w:jc w:val="center"/>
              <w:rPr>
                <w:rFonts w:hint="default" w:ascii="Arial" w:hAnsi="Arial" w:cs="Arial"/>
                <w:sz w:val="22"/>
                <w:szCs w:val="22"/>
              </w:rPr>
            </w:pPr>
          </w:p>
        </w:tc>
        <w:tc>
          <w:tcPr>
            <w:tcW w:w="371" w:type="pct"/>
            <w:tcBorders>
              <w:top w:val="nil"/>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ms</w:t>
            </w:r>
          </w:p>
        </w:tc>
        <w:tc>
          <w:tcPr>
            <w:tcW w:w="334" w:type="pct"/>
            <w:tcBorders>
              <w:top w:val="nil"/>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ms</w:t>
            </w:r>
          </w:p>
        </w:tc>
        <w:tc>
          <w:tcPr>
            <w:tcW w:w="578" w:type="pct"/>
            <w:tcBorders>
              <w:top w:val="nil"/>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mm</w:t>
            </w:r>
          </w:p>
        </w:tc>
        <w:tc>
          <w:tcPr>
            <w:tcW w:w="546" w:type="pct"/>
            <w:tcBorders>
              <w:top w:val="nil"/>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mm</w:t>
            </w:r>
          </w:p>
        </w:tc>
        <w:tc>
          <w:tcPr>
            <w:tcW w:w="385" w:type="pct"/>
            <w:tcBorders>
              <w:top w:val="nil"/>
              <w:left w:val="nil"/>
              <w:bottom w:val="single" w:color="auto" w:sz="4" w:space="0"/>
              <w:right w:val="nil"/>
            </w:tcBorders>
            <w:vAlign w:val="center"/>
          </w:tcPr>
          <w:p>
            <w:pPr>
              <w:jc w:val="center"/>
              <w:rPr>
                <w:rFonts w:hint="default" w:ascii="Arial" w:hAnsi="Arial" w:cs="Arial"/>
                <w:sz w:val="22"/>
                <w:szCs w:val="22"/>
              </w:rPr>
            </w:pPr>
          </w:p>
        </w:tc>
        <w:tc>
          <w:tcPr>
            <w:tcW w:w="352" w:type="pct"/>
            <w:tcBorders>
              <w:top w:val="nil"/>
              <w:left w:val="nil"/>
              <w:bottom w:val="single" w:color="auto" w:sz="4" w:space="0"/>
              <w:right w:val="nil"/>
            </w:tcBorders>
            <w:vAlign w:val="center"/>
          </w:tcPr>
          <w:p>
            <w:pPr>
              <w:jc w:val="center"/>
              <w:rPr>
                <w:rFonts w:hint="default" w:ascii="Arial" w:hAnsi="Arial" w:cs="Arial"/>
                <w:sz w:val="22"/>
                <w:szCs w:val="22"/>
              </w:rPr>
            </w:pPr>
            <w:r>
              <w:rPr>
                <w:rFonts w:hint="default" w:ascii="Arial" w:hAnsi="Arial" w:cs="Arial"/>
                <w:sz w:val="22"/>
                <w:szCs w:val="22"/>
              </w:rPr>
              <w:t>cm</w:t>
            </w:r>
          </w:p>
        </w:tc>
        <w:tc>
          <w:tcPr>
            <w:tcW w:w="541" w:type="pct"/>
            <w:tcBorders>
              <w:top w:val="nil"/>
              <w:left w:val="nil"/>
              <w:bottom w:val="single" w:color="auto" w:sz="4" w:space="0"/>
              <w:right w:val="nil"/>
            </w:tcBorders>
            <w:vAlign w:val="center"/>
          </w:tcPr>
          <w:p>
            <w:pPr>
              <w:jc w:val="center"/>
              <w:rPr>
                <w:rFonts w:hint="default" w:ascii="Arial" w:hAnsi="Arial" w:cs="Arial"/>
                <w:sz w:val="22"/>
                <w:szCs w:val="22"/>
              </w:rPr>
            </w:pPr>
          </w:p>
        </w:tc>
        <w:tc>
          <w:tcPr>
            <w:tcW w:w="624" w:type="pct"/>
            <w:tcBorders>
              <w:top w:val="nil"/>
              <w:left w:val="nil"/>
              <w:bottom w:val="single" w:color="auto" w:sz="4" w:space="0"/>
              <w:right w:val="nil"/>
            </w:tcBorders>
            <w:vAlign w:val="center"/>
          </w:tcPr>
          <w:p>
            <w:pPr>
              <w:jc w:val="center"/>
              <w:rPr>
                <w:rFonts w:hint="default" w:ascii="Arial" w:hAnsi="Arial" w:cs="Arial"/>
                <w:sz w:val="22"/>
                <w:szCs w:val="22"/>
              </w:rPr>
            </w:pPr>
          </w:p>
        </w:tc>
      </w:tr>
    </w:tbl>
    <w:p>
      <w:pPr>
        <w:spacing w:line="240" w:lineRule="atLeast"/>
        <w:rPr>
          <w:rFonts w:ascii="Arial" w:hAnsi="Arial" w:cs="Arial"/>
          <w:color w:val="252525"/>
          <w:sz w:val="21"/>
          <w:szCs w:val="21"/>
          <w:shd w:val="clear" w:color="auto" w:fill="FFFFFF"/>
        </w:rPr>
      </w:pPr>
      <w:r>
        <w:rPr>
          <w:rFonts w:ascii="Arial" w:hAnsi="Arial" w:cs="Arial"/>
          <w:color w:val="252525"/>
          <w:sz w:val="21"/>
          <w:szCs w:val="21"/>
          <w:shd w:val="clear" w:color="auto" w:fill="FFFFFF"/>
        </w:rPr>
        <w:t>Abbreviations: TR, repetition time; TE, echo time; NEX, number of excitations; FOV, field of view; T2WI, T2-weighted image; T1WI, T1-weighted image; DWI,  diffusion-weighted imaging; FRFSE, fast recovery fast spin echo; FSE, fast spin echo; SS-EPI, single shot echo-planar imaging; FSPGR, fast spoiled gradient echo.</w:t>
      </w: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0" w:leftChars="0" w:firstLine="0" w:firstLineChars="0"/>
        <w:jc w:val="both"/>
        <w:rPr>
          <w:rFonts w:hint="default" w:ascii="Arial" w:hAnsi="Arial" w:cs="Arial" w:eastAsiaTheme="minorEastAsia"/>
          <w:sz w:val="22"/>
          <w:szCs w:val="22"/>
          <w:lang w:val="en-US" w:eastAsia="zh-CN"/>
        </w:rPr>
      </w:pPr>
      <w:r>
        <w:rPr>
          <w:rFonts w:hint="default" w:ascii="Arial" w:hAnsi="Arial" w:cs="Arial"/>
          <w:b/>
          <w:bCs/>
          <w:sz w:val="22"/>
          <w:szCs w:val="22"/>
          <w:lang w:val="en-US" w:eastAsia="zh-CN"/>
        </w:rPr>
        <w:t>Table S2</w:t>
      </w:r>
      <w:r>
        <w:rPr>
          <w:rFonts w:hint="eastAsia" w:ascii="Arial" w:hAnsi="Arial" w:cs="Arial"/>
          <w:b/>
          <w:bCs/>
          <w:sz w:val="22"/>
          <w:szCs w:val="22"/>
          <w:lang w:val="en-US" w:eastAsia="zh-CN"/>
        </w:rPr>
        <w:t>.</w:t>
      </w:r>
      <w:r>
        <w:rPr>
          <w:rFonts w:hint="eastAsia" w:ascii="Arial" w:hAnsi="Arial" w:cs="Arial"/>
          <w:sz w:val="22"/>
          <w:szCs w:val="22"/>
          <w:lang w:val="en-US" w:eastAsia="zh-CN"/>
        </w:rPr>
        <w:t xml:space="preserve"> </w:t>
      </w:r>
      <w:r>
        <w:rPr>
          <w:rFonts w:hint="default" w:ascii="Arial" w:hAnsi="Arial" w:cs="Arial" w:eastAsiaTheme="minorEastAsia"/>
          <w:sz w:val="22"/>
          <w:szCs w:val="22"/>
        </w:rPr>
        <w:t xml:space="preserve">Pathological </w:t>
      </w:r>
      <w:r>
        <w:rPr>
          <w:rFonts w:hint="eastAsia" w:ascii="Arial" w:hAnsi="Arial" w:cs="Arial"/>
          <w:sz w:val="22"/>
          <w:szCs w:val="22"/>
          <w:lang w:val="en-US" w:eastAsia="zh-CN"/>
        </w:rPr>
        <w:t>types</w:t>
      </w:r>
    </w:p>
    <w:tbl>
      <w:tblPr>
        <w:tblStyle w:val="5"/>
        <w:tblW w:w="4893" w:type="pct"/>
        <w:tblInd w:w="0" w:type="dxa"/>
        <w:tblLayout w:type="fixed"/>
        <w:tblCellMar>
          <w:top w:w="0" w:type="dxa"/>
          <w:left w:w="108" w:type="dxa"/>
          <w:bottom w:w="0" w:type="dxa"/>
          <w:right w:w="108" w:type="dxa"/>
        </w:tblCellMar>
      </w:tblPr>
      <w:tblGrid>
        <w:gridCol w:w="5782"/>
        <w:gridCol w:w="3967"/>
      </w:tblGrid>
      <w:tr>
        <w:tblPrEx>
          <w:tblCellMar>
            <w:top w:w="0" w:type="dxa"/>
            <w:left w:w="108" w:type="dxa"/>
            <w:bottom w:w="0" w:type="dxa"/>
            <w:right w:w="108" w:type="dxa"/>
          </w:tblCellMar>
        </w:tblPrEx>
        <w:trPr>
          <w:trHeight w:val="270" w:hRule="atLeast"/>
        </w:trPr>
        <w:tc>
          <w:tcPr>
            <w:tcW w:w="2965" w:type="pct"/>
            <w:tcBorders>
              <w:top w:val="single" w:color="auto" w:sz="4" w:space="0"/>
              <w:left w:val="nil"/>
              <w:bottom w:val="single" w:color="auto" w:sz="4" w:space="0"/>
              <w:right w:val="nil"/>
            </w:tcBorders>
            <w:noWrap/>
          </w:tcPr>
          <w:p>
            <w:pPr>
              <w:spacing w:line="400" w:lineRule="exact"/>
              <w:rPr>
                <w:rFonts w:hint="default" w:ascii="Arial" w:hAnsi="Arial" w:cs="Arial" w:eastAsiaTheme="minorEastAsia"/>
                <w:sz w:val="22"/>
                <w:szCs w:val="22"/>
                <w:lang w:val="en-US" w:eastAsia="zh-CN"/>
              </w:rPr>
            </w:pPr>
            <w:r>
              <w:rPr>
                <w:rFonts w:hint="default" w:ascii="Arial" w:hAnsi="Arial" w:cs="Arial" w:eastAsiaTheme="minorEastAsia"/>
                <w:sz w:val="22"/>
                <w:szCs w:val="22"/>
              </w:rPr>
              <w:t xml:space="preserve">Pathological </w:t>
            </w:r>
            <w:r>
              <w:rPr>
                <w:rFonts w:hint="eastAsia" w:ascii="Arial" w:hAnsi="Arial" w:cs="Arial"/>
                <w:sz w:val="22"/>
                <w:szCs w:val="22"/>
                <w:lang w:val="en-US" w:eastAsia="zh-CN"/>
              </w:rPr>
              <w:t>types</w:t>
            </w:r>
          </w:p>
        </w:tc>
        <w:tc>
          <w:tcPr>
            <w:tcW w:w="2034" w:type="pct"/>
            <w:tcBorders>
              <w:top w:val="single" w:color="auto" w:sz="4" w:space="0"/>
              <w:left w:val="nil"/>
              <w:bottom w:val="single" w:color="auto" w:sz="4" w:space="0"/>
              <w:right w:val="nil"/>
            </w:tcBorders>
            <w:vAlign w:val="center"/>
          </w:tcPr>
          <w:p>
            <w:pPr>
              <w:spacing w:line="400" w:lineRule="exact"/>
              <w:jc w:val="center"/>
              <w:rPr>
                <w:rFonts w:hint="default" w:ascii="Arial" w:hAnsi="Arial" w:eastAsia="宋体" w:cs="Arial"/>
                <w:sz w:val="22"/>
                <w:szCs w:val="22"/>
                <w:lang w:val="en-US" w:eastAsia="zh-CN"/>
              </w:rPr>
            </w:pPr>
            <w:r>
              <w:rPr>
                <w:rFonts w:hint="eastAsia" w:ascii="Arial" w:hAnsi="Arial" w:eastAsia="宋体" w:cs="Arial"/>
                <w:sz w:val="22"/>
                <w:szCs w:val="22"/>
                <w:lang w:val="en-US" w:eastAsia="zh-CN"/>
              </w:rPr>
              <w:t>N</w:t>
            </w:r>
          </w:p>
        </w:tc>
      </w:tr>
      <w:tr>
        <w:tblPrEx>
          <w:tblCellMar>
            <w:top w:w="0" w:type="dxa"/>
            <w:left w:w="108" w:type="dxa"/>
            <w:bottom w:w="0" w:type="dxa"/>
            <w:right w:w="108" w:type="dxa"/>
          </w:tblCellMar>
        </w:tblPrEx>
        <w:trPr>
          <w:trHeight w:val="270" w:hRule="atLeast"/>
        </w:trPr>
        <w:tc>
          <w:tcPr>
            <w:tcW w:w="2965" w:type="pct"/>
            <w:tcBorders>
              <w:top w:val="single" w:color="auto" w:sz="4" w:space="0"/>
              <w:left w:val="nil"/>
              <w:bottom w:val="nil"/>
              <w:right w:val="nil"/>
            </w:tcBorders>
            <w:noWrap/>
          </w:tcPr>
          <w:p>
            <w:pPr>
              <w:spacing w:line="400" w:lineRule="exact"/>
              <w:rPr>
                <w:rFonts w:hint="default" w:ascii="Arial" w:hAnsi="Arial" w:eastAsia="宋体" w:cs="Arial"/>
                <w:sz w:val="22"/>
                <w:szCs w:val="22"/>
              </w:rPr>
            </w:pPr>
            <w:r>
              <w:rPr>
                <w:rFonts w:hint="default" w:ascii="Arial" w:hAnsi="Arial" w:eastAsia="宋体" w:cs="Arial"/>
                <w:sz w:val="22"/>
                <w:szCs w:val="22"/>
              </w:rPr>
              <w:t xml:space="preserve">  </w:t>
            </w:r>
            <w:r>
              <w:rPr>
                <w:rFonts w:hint="default" w:ascii="Arial" w:hAnsi="Arial" w:cs="Arial" w:eastAsiaTheme="minorEastAsia"/>
                <w:sz w:val="22"/>
                <w:szCs w:val="22"/>
              </w:rPr>
              <w:t>Papillary thyroid carcinoma</w:t>
            </w:r>
          </w:p>
        </w:tc>
        <w:tc>
          <w:tcPr>
            <w:tcW w:w="2034" w:type="pct"/>
            <w:tcBorders>
              <w:top w:val="single" w:color="auto" w:sz="4" w:space="0"/>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291</w:t>
            </w:r>
            <w:r>
              <w:rPr>
                <w:rFonts w:hint="eastAsia" w:ascii="Arial" w:hAnsi="Arial" w:eastAsia="宋体" w:cs="Arial"/>
                <w:sz w:val="22"/>
                <w:szCs w:val="22"/>
                <w:lang w:val="en-US" w:eastAsia="zh-CN"/>
              </w:rPr>
              <w:t xml:space="preserve"> (</w:t>
            </w:r>
            <w:r>
              <w:rPr>
                <w:rFonts w:hint="default" w:ascii="Arial" w:hAnsi="Arial" w:eastAsia="宋体" w:cs="Arial"/>
                <w:sz w:val="22"/>
                <w:szCs w:val="22"/>
              </w:rPr>
              <w:t>35.3</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362" w:hRule="atLeast"/>
        </w:trPr>
        <w:tc>
          <w:tcPr>
            <w:tcW w:w="2965" w:type="pct"/>
            <w:tcBorders>
              <w:top w:val="nil"/>
              <w:left w:val="nil"/>
              <w:bottom w:val="nil"/>
              <w:right w:val="nil"/>
            </w:tcBorders>
            <w:noWrap/>
          </w:tcPr>
          <w:p>
            <w:pPr>
              <w:spacing w:line="400" w:lineRule="exact"/>
              <w:ind w:firstLine="220" w:firstLineChars="100"/>
              <w:rPr>
                <w:rFonts w:hint="default" w:ascii="Arial" w:hAnsi="Arial" w:eastAsia="宋体" w:cs="Arial"/>
                <w:sz w:val="22"/>
                <w:szCs w:val="22"/>
              </w:rPr>
            </w:pPr>
            <w:bookmarkStart w:id="44" w:name="_Hlk105014163"/>
            <w:r>
              <w:rPr>
                <w:rFonts w:hint="default" w:ascii="Arial" w:hAnsi="Arial" w:cs="Arial" w:eastAsiaTheme="minorEastAsia"/>
                <w:sz w:val="22"/>
                <w:szCs w:val="22"/>
              </w:rPr>
              <w:t>Follicular thyroid carcinoma</w:t>
            </w:r>
            <w:bookmarkEnd w:id="44"/>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17</w:t>
            </w:r>
            <w:r>
              <w:rPr>
                <w:rFonts w:hint="eastAsia" w:ascii="Arial" w:hAnsi="Arial" w:eastAsia="宋体" w:cs="Arial"/>
                <w:sz w:val="22"/>
                <w:szCs w:val="22"/>
                <w:lang w:val="en-US" w:eastAsia="zh-CN"/>
              </w:rPr>
              <w:t xml:space="preserve"> (</w:t>
            </w:r>
            <w:r>
              <w:rPr>
                <w:rFonts w:hint="default" w:ascii="Arial" w:hAnsi="Arial" w:eastAsia="宋体" w:cs="Arial"/>
                <w:sz w:val="22"/>
                <w:szCs w:val="22"/>
              </w:rPr>
              <w:t>2.1</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nil"/>
              <w:right w:val="nil"/>
            </w:tcBorders>
            <w:noWrap/>
          </w:tcPr>
          <w:p>
            <w:pPr>
              <w:spacing w:line="400" w:lineRule="exact"/>
              <w:ind w:firstLine="220" w:firstLineChars="100"/>
              <w:rPr>
                <w:rFonts w:hint="default" w:ascii="Arial" w:hAnsi="Arial" w:eastAsia="宋体" w:cs="Arial"/>
                <w:sz w:val="22"/>
                <w:szCs w:val="22"/>
              </w:rPr>
            </w:pPr>
            <w:r>
              <w:rPr>
                <w:rFonts w:hint="default" w:ascii="Arial" w:hAnsi="Arial" w:cs="Arial" w:eastAsiaTheme="minorEastAsia"/>
                <w:sz w:val="22"/>
                <w:szCs w:val="22"/>
              </w:rPr>
              <w:t>Medullary thyroid carcinoma</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5</w:t>
            </w:r>
            <w:r>
              <w:rPr>
                <w:rFonts w:hint="eastAsia" w:ascii="Arial" w:hAnsi="Arial" w:eastAsia="宋体" w:cs="Arial"/>
                <w:sz w:val="22"/>
                <w:szCs w:val="22"/>
                <w:lang w:val="en-US" w:eastAsia="zh-CN"/>
              </w:rPr>
              <w:t xml:space="preserve"> (</w:t>
            </w:r>
            <w:r>
              <w:rPr>
                <w:rFonts w:hint="default" w:ascii="Arial" w:hAnsi="Arial" w:eastAsia="宋体" w:cs="Arial"/>
                <w:sz w:val="22"/>
                <w:szCs w:val="22"/>
              </w:rPr>
              <w:t>0.6</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nil"/>
              <w:right w:val="nil"/>
            </w:tcBorders>
            <w:noWrap/>
          </w:tcPr>
          <w:p>
            <w:pPr>
              <w:spacing w:line="400" w:lineRule="exact"/>
              <w:ind w:left="240" w:hanging="220" w:hangingChars="100"/>
              <w:rPr>
                <w:rFonts w:hint="default" w:ascii="Arial" w:hAnsi="Arial" w:eastAsia="宋体" w:cs="Arial"/>
                <w:sz w:val="22"/>
                <w:szCs w:val="22"/>
              </w:rPr>
            </w:pPr>
            <w:r>
              <w:rPr>
                <w:rFonts w:hint="default" w:ascii="Arial" w:hAnsi="Arial" w:eastAsia="宋体" w:cs="Arial"/>
                <w:sz w:val="22"/>
                <w:szCs w:val="22"/>
              </w:rPr>
              <w:t xml:space="preserve">  </w:t>
            </w:r>
            <w:r>
              <w:rPr>
                <w:rFonts w:hint="default" w:ascii="Arial" w:hAnsi="Arial" w:cs="Arial" w:eastAsiaTheme="minorEastAsia"/>
                <w:sz w:val="22"/>
                <w:szCs w:val="22"/>
              </w:rPr>
              <w:t>Undifferentiated carcinoma</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2</w:t>
            </w:r>
            <w:r>
              <w:rPr>
                <w:rFonts w:hint="eastAsia" w:ascii="Arial" w:hAnsi="Arial" w:eastAsia="宋体" w:cs="Arial"/>
                <w:sz w:val="22"/>
                <w:szCs w:val="22"/>
                <w:lang w:val="en-US" w:eastAsia="zh-CN"/>
              </w:rPr>
              <w:t xml:space="preserve"> (</w:t>
            </w:r>
            <w:r>
              <w:rPr>
                <w:rFonts w:hint="default" w:ascii="Arial" w:hAnsi="Arial" w:eastAsia="宋体" w:cs="Arial"/>
                <w:sz w:val="22"/>
                <w:szCs w:val="22"/>
              </w:rPr>
              <w:t>0.2</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nil"/>
              <w:right w:val="nil"/>
            </w:tcBorders>
            <w:noWrap/>
          </w:tcPr>
          <w:p>
            <w:pPr>
              <w:spacing w:line="400" w:lineRule="exact"/>
              <w:rPr>
                <w:rFonts w:hint="default" w:ascii="Arial" w:hAnsi="Arial" w:eastAsia="宋体" w:cs="Arial"/>
                <w:sz w:val="22"/>
                <w:szCs w:val="22"/>
              </w:rPr>
            </w:pPr>
            <w:r>
              <w:rPr>
                <w:rFonts w:hint="default" w:ascii="Arial" w:hAnsi="Arial" w:eastAsia="宋体" w:cs="Arial"/>
                <w:sz w:val="22"/>
                <w:szCs w:val="22"/>
              </w:rPr>
              <w:t xml:space="preserve">  </w:t>
            </w:r>
            <w:r>
              <w:rPr>
                <w:rFonts w:hint="default" w:ascii="Arial" w:hAnsi="Arial" w:cs="Arial" w:eastAsiaTheme="minorEastAsia"/>
                <w:sz w:val="22"/>
                <w:szCs w:val="22"/>
              </w:rPr>
              <w:t>Nodular goiter</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355</w:t>
            </w:r>
            <w:r>
              <w:rPr>
                <w:rFonts w:hint="eastAsia" w:ascii="Arial" w:hAnsi="Arial" w:eastAsia="宋体" w:cs="Arial"/>
                <w:sz w:val="22"/>
                <w:szCs w:val="22"/>
                <w:lang w:val="en-US" w:eastAsia="zh-CN"/>
              </w:rPr>
              <w:t xml:space="preserve"> (</w:t>
            </w:r>
            <w:r>
              <w:rPr>
                <w:rFonts w:hint="default" w:ascii="Arial" w:hAnsi="Arial" w:eastAsia="宋体" w:cs="Arial"/>
                <w:sz w:val="22"/>
                <w:szCs w:val="22"/>
              </w:rPr>
              <w:t>43.0</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388" w:hRule="atLeast"/>
        </w:trPr>
        <w:tc>
          <w:tcPr>
            <w:tcW w:w="2965" w:type="pct"/>
            <w:tcBorders>
              <w:top w:val="nil"/>
              <w:left w:val="nil"/>
              <w:bottom w:val="nil"/>
              <w:right w:val="nil"/>
            </w:tcBorders>
            <w:noWrap/>
          </w:tcPr>
          <w:p>
            <w:pPr>
              <w:spacing w:line="400" w:lineRule="exact"/>
              <w:ind w:firstLine="220" w:firstLineChars="100"/>
              <w:rPr>
                <w:rFonts w:hint="default" w:ascii="Arial" w:hAnsi="Arial" w:eastAsia="宋体" w:cs="Arial"/>
                <w:sz w:val="22"/>
                <w:szCs w:val="22"/>
              </w:rPr>
            </w:pPr>
            <w:r>
              <w:rPr>
                <w:rFonts w:hint="default" w:ascii="Arial" w:hAnsi="Arial" w:cs="Arial" w:eastAsiaTheme="minorEastAsia"/>
                <w:sz w:val="22"/>
                <w:szCs w:val="22"/>
              </w:rPr>
              <w:t>Adenomatous goiter</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69</w:t>
            </w:r>
            <w:r>
              <w:rPr>
                <w:rFonts w:hint="eastAsia" w:ascii="Arial" w:hAnsi="Arial" w:eastAsia="宋体" w:cs="Arial"/>
                <w:sz w:val="22"/>
                <w:szCs w:val="22"/>
                <w:lang w:val="en-US" w:eastAsia="zh-CN"/>
              </w:rPr>
              <w:t xml:space="preserve"> (</w:t>
            </w:r>
            <w:r>
              <w:rPr>
                <w:rFonts w:hint="default" w:ascii="Arial" w:hAnsi="Arial" w:eastAsia="宋体" w:cs="Arial"/>
                <w:sz w:val="22"/>
                <w:szCs w:val="22"/>
              </w:rPr>
              <w:t>8.4</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419" w:hRule="atLeast"/>
        </w:trPr>
        <w:tc>
          <w:tcPr>
            <w:tcW w:w="2965" w:type="pct"/>
            <w:tcBorders>
              <w:top w:val="nil"/>
              <w:left w:val="nil"/>
              <w:bottom w:val="nil"/>
              <w:right w:val="nil"/>
            </w:tcBorders>
            <w:noWrap/>
          </w:tcPr>
          <w:p>
            <w:pPr>
              <w:spacing w:line="400" w:lineRule="exact"/>
              <w:rPr>
                <w:rFonts w:hint="default" w:ascii="Arial" w:hAnsi="Arial" w:eastAsia="宋体" w:cs="Arial"/>
                <w:sz w:val="22"/>
                <w:szCs w:val="22"/>
              </w:rPr>
            </w:pPr>
            <w:r>
              <w:rPr>
                <w:rFonts w:hint="default" w:ascii="Arial" w:hAnsi="Arial" w:eastAsia="宋体" w:cs="Arial"/>
                <w:sz w:val="22"/>
                <w:szCs w:val="22"/>
              </w:rPr>
              <w:t xml:space="preserve">  </w:t>
            </w:r>
            <w:r>
              <w:rPr>
                <w:rFonts w:hint="default" w:ascii="Arial" w:hAnsi="Arial" w:cs="Arial" w:eastAsiaTheme="minorEastAsia"/>
                <w:sz w:val="22"/>
                <w:szCs w:val="22"/>
              </w:rPr>
              <w:t>Adenoma</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47</w:t>
            </w:r>
            <w:r>
              <w:rPr>
                <w:rFonts w:hint="eastAsia" w:ascii="Arial" w:hAnsi="Arial" w:eastAsia="宋体" w:cs="Arial"/>
                <w:sz w:val="22"/>
                <w:szCs w:val="22"/>
                <w:lang w:val="en-US" w:eastAsia="zh-CN"/>
              </w:rPr>
              <w:t xml:space="preserve"> (</w:t>
            </w:r>
            <w:r>
              <w:rPr>
                <w:rFonts w:hint="default" w:ascii="Arial" w:hAnsi="Arial" w:eastAsia="宋体" w:cs="Arial"/>
                <w:sz w:val="22"/>
                <w:szCs w:val="22"/>
              </w:rPr>
              <w:t>5.7</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nil"/>
              <w:right w:val="nil"/>
            </w:tcBorders>
            <w:noWrap/>
          </w:tcPr>
          <w:p>
            <w:pPr>
              <w:spacing w:line="400" w:lineRule="exact"/>
              <w:ind w:firstLine="220" w:firstLineChars="100"/>
              <w:rPr>
                <w:rFonts w:hint="default" w:ascii="Arial" w:hAnsi="Arial" w:eastAsia="宋体" w:cs="Arial"/>
                <w:sz w:val="22"/>
                <w:szCs w:val="22"/>
              </w:rPr>
            </w:pPr>
            <w:r>
              <w:rPr>
                <w:rFonts w:hint="default" w:ascii="Arial" w:hAnsi="Arial" w:cs="Arial" w:eastAsiaTheme="minorEastAsia"/>
                <w:sz w:val="22"/>
                <w:szCs w:val="22"/>
              </w:rPr>
              <w:t>Nodular hashimoto thyroiditis</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23</w:t>
            </w:r>
            <w:r>
              <w:rPr>
                <w:rFonts w:hint="eastAsia" w:ascii="Arial" w:hAnsi="Arial" w:eastAsia="宋体" w:cs="Arial"/>
                <w:sz w:val="22"/>
                <w:szCs w:val="22"/>
                <w:lang w:val="en-US" w:eastAsia="zh-CN"/>
              </w:rPr>
              <w:t xml:space="preserve"> (</w:t>
            </w:r>
            <w:r>
              <w:rPr>
                <w:rFonts w:hint="default" w:ascii="Arial" w:hAnsi="Arial" w:eastAsia="宋体" w:cs="Arial"/>
                <w:sz w:val="22"/>
                <w:szCs w:val="22"/>
              </w:rPr>
              <w:t>2.8</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nil"/>
              <w:right w:val="nil"/>
            </w:tcBorders>
            <w:noWrap/>
          </w:tcPr>
          <w:p>
            <w:pPr>
              <w:spacing w:line="400" w:lineRule="exact"/>
              <w:ind w:firstLine="220" w:firstLineChars="100"/>
              <w:rPr>
                <w:rFonts w:hint="default" w:ascii="Arial" w:hAnsi="Arial" w:eastAsia="宋体" w:cs="Arial"/>
                <w:sz w:val="22"/>
                <w:szCs w:val="22"/>
              </w:rPr>
            </w:pPr>
            <w:r>
              <w:rPr>
                <w:rFonts w:hint="default" w:ascii="Arial" w:hAnsi="Arial" w:cs="Arial" w:eastAsiaTheme="minorEastAsia"/>
                <w:sz w:val="22"/>
                <w:szCs w:val="22"/>
              </w:rPr>
              <w:t>Subacute thyroiditis</w:t>
            </w:r>
          </w:p>
        </w:tc>
        <w:tc>
          <w:tcPr>
            <w:tcW w:w="2034" w:type="pct"/>
            <w:tcBorders>
              <w:top w:val="nil"/>
              <w:left w:val="nil"/>
              <w:bottom w:val="nil"/>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12</w:t>
            </w:r>
            <w:r>
              <w:rPr>
                <w:rFonts w:hint="eastAsia" w:ascii="Arial" w:hAnsi="Arial" w:eastAsia="宋体" w:cs="Arial"/>
                <w:sz w:val="22"/>
                <w:szCs w:val="22"/>
                <w:lang w:val="en-US" w:eastAsia="zh-CN"/>
              </w:rPr>
              <w:t xml:space="preserve"> (</w:t>
            </w:r>
            <w:r>
              <w:rPr>
                <w:rFonts w:hint="default" w:ascii="Arial" w:hAnsi="Arial" w:eastAsia="宋体" w:cs="Arial"/>
                <w:sz w:val="22"/>
                <w:szCs w:val="22"/>
              </w:rPr>
              <w:t>1.5</w:t>
            </w:r>
            <w:r>
              <w:rPr>
                <w:rFonts w:hint="eastAsia" w:ascii="Arial" w:hAnsi="Arial" w:eastAsia="宋体" w:cs="Arial"/>
                <w:sz w:val="22"/>
                <w:szCs w:val="22"/>
                <w:lang w:val="en-US" w:eastAsia="zh-CN"/>
              </w:rPr>
              <w:t>)</w:t>
            </w:r>
          </w:p>
        </w:tc>
      </w:tr>
      <w:tr>
        <w:tblPrEx>
          <w:tblCellMar>
            <w:top w:w="0" w:type="dxa"/>
            <w:left w:w="108" w:type="dxa"/>
            <w:bottom w:w="0" w:type="dxa"/>
            <w:right w:w="108" w:type="dxa"/>
          </w:tblCellMar>
        </w:tblPrEx>
        <w:trPr>
          <w:trHeight w:val="270" w:hRule="atLeast"/>
        </w:trPr>
        <w:tc>
          <w:tcPr>
            <w:tcW w:w="2965" w:type="pct"/>
            <w:tcBorders>
              <w:top w:val="nil"/>
              <w:left w:val="nil"/>
              <w:bottom w:val="single" w:color="auto" w:sz="4" w:space="0"/>
              <w:right w:val="nil"/>
            </w:tcBorders>
            <w:noWrap/>
          </w:tcPr>
          <w:p>
            <w:pPr>
              <w:spacing w:line="400" w:lineRule="exact"/>
              <w:ind w:firstLine="220" w:firstLineChars="100"/>
              <w:rPr>
                <w:rFonts w:hint="default" w:ascii="Arial" w:hAnsi="Arial" w:eastAsia="宋体" w:cs="Arial"/>
                <w:sz w:val="22"/>
                <w:szCs w:val="22"/>
                <w:lang w:val="en-US" w:eastAsia="zh-CN"/>
              </w:rPr>
            </w:pPr>
            <w:r>
              <w:rPr>
                <w:rFonts w:hint="default" w:ascii="Arial" w:hAnsi="Arial" w:eastAsia="宋体" w:cs="Arial"/>
                <w:sz w:val="22"/>
                <w:szCs w:val="22"/>
                <w:lang w:val="en-US" w:eastAsia="zh-CN"/>
              </w:rPr>
              <w:t>Other</w:t>
            </w:r>
          </w:p>
        </w:tc>
        <w:tc>
          <w:tcPr>
            <w:tcW w:w="2034" w:type="pct"/>
            <w:tcBorders>
              <w:top w:val="nil"/>
              <w:left w:val="nil"/>
              <w:bottom w:val="single" w:color="auto" w:sz="4" w:space="0"/>
              <w:right w:val="nil"/>
            </w:tcBorders>
            <w:vAlign w:val="center"/>
          </w:tcPr>
          <w:p>
            <w:pPr>
              <w:spacing w:line="400" w:lineRule="exact"/>
              <w:jc w:val="center"/>
              <w:rPr>
                <w:rFonts w:hint="eastAsia" w:ascii="Arial" w:hAnsi="Arial" w:eastAsia="宋体" w:cs="Arial"/>
                <w:sz w:val="22"/>
                <w:szCs w:val="22"/>
                <w:lang w:val="en-US" w:eastAsia="zh-CN"/>
              </w:rPr>
            </w:pPr>
            <w:r>
              <w:rPr>
                <w:rFonts w:hint="default" w:ascii="Arial" w:hAnsi="Arial" w:eastAsia="宋体" w:cs="Arial"/>
                <w:sz w:val="22"/>
                <w:szCs w:val="22"/>
              </w:rPr>
              <w:t>4</w:t>
            </w:r>
            <w:r>
              <w:rPr>
                <w:rFonts w:hint="eastAsia" w:ascii="Arial" w:hAnsi="Arial" w:eastAsia="宋体" w:cs="Arial"/>
                <w:sz w:val="22"/>
                <w:szCs w:val="22"/>
                <w:lang w:val="en-US" w:eastAsia="zh-CN"/>
              </w:rPr>
              <w:t xml:space="preserve"> (</w:t>
            </w:r>
            <w:r>
              <w:rPr>
                <w:rFonts w:hint="default" w:ascii="Arial" w:hAnsi="Arial" w:eastAsia="宋体" w:cs="Arial"/>
                <w:sz w:val="22"/>
                <w:szCs w:val="22"/>
              </w:rPr>
              <w:t>0.5</w:t>
            </w:r>
            <w:r>
              <w:rPr>
                <w:rFonts w:hint="eastAsia" w:ascii="Arial" w:hAnsi="Arial" w:eastAsia="宋体" w:cs="Arial"/>
                <w:sz w:val="22"/>
                <w:szCs w:val="22"/>
                <w:lang w:val="en-US" w:eastAsia="zh-CN"/>
              </w:rPr>
              <w:t>)</w:t>
            </w:r>
          </w:p>
        </w:tc>
      </w:tr>
    </w:tbl>
    <w:p>
      <w:pPr>
        <w:pStyle w:val="10"/>
        <w:spacing w:line="360" w:lineRule="auto"/>
        <w:ind w:left="0" w:leftChars="0" w:firstLine="0" w:firstLineChars="0"/>
        <w:jc w:val="both"/>
        <w:rPr>
          <w:rFonts w:ascii="Times New Roman" w:hAnsi="Times New Roman" w:cs="Times New Roman"/>
          <w:sz w:val="21"/>
          <w:szCs w:val="21"/>
        </w:rPr>
      </w:pPr>
      <w:r>
        <w:rPr>
          <w:rFonts w:hint="default" w:ascii="Arial" w:hAnsi="Arial" w:eastAsia="宋体" w:cs="Arial"/>
          <w:kern w:val="2"/>
          <w:sz w:val="21"/>
          <w:szCs w:val="21"/>
          <w:lang w:val="en-US" w:eastAsia="zh-CN" w:bidi="ar"/>
        </w:rPr>
        <w:t xml:space="preserve">Data are expressed as the number of nodules, with percentages in parentheses. </w:t>
      </w: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keepNext w:val="0"/>
        <w:keepLines w:val="0"/>
        <w:widowControl/>
        <w:suppressLineNumbers w:val="0"/>
        <w:spacing w:before="0" w:beforeAutospacing="0" w:after="0" w:afterAutospacing="0" w:line="400" w:lineRule="exact"/>
        <w:ind w:left="0" w:right="0"/>
        <w:jc w:val="left"/>
        <w:rPr>
          <w:rFonts w:hint="default" w:ascii="Arial" w:hAnsi="Arial" w:eastAsia="宋体" w:cs="Arial"/>
          <w:b w:val="0"/>
          <w:bCs/>
          <w:color w:val="000000"/>
          <w:kern w:val="0"/>
          <w:sz w:val="22"/>
          <w:szCs w:val="22"/>
          <w:lang w:val="en-US"/>
        </w:rPr>
      </w:pPr>
      <w:r>
        <w:rPr>
          <w:rFonts w:hint="default" w:ascii="Arial" w:hAnsi="Arial" w:eastAsia="宋体" w:cs="Arial"/>
          <w:b/>
          <w:bCs w:val="0"/>
          <w:color w:val="000000"/>
          <w:kern w:val="0"/>
          <w:sz w:val="22"/>
          <w:szCs w:val="22"/>
          <w:lang w:val="en-US" w:eastAsia="zh-CN" w:bidi="ar"/>
        </w:rPr>
        <w:t xml:space="preserve">Table </w:t>
      </w:r>
      <w:r>
        <w:rPr>
          <w:rFonts w:hint="eastAsia" w:ascii="Arial" w:hAnsi="Arial" w:eastAsia="宋体" w:cs="Arial"/>
          <w:b/>
          <w:bCs w:val="0"/>
          <w:color w:val="000000"/>
          <w:kern w:val="0"/>
          <w:sz w:val="22"/>
          <w:szCs w:val="22"/>
          <w:lang w:val="en-US" w:eastAsia="zh-CN" w:bidi="ar"/>
        </w:rPr>
        <w:t>S3</w:t>
      </w:r>
      <w:r>
        <w:rPr>
          <w:rFonts w:hint="default" w:ascii="Arial" w:hAnsi="Arial" w:eastAsia="宋体" w:cs="Arial"/>
          <w:b/>
          <w:bCs w:val="0"/>
          <w:color w:val="000000"/>
          <w:kern w:val="0"/>
          <w:sz w:val="22"/>
          <w:szCs w:val="22"/>
          <w:lang w:val="en-US" w:eastAsia="zh-CN" w:bidi="ar"/>
        </w:rPr>
        <w:t xml:space="preserve">. </w:t>
      </w:r>
      <w:r>
        <w:rPr>
          <w:rFonts w:hint="default" w:ascii="Arial" w:hAnsi="Arial" w:eastAsia="宋体" w:cs="Arial"/>
          <w:b w:val="0"/>
          <w:bCs/>
          <w:color w:val="000000"/>
          <w:kern w:val="0"/>
          <w:sz w:val="22"/>
          <w:szCs w:val="22"/>
          <w:lang w:val="en-US" w:eastAsia="zh-CN" w:bidi="ar"/>
        </w:rPr>
        <w:t>Distribution of specific morphological features in benign and malignant nodules</w:t>
      </w:r>
    </w:p>
    <w:tbl>
      <w:tblPr>
        <w:tblStyle w:val="5"/>
        <w:tblW w:w="4889" w:type="pct"/>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50"/>
        <w:gridCol w:w="2167"/>
        <w:gridCol w:w="2083"/>
        <w:gridCol w:w="1300"/>
        <w:gridCol w:w="13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462" w:type="pct"/>
            <w:tcBorders>
              <w:top w:val="single" w:color="auto" w:sz="4" w:space="0"/>
              <w:left w:val="nil"/>
              <w:bottom w:val="single" w:color="auto" w:sz="4" w:space="0"/>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Characteristics</w:t>
            </w:r>
          </w:p>
        </w:tc>
        <w:tc>
          <w:tcPr>
            <w:tcW w:w="1112" w:type="pct"/>
            <w:tcBorders>
              <w:top w:val="single" w:color="auto" w:sz="4" w:space="0"/>
              <w:left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Benign</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n=508</w:t>
            </w:r>
            <w:r>
              <w:rPr>
                <w:rFonts w:hint="eastAsia" w:ascii="Arial" w:hAnsi="Arial" w:eastAsia="宋体" w:cs="Arial"/>
                <w:kern w:val="2"/>
                <w:sz w:val="22"/>
                <w:szCs w:val="22"/>
                <w:lang w:val="en-US" w:eastAsia="zh-CN" w:bidi="ar"/>
              </w:rPr>
              <w:t>)</w:t>
            </w:r>
          </w:p>
        </w:tc>
        <w:tc>
          <w:tcPr>
            <w:tcW w:w="1069" w:type="pct"/>
            <w:tcBorders>
              <w:top w:val="single" w:color="auto" w:sz="4" w:space="0"/>
              <w:left w:val="nil"/>
              <w:bottom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Malignant（n=317</w:t>
            </w:r>
            <w:r>
              <w:rPr>
                <w:rFonts w:hint="eastAsia" w:ascii="Arial" w:hAnsi="Arial" w:eastAsia="宋体" w:cs="Arial"/>
                <w:kern w:val="2"/>
                <w:sz w:val="22"/>
                <w:szCs w:val="22"/>
                <w:lang w:val="en-US" w:eastAsia="zh-CN" w:bidi="ar"/>
              </w:rPr>
              <w:t>)</w:t>
            </w:r>
          </w:p>
        </w:tc>
        <w:tc>
          <w:tcPr>
            <w:tcW w:w="667" w:type="pct"/>
            <w:tcBorders>
              <w:top w:val="single" w:color="auto" w:sz="4" w:space="0"/>
              <w:left w:val="nil"/>
              <w:bottom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P value</w:t>
            </w:r>
          </w:p>
        </w:tc>
        <w:tc>
          <w:tcPr>
            <w:tcW w:w="688" w:type="pct"/>
            <w:tcBorders>
              <w:top w:val="single" w:color="auto" w:sz="4" w:space="0"/>
              <w:left w:val="nil"/>
              <w:bottom w:val="nil"/>
              <w:right w:val="nil"/>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Kappa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 w:hRule="atLeast"/>
        </w:trPr>
        <w:tc>
          <w:tcPr>
            <w:tcW w:w="1462" w:type="pct"/>
            <w:tcBorders>
              <w:top w:val="single" w:color="auto" w:sz="4" w:space="0"/>
              <w:left w:val="nil"/>
              <w:bottom w:val="nil"/>
              <w:right w:val="nil"/>
            </w:tcBorders>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eastAsia="zh-CN"/>
              </w:rPr>
            </w:pPr>
            <w:r>
              <w:rPr>
                <w:rFonts w:hint="default" w:ascii="Arial" w:hAnsi="Arial" w:eastAsia="宋体" w:cs="Arial"/>
                <w:sz w:val="22"/>
                <w:szCs w:val="22"/>
                <w:lang w:val="en-US" w:eastAsia="zh-CN"/>
              </w:rPr>
              <w:t>No enhancement</w:t>
            </w:r>
          </w:p>
        </w:tc>
        <w:tc>
          <w:tcPr>
            <w:tcW w:w="1112" w:type="pct"/>
            <w:tcBorders>
              <w:top w:val="single" w:color="auto" w:sz="4" w:space="0"/>
              <w:left w:val="nil"/>
              <w:bottom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1069" w:type="pct"/>
            <w:tcBorders>
              <w:top w:val="single" w:color="auto" w:sz="4" w:space="0"/>
              <w:left w:val="nil"/>
              <w:bottom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67" w:type="pct"/>
            <w:tcBorders>
              <w:top w:val="single" w:color="auto" w:sz="4" w:space="0"/>
              <w:left w:val="nil"/>
              <w:bottom w:val="nil"/>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&lt;0.001*</w:t>
            </w:r>
          </w:p>
        </w:tc>
        <w:tc>
          <w:tcPr>
            <w:tcW w:w="688" w:type="pct"/>
            <w:tcBorders>
              <w:top w:val="single" w:color="auto" w:sz="4" w:space="0"/>
              <w:left w:val="nil"/>
              <w:bottom w:val="nil"/>
              <w:right w:val="nil"/>
            </w:tcBorders>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 xml:space="preserve">   Present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123</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24.2</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0.0</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 xml:space="preserve">   Absent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385</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75.8）</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317（100.0</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eastAsia="zh-CN"/>
              </w:rPr>
            </w:pPr>
            <w:r>
              <w:rPr>
                <w:rFonts w:hint="default" w:ascii="Arial" w:hAnsi="Arial" w:eastAsia="宋体" w:cs="Arial"/>
                <w:sz w:val="22"/>
                <w:szCs w:val="22"/>
                <w:lang w:val="en-US" w:eastAsia="zh-CN"/>
              </w:rPr>
              <w:t>Light pearl sign</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&lt;0.001*</w:t>
            </w: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0.987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 xml:space="preserve">    Present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47</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9.3</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0.0</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 xml:space="preserve">    Absent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461</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90.7</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317</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100.0</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462" w:type="pct"/>
            <w:shd w:val="clear" w:color="auto" w:fill="auto"/>
            <w:noWrap/>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sz w:val="22"/>
                <w:szCs w:val="22"/>
                <w:lang w:val="en-US" w:eastAsia="zh-CN"/>
              </w:rPr>
            </w:pPr>
            <w:r>
              <w:rPr>
                <w:rFonts w:hint="default" w:ascii="Arial" w:hAnsi="Arial" w:eastAsia="宋体" w:cs="Arial"/>
                <w:color w:val="000000"/>
                <w:sz w:val="22"/>
                <w:szCs w:val="22"/>
                <w:lang w:val="en-US" w:eastAsia="zh-CN"/>
              </w:rPr>
              <w:t>Black-white flower sign</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&lt;0.001*</w:t>
            </w: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0.899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462" w:type="pct"/>
            <w:shd w:val="clear" w:color="auto" w:fill="auto"/>
            <w:noWrap/>
            <w:vAlign w:val="center"/>
          </w:tcPr>
          <w:p>
            <w:pPr>
              <w:keepNext w:val="0"/>
              <w:keepLines w:val="0"/>
              <w:widowControl/>
              <w:suppressLineNumbers w:val="0"/>
              <w:spacing w:before="0" w:beforeAutospacing="0" w:after="0" w:afterAutospacing="0" w:line="400" w:lineRule="exact"/>
              <w:ind w:left="0" w:right="0" w:firstLine="440" w:firstLineChars="200"/>
              <w:jc w:val="both"/>
              <w:textAlignment w:val="center"/>
              <w:rPr>
                <w:rFonts w:hint="default" w:ascii="Arial" w:hAnsi="Arial" w:eastAsia="宋体" w:cs="Arial"/>
                <w:color w:val="000000"/>
                <w:sz w:val="22"/>
                <w:szCs w:val="22"/>
                <w:lang w:val="en-US" w:eastAsia="zh-CN"/>
              </w:rPr>
            </w:pPr>
            <w:r>
              <w:rPr>
                <w:rFonts w:hint="default" w:ascii="Arial" w:hAnsi="Arial" w:eastAsia="宋体" w:cs="Arial"/>
                <w:color w:val="000000"/>
                <w:sz w:val="22"/>
                <w:szCs w:val="22"/>
                <w:lang w:val="en-US" w:eastAsia="zh-CN"/>
              </w:rPr>
              <w:t>Present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0.0</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48</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15.1</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center"/>
          </w:tcPr>
          <w:p>
            <w:pPr>
              <w:keepNext w:val="0"/>
              <w:keepLines w:val="0"/>
              <w:widowControl/>
              <w:suppressLineNumbers w:val="0"/>
              <w:spacing w:before="0" w:beforeAutospacing="0" w:after="0" w:afterAutospacing="0" w:line="400" w:lineRule="exact"/>
              <w:ind w:left="0" w:right="0" w:firstLine="440" w:firstLineChars="200"/>
              <w:jc w:val="both"/>
              <w:textAlignment w:val="center"/>
              <w:rPr>
                <w:rFonts w:hint="default" w:ascii="Arial" w:hAnsi="Arial" w:eastAsia="宋体" w:cs="Arial"/>
                <w:color w:val="000000"/>
                <w:sz w:val="22"/>
                <w:szCs w:val="22"/>
                <w:lang w:val="en-US" w:eastAsia="zh-CN"/>
              </w:rPr>
            </w:pPr>
            <w:r>
              <w:rPr>
                <w:rFonts w:hint="default" w:ascii="Arial" w:hAnsi="Arial" w:eastAsia="宋体" w:cs="Arial"/>
                <w:color w:val="000000"/>
                <w:sz w:val="22"/>
                <w:szCs w:val="22"/>
                <w:lang w:val="en-US" w:eastAsia="zh-CN"/>
              </w:rPr>
              <w:t>Absent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508</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100</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269</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84.9</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shd w:val="clear" w:color="auto" w:fill="auto"/>
            <w:noWrap/>
            <w:vAlign w:val="center"/>
          </w:tcPr>
          <w:p>
            <w:pPr>
              <w:keepNext w:val="0"/>
              <w:keepLines w:val="0"/>
              <w:widowControl/>
              <w:suppressLineNumbers w:val="0"/>
              <w:spacing w:before="0" w:beforeAutospacing="0" w:after="0" w:afterAutospacing="0" w:line="400" w:lineRule="exact"/>
              <w:ind w:left="0" w:right="0"/>
              <w:jc w:val="both"/>
              <w:textAlignment w:val="center"/>
              <w:rPr>
                <w:rFonts w:hint="default" w:ascii="Arial" w:hAnsi="Arial" w:eastAsia="宋体" w:cs="Arial"/>
                <w:color w:val="000000"/>
                <w:kern w:val="0"/>
                <w:sz w:val="22"/>
                <w:szCs w:val="22"/>
                <w:lang w:val="en-US" w:eastAsia="zh-CN"/>
              </w:rPr>
            </w:pPr>
            <w:r>
              <w:rPr>
                <w:rFonts w:hint="default" w:ascii="Arial" w:hAnsi="Arial" w:eastAsia="宋体" w:cs="Arial"/>
                <w:color w:val="000000"/>
                <w:kern w:val="0"/>
                <w:sz w:val="22"/>
                <w:szCs w:val="22"/>
                <w:lang w:val="en-US" w:eastAsia="zh-CN"/>
              </w:rPr>
              <w:t>Gap-filling enhancement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&lt;0.001*</w:t>
            </w: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62" w:type="pct"/>
            <w:shd w:val="clear" w:color="auto" w:fill="auto"/>
            <w:noWrap/>
            <w:vAlign w:val="top"/>
          </w:tcPr>
          <w:p>
            <w:pPr>
              <w:keepNext w:val="0"/>
              <w:keepLines w:val="0"/>
              <w:widowControl w:val="0"/>
              <w:suppressLineNumbers w:val="0"/>
              <w:spacing w:before="0" w:beforeAutospacing="0" w:after="0" w:afterAutospacing="0" w:line="400" w:lineRule="exact"/>
              <w:ind w:left="0" w:leftChars="0" w:right="0" w:rightChars="0"/>
              <w:jc w:val="both"/>
              <w:rPr>
                <w:rFonts w:hint="default" w:ascii="Arial" w:hAnsi="Arial" w:eastAsia="宋体" w:cs="Arial"/>
                <w:color w:val="000000"/>
                <w:kern w:val="0"/>
                <w:sz w:val="22"/>
                <w:szCs w:val="22"/>
                <w:lang w:val="en-US"/>
              </w:rPr>
            </w:pPr>
            <w:r>
              <w:rPr>
                <w:rFonts w:hint="default" w:ascii="Arial" w:hAnsi="Arial" w:eastAsia="宋体" w:cs="Arial"/>
                <w:kern w:val="2"/>
                <w:sz w:val="22"/>
                <w:szCs w:val="22"/>
                <w:lang w:val="en-US" w:eastAsia="zh-CN" w:bidi="ar"/>
              </w:rPr>
              <w:t xml:space="preserve">    Present</w:t>
            </w:r>
          </w:p>
        </w:tc>
        <w:tc>
          <w:tcPr>
            <w:tcW w:w="1112"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0</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0.0</w:t>
            </w:r>
            <w:r>
              <w:rPr>
                <w:rFonts w:hint="eastAsia" w:ascii="Arial" w:hAnsi="Arial" w:eastAsia="宋体" w:cs="Arial"/>
                <w:kern w:val="2"/>
                <w:sz w:val="22"/>
                <w:szCs w:val="22"/>
                <w:lang w:val="en-US" w:eastAsia="zh-CN" w:bidi="ar"/>
              </w:rPr>
              <w:t>)</w:t>
            </w:r>
          </w:p>
        </w:tc>
        <w:tc>
          <w:tcPr>
            <w:tcW w:w="1069"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38</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12.0</w:t>
            </w:r>
            <w:r>
              <w:rPr>
                <w:rFonts w:hint="eastAsia" w:ascii="Arial" w:hAnsi="Arial" w:eastAsia="宋体" w:cs="Arial"/>
                <w:kern w:val="2"/>
                <w:sz w:val="22"/>
                <w:szCs w:val="22"/>
                <w:lang w:val="en-US" w:eastAsia="zh-CN" w:bidi="ar"/>
              </w:rPr>
              <w:t>)</w:t>
            </w:r>
          </w:p>
        </w:tc>
        <w:tc>
          <w:tcPr>
            <w:tcW w:w="667" w:type="pct"/>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62" w:type="pct"/>
            <w:tcBorders>
              <w:top w:val="nil"/>
              <w:left w:val="nil"/>
              <w:bottom w:val="single" w:color="auto" w:sz="4" w:space="0"/>
              <w:right w:val="nil"/>
            </w:tcBorders>
            <w:shd w:val="clear" w:color="auto" w:fill="auto"/>
            <w:noWrap/>
            <w:vAlign w:val="top"/>
          </w:tcPr>
          <w:p>
            <w:pPr>
              <w:keepNext w:val="0"/>
              <w:keepLines w:val="0"/>
              <w:widowControl w:val="0"/>
              <w:suppressLineNumbers w:val="0"/>
              <w:spacing w:before="0" w:beforeAutospacing="0" w:after="0" w:afterAutospacing="0" w:line="400" w:lineRule="exact"/>
              <w:ind w:left="0" w:leftChars="0" w:right="0" w:rightChars="0"/>
              <w:jc w:val="both"/>
              <w:rPr>
                <w:rFonts w:hint="default" w:ascii="Arial" w:hAnsi="Arial" w:eastAsia="宋体" w:cs="Arial"/>
                <w:color w:val="000000"/>
                <w:kern w:val="0"/>
                <w:sz w:val="22"/>
                <w:szCs w:val="22"/>
                <w:lang w:val="en-US"/>
              </w:rPr>
            </w:pPr>
            <w:r>
              <w:rPr>
                <w:rFonts w:hint="default" w:ascii="Arial" w:hAnsi="Arial" w:eastAsia="宋体" w:cs="Arial"/>
                <w:kern w:val="2"/>
                <w:sz w:val="22"/>
                <w:szCs w:val="22"/>
                <w:lang w:val="en-US" w:eastAsia="zh-CN" w:bidi="ar"/>
              </w:rPr>
              <w:t xml:space="preserve">    Absent</w:t>
            </w:r>
          </w:p>
        </w:tc>
        <w:tc>
          <w:tcPr>
            <w:tcW w:w="1112" w:type="pct"/>
            <w:tcBorders>
              <w:top w:val="nil"/>
              <w:left w:val="nil"/>
              <w:bottom w:val="single" w:color="auto" w:sz="4" w:space="0"/>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508</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100.0</w:t>
            </w:r>
            <w:r>
              <w:rPr>
                <w:rFonts w:hint="eastAsia" w:ascii="Arial" w:hAnsi="Arial" w:eastAsia="宋体" w:cs="Arial"/>
                <w:kern w:val="2"/>
                <w:sz w:val="22"/>
                <w:szCs w:val="22"/>
                <w:lang w:val="en-US" w:eastAsia="zh-CN" w:bidi="ar"/>
              </w:rPr>
              <w:t>)</w:t>
            </w:r>
          </w:p>
        </w:tc>
        <w:tc>
          <w:tcPr>
            <w:tcW w:w="1069" w:type="pct"/>
            <w:tcBorders>
              <w:top w:val="nil"/>
              <w:left w:val="nil"/>
              <w:bottom w:val="single" w:color="auto" w:sz="4" w:space="0"/>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r>
              <w:rPr>
                <w:rFonts w:hint="default" w:ascii="Arial" w:hAnsi="Arial" w:eastAsia="宋体" w:cs="Arial"/>
                <w:kern w:val="2"/>
                <w:sz w:val="22"/>
                <w:szCs w:val="22"/>
                <w:lang w:val="en-US" w:eastAsia="zh-CN" w:bidi="ar"/>
              </w:rPr>
              <w:t>279</w:t>
            </w:r>
            <w:r>
              <w:rPr>
                <w:rFonts w:hint="eastAsia" w:ascii="Arial" w:hAnsi="Arial" w:eastAsia="宋体" w:cs="Arial"/>
                <w:kern w:val="2"/>
                <w:sz w:val="22"/>
                <w:szCs w:val="22"/>
                <w:lang w:val="en-US" w:eastAsia="zh-CN" w:bidi="ar"/>
              </w:rPr>
              <w:t xml:space="preserve"> (</w:t>
            </w:r>
            <w:r>
              <w:rPr>
                <w:rFonts w:hint="default" w:ascii="Arial" w:hAnsi="Arial" w:eastAsia="宋体" w:cs="Arial"/>
                <w:kern w:val="2"/>
                <w:sz w:val="22"/>
                <w:szCs w:val="22"/>
                <w:lang w:val="en-US" w:eastAsia="zh-CN" w:bidi="ar"/>
              </w:rPr>
              <w:t>88.0</w:t>
            </w:r>
            <w:r>
              <w:rPr>
                <w:rFonts w:hint="eastAsia" w:ascii="Arial" w:hAnsi="Arial" w:eastAsia="宋体" w:cs="Arial"/>
                <w:kern w:val="2"/>
                <w:sz w:val="22"/>
                <w:szCs w:val="22"/>
                <w:lang w:val="en-US" w:eastAsia="zh-CN" w:bidi="ar"/>
              </w:rPr>
              <w:t>)</w:t>
            </w:r>
          </w:p>
        </w:tc>
        <w:tc>
          <w:tcPr>
            <w:tcW w:w="667" w:type="pct"/>
            <w:tcBorders>
              <w:top w:val="nil"/>
              <w:left w:val="nil"/>
              <w:bottom w:val="single" w:color="auto" w:sz="4" w:space="0"/>
              <w:right w:val="nil"/>
            </w:tcBorders>
            <w:shd w:val="clear" w:color="auto" w:fill="auto"/>
            <w:noWrap/>
            <w:vAlign w:val="center"/>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c>
          <w:tcPr>
            <w:tcW w:w="688" w:type="pct"/>
            <w:tcBorders>
              <w:top w:val="nil"/>
              <w:left w:val="nil"/>
              <w:bottom w:val="single" w:color="auto" w:sz="4" w:space="0"/>
              <w:right w:val="nil"/>
            </w:tcBorders>
            <w:shd w:val="clear" w:color="auto" w:fill="auto"/>
            <w:vAlign w:val="top"/>
          </w:tcPr>
          <w:p>
            <w:pPr>
              <w:keepNext w:val="0"/>
              <w:keepLines w:val="0"/>
              <w:widowControl w:val="0"/>
              <w:suppressLineNumbers w:val="0"/>
              <w:spacing w:before="0" w:beforeAutospacing="0" w:after="0" w:afterAutospacing="0" w:line="400" w:lineRule="exact"/>
              <w:ind w:left="0" w:right="0"/>
              <w:jc w:val="center"/>
              <w:rPr>
                <w:rFonts w:hint="default" w:ascii="Arial" w:hAnsi="Arial" w:eastAsia="宋体" w:cs="Arial"/>
                <w:sz w:val="22"/>
                <w:szCs w:val="22"/>
                <w:lang w:val="en-US"/>
              </w:rPr>
            </w:pPr>
          </w:p>
        </w:tc>
      </w:tr>
    </w:tbl>
    <w:p>
      <w:pPr>
        <w:rPr>
          <w:rFonts w:hint="default"/>
          <w:sz w:val="21"/>
          <w:szCs w:val="21"/>
          <w:lang w:val="en-US"/>
        </w:rPr>
      </w:pPr>
      <w:r>
        <w:rPr>
          <w:rFonts w:hint="default" w:ascii="Arial" w:hAnsi="Arial" w:eastAsia="宋体" w:cs="Arial"/>
          <w:kern w:val="2"/>
          <w:sz w:val="21"/>
          <w:szCs w:val="21"/>
          <w:lang w:val="en-US" w:eastAsia="zh-CN" w:bidi="ar"/>
        </w:rPr>
        <w:t xml:space="preserve">Data are expressed as the number of nodules, with percentages in parentheses. </w:t>
      </w:r>
      <w:r>
        <w:rPr>
          <w:rFonts w:hint="eastAsia" w:ascii="Arial" w:hAnsi="Arial" w:eastAsia="宋体" w:cs="Arial"/>
          <w:kern w:val="2"/>
          <w:sz w:val="21"/>
          <w:szCs w:val="21"/>
          <w:lang w:val="en-US" w:eastAsia="zh-CN" w:bidi="ar"/>
        </w:rPr>
        <w:t>*, P&lt;0.05.</w:t>
      </w:r>
    </w:p>
    <w:p>
      <w:pPr>
        <w:pStyle w:val="10"/>
        <w:spacing w:line="360" w:lineRule="auto"/>
        <w:ind w:left="420" w:firstLine="0" w:firstLineChars="0"/>
        <w:jc w:val="center"/>
        <w:rPr>
          <w:rFonts w:ascii="Times New Roman" w:hAnsi="Times New Roman" w:cs="Times New Roman"/>
          <w:sz w:val="18"/>
          <w:szCs w:val="18"/>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pStyle w:val="10"/>
        <w:spacing w:line="360" w:lineRule="auto"/>
        <w:ind w:left="420" w:firstLine="0" w:firstLineChars="0"/>
        <w:jc w:val="center"/>
        <w:rPr>
          <w:rFonts w:ascii="Times New Roman" w:hAnsi="Times New Roman" w:cs="Times New Roman"/>
          <w:sz w:val="20"/>
          <w:szCs w:val="20"/>
        </w:rPr>
      </w:pPr>
    </w:p>
    <w:p>
      <w:pPr>
        <w:keepNext w:val="0"/>
        <w:keepLines w:val="0"/>
        <w:widowControl/>
        <w:suppressLineNumbers w:val="0"/>
        <w:spacing w:before="0" w:beforeAutospacing="0" w:after="0" w:afterAutospacing="0" w:line="400" w:lineRule="exact"/>
        <w:ind w:left="0" w:right="0"/>
        <w:jc w:val="left"/>
        <w:rPr>
          <w:rFonts w:hint="default" w:ascii="Arial" w:hAnsi="Arial" w:eastAsia="宋体" w:cs="Arial"/>
          <w:b/>
          <w:bCs w:val="0"/>
          <w:color w:val="000000"/>
          <w:kern w:val="0"/>
          <w:sz w:val="22"/>
          <w:szCs w:val="22"/>
          <w:lang w:val="en-US"/>
        </w:rPr>
      </w:pPr>
      <w:bookmarkStart w:id="45" w:name="_Hlk126429557"/>
      <w:r>
        <w:rPr>
          <w:rFonts w:hint="default" w:ascii="Arial" w:hAnsi="Arial" w:eastAsia="宋体" w:cs="Arial"/>
          <w:b/>
          <w:bCs w:val="0"/>
          <w:color w:val="000000"/>
          <w:kern w:val="0"/>
          <w:sz w:val="22"/>
          <w:szCs w:val="22"/>
          <w:lang w:val="en-US" w:eastAsia="zh-CN" w:bidi="ar"/>
        </w:rPr>
        <w:t xml:space="preserve">Table </w:t>
      </w:r>
      <w:r>
        <w:rPr>
          <w:rFonts w:hint="eastAsia" w:ascii="Arial" w:hAnsi="Arial" w:eastAsia="宋体" w:cs="Arial"/>
          <w:b/>
          <w:bCs w:val="0"/>
          <w:color w:val="000000"/>
          <w:kern w:val="0"/>
          <w:sz w:val="22"/>
          <w:szCs w:val="22"/>
          <w:lang w:val="en-US" w:eastAsia="zh-CN" w:bidi="ar"/>
        </w:rPr>
        <w:t>S4</w:t>
      </w:r>
      <w:r>
        <w:rPr>
          <w:rFonts w:hint="default" w:ascii="Arial" w:hAnsi="Arial" w:eastAsia="宋体" w:cs="Arial"/>
          <w:b/>
          <w:bCs w:val="0"/>
          <w:color w:val="000000"/>
          <w:kern w:val="0"/>
          <w:sz w:val="22"/>
          <w:szCs w:val="22"/>
          <w:lang w:val="en-US" w:eastAsia="zh-CN" w:bidi="ar"/>
        </w:rPr>
        <w:t xml:space="preserve">. </w:t>
      </w:r>
      <w:r>
        <w:rPr>
          <w:rFonts w:hint="default" w:ascii="Arial" w:hAnsi="Arial" w:eastAsia="宋体" w:cs="Arial"/>
          <w:b w:val="0"/>
          <w:bCs/>
          <w:color w:val="000000"/>
          <w:kern w:val="0"/>
          <w:sz w:val="22"/>
          <w:szCs w:val="22"/>
          <w:lang w:val="en-US" w:eastAsia="zh-CN" w:bidi="ar"/>
        </w:rPr>
        <w:t xml:space="preserve">TI-RADS </w:t>
      </w:r>
      <w:r>
        <w:rPr>
          <w:rFonts w:hint="eastAsia" w:ascii="Arial" w:hAnsi="Arial" w:eastAsia="宋体" w:cs="Arial"/>
          <w:b w:val="0"/>
          <w:bCs/>
          <w:color w:val="000000"/>
          <w:kern w:val="0"/>
          <w:sz w:val="22"/>
          <w:szCs w:val="22"/>
          <w:lang w:val="en-US" w:eastAsia="zh-CN" w:bidi="ar"/>
        </w:rPr>
        <w:t>c</w:t>
      </w:r>
      <w:r>
        <w:rPr>
          <w:rFonts w:hint="default" w:ascii="Arial" w:hAnsi="Arial" w:eastAsia="宋体" w:cs="Arial"/>
          <w:b w:val="0"/>
          <w:bCs/>
          <w:color w:val="000000"/>
          <w:kern w:val="0"/>
          <w:sz w:val="22"/>
          <w:szCs w:val="22"/>
          <w:lang w:val="en-US" w:eastAsia="zh-CN" w:bidi="ar"/>
        </w:rPr>
        <w:t>lassification results for</w:t>
      </w:r>
      <w:r>
        <w:rPr>
          <w:rFonts w:hint="eastAsia" w:ascii="Arial" w:hAnsi="Arial" w:eastAsia="宋体" w:cs="Arial"/>
          <w:b w:val="0"/>
          <w:bCs/>
          <w:color w:val="000000"/>
          <w:kern w:val="0"/>
          <w:sz w:val="22"/>
          <w:szCs w:val="22"/>
          <w:lang w:val="en-US" w:eastAsia="zh-CN" w:bidi="ar"/>
        </w:rPr>
        <w:t xml:space="preserve"> 729</w:t>
      </w:r>
      <w:r>
        <w:rPr>
          <w:rFonts w:hint="default" w:ascii="Arial" w:hAnsi="Arial" w:eastAsia="宋体" w:cs="Arial"/>
          <w:b w:val="0"/>
          <w:bCs/>
          <w:color w:val="000000"/>
          <w:kern w:val="0"/>
          <w:sz w:val="22"/>
          <w:szCs w:val="22"/>
          <w:lang w:val="en-US" w:eastAsia="zh-CN" w:bidi="ar"/>
        </w:rPr>
        <w:t xml:space="preserve"> thyroid nodules</w:t>
      </w:r>
    </w:p>
    <w:tbl>
      <w:tblPr>
        <w:tblStyle w:val="5"/>
        <w:tblW w:w="48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73"/>
        <w:gridCol w:w="1517"/>
        <w:gridCol w:w="1314"/>
        <w:gridCol w:w="1314"/>
        <w:gridCol w:w="1314"/>
        <w:gridCol w:w="1591"/>
        <w:gridCol w:w="1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eastAsia="zh-CN"/>
              </w:rPr>
            </w:pPr>
            <w:r>
              <w:rPr>
                <w:rFonts w:hint="default" w:ascii="Arial" w:hAnsi="Arial" w:eastAsia="宋体" w:cs="Arial"/>
                <w:color w:val="252525"/>
                <w:sz w:val="22"/>
                <w:szCs w:val="22"/>
                <w:lang w:val="en-US" w:eastAsia="zh-CN"/>
              </w:rPr>
              <w:t>TI-RADS</w:t>
            </w:r>
          </w:p>
        </w:tc>
        <w:tc>
          <w:tcPr>
            <w:tcW w:w="777"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eastAsia="zh-CN"/>
              </w:rPr>
            </w:pPr>
            <w:r>
              <w:rPr>
                <w:rFonts w:hint="default" w:ascii="Arial" w:hAnsi="Arial" w:eastAsia="宋体" w:cs="Arial"/>
                <w:color w:val="252525"/>
                <w:sz w:val="22"/>
                <w:szCs w:val="22"/>
                <w:lang w:val="en-US" w:eastAsia="zh-CN"/>
              </w:rPr>
              <w:t>Class</w:t>
            </w:r>
          </w:p>
        </w:tc>
        <w:tc>
          <w:tcPr>
            <w:tcW w:w="673"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color w:val="252525"/>
                <w:sz w:val="22"/>
                <w:szCs w:val="22"/>
                <w:lang w:val="en-US" w:eastAsia="zh-CN"/>
              </w:rPr>
            </w:pPr>
            <w:r>
              <w:rPr>
                <w:rFonts w:hint="default" w:ascii="Arial" w:hAnsi="Arial" w:eastAsia="宋体" w:cs="Arial"/>
                <w:color w:val="252525"/>
                <w:sz w:val="22"/>
                <w:szCs w:val="22"/>
                <w:lang w:val="en-US" w:eastAsia="zh-CN"/>
              </w:rPr>
              <w:t>Benign</w:t>
            </w:r>
            <w:r>
              <w:rPr>
                <w:rFonts w:hint="eastAsia" w:ascii="Arial" w:hAnsi="Arial" w:eastAsia="宋体" w:cs="Arial"/>
                <w:color w:val="252525"/>
                <w:sz w:val="22"/>
                <w:szCs w:val="22"/>
                <w:lang w:val="en-US" w:eastAsia="zh-CN"/>
              </w:rPr>
              <w:t xml:space="preserve"> (</w:t>
            </w:r>
            <w:r>
              <w:rPr>
                <w:rFonts w:hint="default" w:ascii="Arial" w:hAnsi="Arial" w:eastAsia="宋体" w:cs="Arial"/>
                <w:color w:val="252525"/>
                <w:sz w:val="22"/>
                <w:szCs w:val="22"/>
                <w:lang w:val="en-US"/>
              </w:rPr>
              <w:t>n=452</w:t>
            </w:r>
            <w:r>
              <w:rPr>
                <w:rFonts w:hint="eastAsia" w:ascii="Arial" w:hAnsi="Arial" w:eastAsia="宋体" w:cs="Arial"/>
                <w:color w:val="252525"/>
                <w:sz w:val="22"/>
                <w:szCs w:val="22"/>
                <w:lang w:val="en-US" w:eastAsia="zh-CN"/>
              </w:rPr>
              <w:t>)</w:t>
            </w:r>
          </w:p>
        </w:tc>
        <w:tc>
          <w:tcPr>
            <w:tcW w:w="673"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color w:val="252525"/>
                <w:sz w:val="22"/>
                <w:szCs w:val="22"/>
                <w:lang w:val="en-US" w:eastAsia="zh-CN"/>
              </w:rPr>
            </w:pPr>
            <w:r>
              <w:rPr>
                <w:rFonts w:hint="default" w:ascii="Arial" w:hAnsi="Arial" w:eastAsia="宋体" w:cs="Arial"/>
                <w:color w:val="252525"/>
                <w:sz w:val="22"/>
                <w:szCs w:val="22"/>
                <w:lang w:val="en-US" w:eastAsia="zh-CN"/>
              </w:rPr>
              <w:t>Malignant</w:t>
            </w:r>
            <w:r>
              <w:rPr>
                <w:rFonts w:hint="eastAsia" w:ascii="Arial" w:hAnsi="Arial" w:eastAsia="宋体" w:cs="Arial"/>
                <w:color w:val="252525"/>
                <w:sz w:val="22"/>
                <w:szCs w:val="22"/>
                <w:lang w:val="en-US" w:eastAsia="zh-CN"/>
              </w:rPr>
              <w:t xml:space="preserve"> (</w:t>
            </w:r>
            <w:r>
              <w:rPr>
                <w:rFonts w:hint="default" w:ascii="Arial" w:hAnsi="Arial" w:eastAsia="宋体" w:cs="Arial"/>
                <w:color w:val="252525"/>
                <w:sz w:val="22"/>
                <w:szCs w:val="22"/>
                <w:lang w:val="en-US"/>
              </w:rPr>
              <w:t>n=277</w:t>
            </w:r>
            <w:r>
              <w:rPr>
                <w:rFonts w:hint="eastAsia" w:ascii="Arial" w:hAnsi="Arial" w:eastAsia="宋体" w:cs="Arial"/>
                <w:color w:val="252525"/>
                <w:sz w:val="22"/>
                <w:szCs w:val="22"/>
                <w:lang w:val="en-US" w:eastAsia="zh-CN"/>
              </w:rPr>
              <w:t>)</w:t>
            </w:r>
          </w:p>
        </w:tc>
        <w:tc>
          <w:tcPr>
            <w:tcW w:w="673"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000000"/>
                <w:sz w:val="22"/>
                <w:szCs w:val="22"/>
                <w:lang w:val="en-US" w:eastAsia="zh-CN"/>
              </w:rPr>
            </w:pPr>
            <w:r>
              <w:rPr>
                <w:rFonts w:hint="default" w:ascii="Arial" w:hAnsi="Arial" w:eastAsia="宋体" w:cs="Arial"/>
                <w:color w:val="000000"/>
                <w:sz w:val="22"/>
                <w:szCs w:val="22"/>
                <w:lang w:val="en-US" w:eastAsia="zh-CN"/>
              </w:rPr>
              <w:t>Total</w:t>
            </w:r>
          </w:p>
        </w:tc>
        <w:tc>
          <w:tcPr>
            <w:tcW w:w="815"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color w:val="000000"/>
                <w:sz w:val="22"/>
                <w:szCs w:val="22"/>
                <w:lang w:val="en-US" w:eastAsia="zh-CN"/>
              </w:rPr>
            </w:pPr>
            <w:r>
              <w:rPr>
                <w:rFonts w:hint="default" w:ascii="Arial" w:hAnsi="Arial" w:eastAsia="宋体" w:cs="Arial"/>
                <w:color w:val="000000"/>
                <w:sz w:val="22"/>
                <w:szCs w:val="22"/>
                <w:lang w:val="en-US" w:eastAsia="zh-CN"/>
              </w:rPr>
              <w:t>Rate of malignant</w:t>
            </w:r>
            <w:r>
              <w:rPr>
                <w:rFonts w:hint="eastAsia" w:ascii="Arial" w:hAnsi="Arial" w:eastAsia="宋体" w:cs="Arial"/>
                <w:color w:val="000000"/>
                <w:sz w:val="22"/>
                <w:szCs w:val="22"/>
                <w:lang w:val="en-US" w:eastAsia="zh-CN"/>
              </w:rPr>
              <w:t xml:space="preserve"> (</w:t>
            </w:r>
            <w:r>
              <w:rPr>
                <w:rFonts w:hint="default" w:ascii="Arial" w:hAnsi="Arial" w:eastAsia="宋体" w:cs="Arial"/>
                <w:color w:val="000000"/>
                <w:sz w:val="22"/>
                <w:szCs w:val="22"/>
                <w:lang w:val="en-US"/>
              </w:rPr>
              <w:t>%</w:t>
            </w:r>
            <w:r>
              <w:rPr>
                <w:rFonts w:hint="eastAsia" w:ascii="Arial" w:hAnsi="Arial" w:eastAsia="宋体" w:cs="Arial"/>
                <w:color w:val="000000"/>
                <w:sz w:val="22"/>
                <w:szCs w:val="22"/>
                <w:lang w:val="en-US" w:eastAsia="zh-CN"/>
              </w:rPr>
              <w:t>)</w:t>
            </w:r>
          </w:p>
        </w:tc>
        <w:tc>
          <w:tcPr>
            <w:tcW w:w="528" w:type="pct"/>
            <w:tcBorders>
              <w:top w:val="single" w:color="auto" w:sz="4" w:space="0"/>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000000"/>
                <w:sz w:val="22"/>
                <w:szCs w:val="22"/>
                <w:lang w:val="en-US" w:eastAsia="zh-CN"/>
              </w:rPr>
            </w:pPr>
            <w:r>
              <w:rPr>
                <w:rFonts w:hint="default" w:ascii="Arial" w:hAnsi="Arial" w:eastAsia="宋体" w:cs="Arial"/>
                <w:color w:val="000000"/>
                <w:sz w:val="22"/>
                <w:szCs w:val="22"/>
                <w:lang w:val="en-US"/>
              </w:rPr>
              <w:t>P</w:t>
            </w:r>
            <w:r>
              <w:rPr>
                <w:rFonts w:hint="default" w:ascii="Arial" w:hAnsi="Arial" w:eastAsia="宋体" w:cs="Arial"/>
                <w:color w:val="000000"/>
                <w:sz w:val="22"/>
                <w:szCs w:val="22"/>
                <w:lang w:val="en-US" w:eastAsia="zh-CN"/>
              </w:rPr>
              <w:t xml:space="preserve"> value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left"/>
              <w:rPr>
                <w:rFonts w:hint="default" w:ascii="Arial" w:hAnsi="Arial" w:eastAsia="等线" w:cs="Arial"/>
                <w:color w:val="000000"/>
                <w:kern w:val="0"/>
                <w:sz w:val="22"/>
                <w:szCs w:val="22"/>
                <w:lang w:val="en-US"/>
              </w:rPr>
            </w:pPr>
            <w:r>
              <w:rPr>
                <w:rFonts w:hint="default" w:ascii="Arial" w:hAnsi="Arial" w:eastAsia="宋体" w:cs="Arial"/>
                <w:color w:val="000000"/>
                <w:kern w:val="0"/>
                <w:sz w:val="22"/>
                <w:szCs w:val="22"/>
                <w:lang w:val="en-US"/>
              </w:rPr>
              <w:t>ACR-TIRADS</w:t>
            </w:r>
          </w:p>
        </w:tc>
        <w:tc>
          <w:tcPr>
            <w:tcW w:w="777"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left"/>
              <w:rPr>
                <w:rFonts w:hint="default" w:ascii="Arial" w:hAnsi="Arial" w:eastAsia="宋体" w:cs="Arial"/>
                <w:color w:val="252525"/>
                <w:sz w:val="22"/>
                <w:szCs w:val="22"/>
                <w:lang w:val="en-US"/>
              </w:rPr>
            </w:pPr>
          </w:p>
        </w:tc>
        <w:tc>
          <w:tcPr>
            <w:tcW w:w="673"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000000"/>
                <w:sz w:val="22"/>
                <w:szCs w:val="22"/>
                <w:lang w:val="en-US"/>
              </w:rPr>
            </w:pPr>
          </w:p>
        </w:tc>
        <w:tc>
          <w:tcPr>
            <w:tcW w:w="673"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i/>
                <w:iCs/>
                <w:color w:val="000000"/>
                <w:sz w:val="22"/>
                <w:szCs w:val="22"/>
                <w:lang w:val="en-US"/>
              </w:rPr>
            </w:pPr>
          </w:p>
        </w:tc>
        <w:tc>
          <w:tcPr>
            <w:tcW w:w="673"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rPr>
                <w:rFonts w:hint="default" w:ascii="Arial" w:hAnsi="Arial" w:eastAsia="宋体" w:cs="Arial"/>
                <w:color w:val="000000"/>
                <w:sz w:val="22"/>
                <w:szCs w:val="22"/>
                <w:lang w:val="en-US"/>
              </w:rPr>
            </w:pPr>
          </w:p>
        </w:tc>
        <w:tc>
          <w:tcPr>
            <w:tcW w:w="815"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rPr>
                <w:rFonts w:hint="default" w:ascii="Arial" w:hAnsi="Arial" w:eastAsia="宋体" w:cs="Arial"/>
                <w:color w:val="000000"/>
                <w:sz w:val="22"/>
                <w:szCs w:val="22"/>
                <w:lang w:val="en-US"/>
              </w:rPr>
            </w:pPr>
          </w:p>
        </w:tc>
        <w:tc>
          <w:tcPr>
            <w:tcW w:w="528" w:type="pct"/>
            <w:tcBorders>
              <w:top w:val="single" w:color="auto" w:sz="4" w:space="0"/>
              <w:left w:val="nil"/>
              <w:bottom w:val="nil"/>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rPr>
                <w:rFonts w:hint="default" w:ascii="Arial" w:hAnsi="Arial" w:eastAsia="宋体" w:cs="Arial"/>
                <w:b/>
                <w:bCs/>
                <w:color w:val="000000"/>
                <w:sz w:val="22"/>
                <w:szCs w:val="22"/>
                <w:lang w:val="en-US"/>
              </w:rPr>
            </w:pPr>
            <w:r>
              <w:rPr>
                <w:rFonts w:hint="default" w:ascii="Arial" w:hAnsi="Arial" w:eastAsia="宋体" w:cs="Arial"/>
                <w:color w:val="000000"/>
                <w:sz w:val="22"/>
                <w:szCs w:val="22"/>
                <w:lang w:val="en-US"/>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sz w:val="22"/>
                <w:szCs w:val="22"/>
                <w:lang w:val="en-US"/>
              </w:rPr>
              <w:t>2</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000000"/>
                <w:sz w:val="22"/>
                <w:szCs w:val="22"/>
                <w:lang w:val="en-US"/>
              </w:rPr>
            </w:pPr>
            <w:r>
              <w:rPr>
                <w:rFonts w:hint="default" w:ascii="Arial" w:hAnsi="Arial" w:eastAsia="宋体" w:cs="Arial"/>
                <w:color w:val="000000"/>
                <w:sz w:val="22"/>
                <w:szCs w:val="22"/>
                <w:lang w:val="en-US"/>
              </w:rPr>
              <w:t>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i/>
                <w:iCs/>
                <w:color w:val="000000"/>
                <w:sz w:val="22"/>
                <w:szCs w:val="22"/>
                <w:lang w:val="en-US" w:eastAsia="zh-CN"/>
              </w:rPr>
            </w:pPr>
            <w:r>
              <w:rPr>
                <w:rFonts w:hint="eastAsia" w:ascii="Arial" w:hAnsi="Arial" w:eastAsia="宋体" w:cs="Arial"/>
                <w:color w:val="000000"/>
                <w:sz w:val="22"/>
                <w:szCs w:val="22"/>
                <w:lang w:val="en-US" w:eastAsia="zh-CN"/>
              </w:rPr>
              <w:t>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rPr>
                <w:rFonts w:hint="eastAsia" w:ascii="Arial" w:hAnsi="Arial" w:eastAsia="宋体" w:cs="Arial"/>
                <w:color w:val="000000"/>
                <w:sz w:val="22"/>
                <w:szCs w:val="22"/>
                <w:lang w:val="en-US" w:eastAsia="zh-CN"/>
              </w:rPr>
            </w:pPr>
            <w:r>
              <w:rPr>
                <w:rFonts w:hint="eastAsia" w:ascii="Arial" w:hAnsi="Arial" w:eastAsia="宋体" w:cs="Arial"/>
                <w:color w:val="000000"/>
                <w:sz w:val="22"/>
                <w:szCs w:val="22"/>
                <w:lang w:val="en-US" w:eastAsia="zh-CN"/>
              </w:rPr>
              <w:t>5</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rPr>
                <w:rFonts w:hint="default" w:ascii="Arial" w:hAnsi="Arial" w:eastAsia="宋体" w:cs="Arial"/>
                <w:color w:val="000000"/>
                <w:sz w:val="22"/>
                <w:szCs w:val="22"/>
                <w:lang w:val="en-US" w:eastAsia="zh-CN"/>
              </w:rPr>
            </w:pPr>
            <w:r>
              <w:rPr>
                <w:rFonts w:hint="eastAsia" w:ascii="Arial" w:hAnsi="Arial" w:eastAsia="宋体" w:cs="Arial"/>
                <w:color w:val="000000"/>
                <w:sz w:val="22"/>
                <w:szCs w:val="22"/>
                <w:lang w:val="en-US" w:eastAsia="zh-CN"/>
              </w:rPr>
              <w:t>0.00</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kern w:val="0"/>
                <w:sz w:val="22"/>
                <w:szCs w:val="22"/>
                <w:lang w:val="en-US"/>
              </w:rPr>
            </w:pPr>
            <w:bookmarkStart w:id="46" w:name="OLE_LINK22"/>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bookmarkEnd w:id="46"/>
            <w:r>
              <w:rPr>
                <w:rFonts w:hint="default" w:ascii="Arial" w:hAnsi="Arial" w:eastAsia="宋体" w:cs="Arial"/>
                <w:color w:val="000000"/>
                <w:kern w:val="0"/>
                <w:sz w:val="22"/>
                <w:szCs w:val="22"/>
                <w:lang w:val="en-US"/>
              </w:rPr>
              <w:t>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253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8</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261</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3.07</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000000"/>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171</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89</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260</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34.23</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000000"/>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000000"/>
                <w:kern w:val="0"/>
                <w:sz w:val="22"/>
                <w:szCs w:val="22"/>
                <w:lang w:val="en-US"/>
              </w:rPr>
              <w:t>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eastAsia="zh-CN"/>
              </w:rPr>
            </w:pPr>
            <w:r>
              <w:rPr>
                <w:rFonts w:hint="default" w:ascii="Arial" w:hAnsi="Arial" w:eastAsia="宋体" w:cs="Arial"/>
                <w:color w:val="252525"/>
                <w:sz w:val="22"/>
                <w:szCs w:val="22"/>
                <w:lang w:val="en-US"/>
              </w:rPr>
              <w:t>1</w:t>
            </w:r>
            <w:r>
              <w:rPr>
                <w:rFonts w:hint="eastAsia" w:ascii="Arial" w:hAnsi="Arial" w:eastAsia="宋体" w:cs="Arial"/>
                <w:color w:val="252525"/>
                <w:sz w:val="22"/>
                <w:szCs w:val="22"/>
                <w:lang w:val="en-US" w:eastAsia="zh-CN"/>
              </w:rPr>
              <w:t>80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color w:val="252525"/>
                <w:sz w:val="22"/>
                <w:szCs w:val="22"/>
                <w:lang w:val="en-US" w:eastAsia="zh-CN"/>
              </w:rPr>
            </w:pPr>
            <w:r>
              <w:rPr>
                <w:rFonts w:hint="default" w:ascii="Arial" w:hAnsi="Arial" w:eastAsia="宋体" w:cs="Arial"/>
                <w:color w:val="252525"/>
                <w:sz w:val="22"/>
                <w:szCs w:val="22"/>
                <w:lang w:val="en-US"/>
              </w:rPr>
              <w:t>20</w:t>
            </w:r>
            <w:r>
              <w:rPr>
                <w:rFonts w:hint="eastAsia" w:ascii="Arial" w:hAnsi="Arial" w:eastAsia="宋体" w:cs="Arial"/>
                <w:color w:val="252525"/>
                <w:sz w:val="22"/>
                <w:szCs w:val="22"/>
                <w:lang w:val="en-US" w:eastAsia="zh-CN"/>
              </w:rPr>
              <w:t>3</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Arial" w:hAnsi="Arial" w:eastAsia="宋体" w:cs="Arial"/>
                <w:color w:val="252525"/>
                <w:sz w:val="22"/>
                <w:szCs w:val="22"/>
                <w:lang w:val="en-US" w:eastAsia="zh-CN"/>
              </w:rPr>
            </w:pPr>
            <w:r>
              <w:rPr>
                <w:rFonts w:hint="default" w:ascii="Arial" w:hAnsi="Arial" w:eastAsia="宋体" w:cs="Arial"/>
                <w:color w:val="252525"/>
                <w:sz w:val="22"/>
                <w:szCs w:val="22"/>
                <w:lang w:val="en-US"/>
              </w:rPr>
              <w:t>88.6</w:t>
            </w:r>
            <w:r>
              <w:rPr>
                <w:rFonts w:hint="eastAsia" w:ascii="Arial" w:hAnsi="Arial" w:eastAsia="宋体" w:cs="Arial"/>
                <w:color w:val="252525"/>
                <w:sz w:val="22"/>
                <w:szCs w:val="22"/>
                <w:lang w:val="en-US" w:eastAsia="zh-CN"/>
              </w:rPr>
              <w:t>7</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K-TIRADS</w:t>
            </w: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r>
              <w:rPr>
                <w:rFonts w:hint="default" w:ascii="Arial" w:hAnsi="Arial" w:eastAsia="宋体" w:cs="Arial"/>
                <w:color w:val="000000"/>
                <w:sz w:val="22"/>
                <w:szCs w:val="22"/>
                <w:lang w:val="en-US"/>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2</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4</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0.00</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263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13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273</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4.76</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150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45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195</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23.08</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38</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219</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257</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85.21</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EU-TIRADS</w:t>
            </w: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r>
              <w:rPr>
                <w:rFonts w:hint="default" w:ascii="Arial" w:hAnsi="Arial" w:eastAsia="宋体" w:cs="Arial"/>
                <w:color w:val="000000"/>
                <w:sz w:val="22"/>
                <w:szCs w:val="22"/>
                <w:lang w:val="en-US"/>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2</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0.00</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260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283</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4.59</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134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37</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171</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21.64</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54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227</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281</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80.78</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Kwak-TIRADS</w:t>
            </w: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r>
              <w:rPr>
                <w:rFonts w:hint="default" w:ascii="Arial" w:hAnsi="Arial" w:eastAsia="宋体" w:cs="Arial"/>
                <w:color w:val="000000"/>
                <w:sz w:val="22"/>
                <w:szCs w:val="22"/>
                <w:lang w:val="en-US"/>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2</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0.00</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217</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9</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226</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3.98</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4a</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48</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52</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7.69</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4b</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143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43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186</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23.12</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4c</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39</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204</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243</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83.95</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17</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18</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94.44</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r>
              <w:rPr>
                <w:rFonts w:hint="default" w:ascii="Arial" w:hAnsi="Arial" w:eastAsia="宋体" w:cs="Arial"/>
                <w:color w:val="252525"/>
                <w:sz w:val="22"/>
                <w:szCs w:val="22"/>
                <w:lang w:val="en-US"/>
              </w:rPr>
              <w:t>C-TIRADS</w:t>
            </w: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r>
              <w:rPr>
                <w:rFonts w:hint="default" w:ascii="Arial" w:hAnsi="Arial" w:eastAsia="宋体" w:cs="Arial"/>
                <w:color w:val="000000"/>
                <w:sz w:val="22"/>
                <w:szCs w:val="22"/>
                <w:lang w:val="en-US"/>
              </w:rPr>
              <w:t>&lt;0.001*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2</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13</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0.00</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208</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11</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219</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5.02</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4a</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183</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38</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221</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17.19</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4b</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36</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86</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122</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70.49</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4c</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11</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125</w:t>
            </w:r>
          </w:p>
        </w:tc>
        <w:tc>
          <w:tcPr>
            <w:tcW w:w="673"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136</w:t>
            </w:r>
          </w:p>
        </w:tc>
        <w:tc>
          <w:tcPr>
            <w:tcW w:w="815"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91.91</w:t>
            </w:r>
          </w:p>
        </w:tc>
        <w:tc>
          <w:tcPr>
            <w:tcW w:w="528" w:type="pct"/>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857"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sz w:val="22"/>
                <w:szCs w:val="22"/>
                <w:lang w:val="en-US"/>
              </w:rPr>
            </w:pPr>
          </w:p>
        </w:tc>
        <w:tc>
          <w:tcPr>
            <w:tcW w:w="777"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left"/>
              <w:textAlignment w:val="center"/>
              <w:rPr>
                <w:rFonts w:hint="default" w:ascii="Arial" w:hAnsi="Arial" w:eastAsia="宋体" w:cs="Arial"/>
                <w:color w:val="252525"/>
                <w:kern w:val="0"/>
                <w:sz w:val="22"/>
                <w:szCs w:val="22"/>
                <w:lang w:val="en-US"/>
              </w:rPr>
            </w:pPr>
            <w:r>
              <w:rPr>
                <w:rFonts w:hint="default" w:ascii="Arial" w:hAnsi="Arial" w:eastAsia="宋体" w:cs="Arial"/>
                <w:color w:val="252525"/>
                <w:sz w:val="22"/>
                <w:szCs w:val="22"/>
                <w:lang w:val="en-US"/>
              </w:rPr>
              <w:t>T</w:t>
            </w:r>
            <w:r>
              <w:rPr>
                <w:rFonts w:hint="eastAsia" w:ascii="Arial" w:hAnsi="Arial" w:eastAsia="宋体" w:cs="Arial"/>
                <w:color w:val="252525"/>
                <w:sz w:val="22"/>
                <w:szCs w:val="22"/>
                <w:lang w:val="en-US" w:eastAsia="zh-CN"/>
              </w:rPr>
              <w:t>I-</w:t>
            </w:r>
            <w:r>
              <w:rPr>
                <w:rFonts w:hint="default" w:ascii="Arial" w:hAnsi="Arial" w:eastAsia="宋体" w:cs="Arial"/>
                <w:color w:val="252525"/>
                <w:sz w:val="22"/>
                <w:szCs w:val="22"/>
                <w:lang w:val="en-US"/>
              </w:rPr>
              <w:t>R</w:t>
            </w:r>
            <w:r>
              <w:rPr>
                <w:rFonts w:hint="eastAsia" w:ascii="Arial" w:hAnsi="Arial" w:eastAsia="宋体" w:cs="Arial"/>
                <w:color w:val="252525"/>
                <w:sz w:val="22"/>
                <w:szCs w:val="22"/>
                <w:lang w:val="en-US" w:eastAsia="zh-CN"/>
              </w:rPr>
              <w:t xml:space="preserve">ADS </w:t>
            </w:r>
            <w:r>
              <w:rPr>
                <w:rFonts w:hint="default" w:ascii="Arial" w:hAnsi="Arial" w:eastAsia="宋体" w:cs="Arial"/>
                <w:color w:val="252525"/>
                <w:kern w:val="0"/>
                <w:sz w:val="22"/>
                <w:szCs w:val="22"/>
                <w:lang w:val="en-US"/>
              </w:rPr>
              <w:t>5</w:t>
            </w:r>
          </w:p>
        </w:tc>
        <w:tc>
          <w:tcPr>
            <w:tcW w:w="673"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w:t>
            </w:r>
          </w:p>
        </w:tc>
        <w:tc>
          <w:tcPr>
            <w:tcW w:w="673"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17</w:t>
            </w:r>
          </w:p>
        </w:tc>
        <w:tc>
          <w:tcPr>
            <w:tcW w:w="673"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18</w:t>
            </w:r>
          </w:p>
        </w:tc>
        <w:tc>
          <w:tcPr>
            <w:tcW w:w="815"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color w:val="252525"/>
                <w:kern w:val="0"/>
                <w:sz w:val="22"/>
                <w:szCs w:val="22"/>
                <w:lang w:val="en-US"/>
              </w:rPr>
            </w:pPr>
            <w:r>
              <w:rPr>
                <w:rFonts w:hint="default" w:ascii="Arial" w:hAnsi="Arial" w:eastAsia="宋体" w:cs="Arial"/>
                <w:color w:val="252525"/>
                <w:kern w:val="0"/>
                <w:sz w:val="22"/>
                <w:szCs w:val="22"/>
                <w:lang w:val="en-US"/>
              </w:rPr>
              <w:t>94.44</w:t>
            </w:r>
          </w:p>
        </w:tc>
        <w:tc>
          <w:tcPr>
            <w:tcW w:w="528" w:type="pct"/>
            <w:tcBorders>
              <w:top w:val="nil"/>
              <w:left w:val="nil"/>
              <w:bottom w:val="single" w:color="000000" w:sz="6" w:space="0"/>
              <w:right w:val="nil"/>
            </w:tcBorders>
            <w:shd w:val="clear" w:color="auto" w:fill="auto"/>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Arial" w:hAnsi="Arial" w:eastAsia="宋体" w:cs="Arial"/>
                <w:b/>
                <w:bCs/>
                <w:color w:val="252525"/>
                <w:kern w:val="0"/>
                <w:sz w:val="22"/>
                <w:szCs w:val="22"/>
                <w:lang w:val="en-US"/>
              </w:rPr>
            </w:pPr>
          </w:p>
        </w:tc>
      </w:tr>
    </w:tbl>
    <w:p>
      <w:pPr>
        <w:keepNext w:val="0"/>
        <w:keepLines w:val="0"/>
        <w:widowControl w:val="0"/>
        <w:suppressLineNumbers w:val="0"/>
        <w:spacing w:before="0" w:beforeAutospacing="0" w:after="0" w:afterAutospacing="0" w:line="400" w:lineRule="exact"/>
        <w:ind w:left="0" w:right="0"/>
        <w:jc w:val="both"/>
        <w:rPr>
          <w:rFonts w:hint="default" w:ascii="Arial" w:hAnsi="Arial" w:eastAsia="宋体" w:cs="Arial"/>
          <w:color w:val="252525"/>
          <w:kern w:val="2"/>
          <w:sz w:val="21"/>
          <w:szCs w:val="21"/>
          <w:shd w:val="clear" w:fill="FFFFFF"/>
          <w:lang w:val="en-US" w:eastAsia="zh-CN" w:bidi="ar"/>
        </w:rPr>
      </w:pPr>
      <w:r>
        <w:rPr>
          <w:rFonts w:hint="eastAsia" w:ascii="Arial" w:hAnsi="Arial" w:cs="Arial"/>
          <w:sz w:val="21"/>
          <w:szCs w:val="21"/>
        </w:rPr>
        <w:fldChar w:fldCharType="begin"/>
      </w:r>
      <w:r>
        <w:rPr>
          <w:rFonts w:hint="eastAsia" w:ascii="Arial" w:hAnsi="Arial" w:cs="Arial"/>
          <w:sz w:val="21"/>
          <w:szCs w:val="21"/>
        </w:rPr>
        <w:instrText xml:space="preserve"> HYPERLINK "javascript:;" </w:instrText>
      </w:r>
      <w:r>
        <w:rPr>
          <w:rFonts w:hint="eastAsia" w:ascii="Arial" w:hAnsi="Arial" w:cs="Arial"/>
          <w:sz w:val="21"/>
          <w:szCs w:val="21"/>
        </w:rPr>
        <w:fldChar w:fldCharType="separate"/>
      </w:r>
      <w:r>
        <w:rPr>
          <w:rFonts w:hint="eastAsia" w:ascii="Arial" w:hAnsi="Arial" w:cs="Arial"/>
          <w:sz w:val="21"/>
          <w:szCs w:val="21"/>
          <w:lang w:val="en-US" w:eastAsia="zh-CN"/>
        </w:rPr>
        <w:t>A</w:t>
      </w:r>
      <w:r>
        <w:rPr>
          <w:rFonts w:hint="default" w:ascii="Arial" w:hAnsi="Arial" w:cs="Arial"/>
          <w:sz w:val="21"/>
          <w:szCs w:val="21"/>
        </w:rPr>
        <w:t>bbreviation</w:t>
      </w:r>
      <w:r>
        <w:rPr>
          <w:rFonts w:hint="default" w:ascii="Arial" w:hAnsi="Arial" w:cs="Arial"/>
          <w:sz w:val="21"/>
          <w:szCs w:val="21"/>
        </w:rPr>
        <w:fldChar w:fldCharType="end"/>
      </w:r>
      <w:r>
        <w:rPr>
          <w:rFonts w:hint="eastAsia" w:ascii="Arial" w:hAnsi="Arial" w:cs="Arial"/>
          <w:sz w:val="21"/>
          <w:szCs w:val="21"/>
          <w:lang w:val="en-US" w:eastAsia="zh-CN"/>
        </w:rPr>
        <w:t xml:space="preserve">: </w:t>
      </w:r>
      <w:r>
        <w:rPr>
          <w:rFonts w:hint="eastAsia" w:ascii="Arial" w:hAnsi="Arial" w:eastAsia="等线" w:cs="Arial"/>
          <w:sz w:val="21"/>
          <w:szCs w:val="21"/>
          <w:lang w:val="en-US" w:eastAsia="zh-CN" w:bidi="ar"/>
        </w:rPr>
        <w:t xml:space="preserve">ACR, </w:t>
      </w:r>
      <w:r>
        <w:rPr>
          <w:rFonts w:hint="default" w:ascii="Arial" w:hAnsi="Arial" w:eastAsia="等线" w:cs="Arial"/>
          <w:sz w:val="21"/>
          <w:szCs w:val="21"/>
          <w:lang w:val="en-US" w:eastAsia="zh-CN" w:bidi="ar"/>
        </w:rPr>
        <w:t>American College of Radiology</w:t>
      </w:r>
      <w:r>
        <w:rPr>
          <w:rFonts w:hint="default" w:ascii="Arial" w:hAnsi="Arial" w:eastAsia="宋体" w:cs="Arial"/>
          <w:kern w:val="2"/>
          <w:sz w:val="21"/>
          <w:szCs w:val="21"/>
          <w:lang w:val="en-US" w:eastAsia="zh-CN" w:bidi="ar"/>
        </w:rPr>
        <w:t>；TIRADS</w:t>
      </w:r>
      <w:r>
        <w:rPr>
          <w:rFonts w:hint="eastAsia" w:ascii="Arial" w:hAnsi="Arial" w:eastAsia="宋体" w:cs="Arial"/>
          <w:kern w:val="2"/>
          <w:sz w:val="21"/>
          <w:szCs w:val="21"/>
          <w:lang w:val="en-US" w:eastAsia="zh-CN" w:bidi="ar"/>
        </w:rPr>
        <w:t xml:space="preserve">, </w:t>
      </w:r>
      <w:r>
        <w:rPr>
          <w:rFonts w:hint="default" w:ascii="Arial" w:hAnsi="Arial" w:eastAsia="等线" w:cs="Arial"/>
          <w:sz w:val="21"/>
          <w:szCs w:val="21"/>
          <w:lang w:val="en-US" w:eastAsia="zh-CN" w:bidi="ar"/>
        </w:rPr>
        <w:t>Thyroid Imaging Reporting and Data System</w:t>
      </w:r>
      <w:r>
        <w:rPr>
          <w:rFonts w:hint="eastAsia" w:ascii="Arial" w:hAnsi="Arial" w:eastAsia="宋体" w:cs="Arial"/>
          <w:kern w:val="2"/>
          <w:sz w:val="21"/>
          <w:szCs w:val="21"/>
          <w:lang w:val="en-US" w:eastAsia="zh-CN" w:bidi="ar"/>
        </w:rPr>
        <w:t>.</w:t>
      </w:r>
      <w:r>
        <w:rPr>
          <w:rFonts w:hint="default" w:ascii="Arial" w:hAnsi="Arial" w:eastAsia="宋体" w:cs="Arial"/>
          <w:kern w:val="2"/>
          <w:sz w:val="21"/>
          <w:szCs w:val="21"/>
          <w:lang w:val="en-US" w:eastAsia="zh-CN" w:bidi="ar"/>
        </w:rPr>
        <w:t xml:space="preserve"> </w:t>
      </w:r>
      <w:r>
        <w:rPr>
          <w:rFonts w:hint="eastAsia" w:ascii="Arial" w:hAnsi="Arial" w:eastAsia="宋体" w:cs="Arial"/>
          <w:kern w:val="2"/>
          <w:sz w:val="21"/>
          <w:szCs w:val="21"/>
          <w:lang w:val="en-US" w:eastAsia="zh-CN" w:bidi="ar"/>
        </w:rPr>
        <w:t>*</w:t>
      </w:r>
      <w:r>
        <w:rPr>
          <w:rFonts w:hint="default" w:ascii="Arial" w:hAnsi="Arial" w:eastAsia="宋体" w:cs="Arial"/>
          <w:i/>
          <w:iCs/>
          <w:color w:val="252525"/>
          <w:kern w:val="2"/>
          <w:sz w:val="21"/>
          <w:szCs w:val="21"/>
          <w:shd w:val="clear" w:fill="FFFFFF"/>
          <w:lang w:val="en-US" w:eastAsia="zh-CN" w:bidi="ar"/>
        </w:rPr>
        <w:t>P</w:t>
      </w:r>
      <w:r>
        <w:rPr>
          <w:rFonts w:hint="default" w:ascii="Arial" w:hAnsi="Arial" w:eastAsia="宋体" w:cs="Arial"/>
          <w:color w:val="252525"/>
          <w:kern w:val="2"/>
          <w:sz w:val="21"/>
          <w:szCs w:val="21"/>
          <w:shd w:val="clear" w:fill="FFFFFF"/>
          <w:lang w:val="en-US" w:eastAsia="zh-CN" w:bidi="ar"/>
        </w:rPr>
        <w:t>＜0.05</w:t>
      </w:r>
      <w:bookmarkEnd w:id="45"/>
      <w:r>
        <w:rPr>
          <w:rFonts w:hint="eastAsia" w:ascii="Arial" w:hAnsi="Arial" w:eastAsia="宋体" w:cs="Arial"/>
          <w:color w:val="252525"/>
          <w:kern w:val="2"/>
          <w:sz w:val="21"/>
          <w:szCs w:val="21"/>
          <w:shd w:val="clear" w:fill="FFFFFF"/>
          <w:lang w:val="en-US" w:eastAsia="zh-CN" w:bidi="ar"/>
        </w:rPr>
        <w:t>.</w:t>
      </w:r>
    </w:p>
    <w:p>
      <w:pPr>
        <w:rPr>
          <w:rFonts w:hint="eastAsia" w:ascii="Arial" w:hAnsi="Arial" w:cs="Arial"/>
          <w:b/>
          <w:bCs/>
        </w:rPr>
      </w:pPr>
    </w:p>
    <w:p>
      <w:pPr>
        <w:rPr>
          <w:rFonts w:hint="default" w:ascii="Arial" w:hAnsi="Arial" w:cs="Arial" w:eastAsiaTheme="minorEastAsia"/>
          <w:b w:val="0"/>
          <w:bCs w:val="0"/>
          <w:sz w:val="22"/>
          <w:szCs w:val="22"/>
          <w:lang w:val="en-US" w:eastAsia="zh-CN"/>
        </w:rPr>
      </w:pPr>
      <w:r>
        <w:rPr>
          <w:rFonts w:hint="eastAsia" w:ascii="Arial" w:hAnsi="Arial" w:cs="Arial"/>
          <w:b/>
          <w:bCs/>
          <w:sz w:val="22"/>
          <w:szCs w:val="22"/>
        </w:rPr>
        <w:t>T</w:t>
      </w:r>
      <w:r>
        <w:rPr>
          <w:rFonts w:ascii="Arial" w:hAnsi="Arial" w:cs="Arial"/>
          <w:b/>
          <w:bCs/>
          <w:sz w:val="22"/>
          <w:szCs w:val="22"/>
        </w:rPr>
        <w:t xml:space="preserve">able </w:t>
      </w:r>
      <w:r>
        <w:rPr>
          <w:rFonts w:hint="eastAsia" w:ascii="Arial" w:hAnsi="Arial" w:cs="Arial"/>
          <w:b/>
          <w:bCs/>
          <w:sz w:val="22"/>
          <w:szCs w:val="22"/>
          <w:lang w:val="en-US" w:eastAsia="zh-CN"/>
        </w:rPr>
        <w:t xml:space="preserve">S5. </w:t>
      </w:r>
      <w:r>
        <w:rPr>
          <w:rFonts w:hint="eastAsia" w:ascii="Arial" w:hAnsi="Arial" w:cs="Arial"/>
          <w:b w:val="0"/>
          <w:bCs w:val="0"/>
          <w:sz w:val="22"/>
          <w:szCs w:val="22"/>
          <w:lang w:val="en-US" w:eastAsia="zh-CN"/>
        </w:rPr>
        <w:t>Performance of the MRI-based risk scoring system in the training and validation cohorts</w:t>
      </w:r>
    </w:p>
    <w:tbl>
      <w:tblPr>
        <w:tblStyle w:val="5"/>
        <w:tblW w:w="4896" w:type="pct"/>
        <w:tblInd w:w="104" w:type="dxa"/>
        <w:tblLayout w:type="fixed"/>
        <w:tblCellMar>
          <w:top w:w="0" w:type="dxa"/>
          <w:left w:w="108" w:type="dxa"/>
          <w:bottom w:w="0" w:type="dxa"/>
          <w:right w:w="108" w:type="dxa"/>
        </w:tblCellMar>
      </w:tblPr>
      <w:tblGrid>
        <w:gridCol w:w="2930"/>
        <w:gridCol w:w="1290"/>
        <w:gridCol w:w="1290"/>
        <w:gridCol w:w="1290"/>
        <w:gridCol w:w="985"/>
        <w:gridCol w:w="985"/>
        <w:gridCol w:w="985"/>
      </w:tblGrid>
      <w:tr>
        <w:tblPrEx>
          <w:tblCellMar>
            <w:top w:w="0" w:type="dxa"/>
            <w:left w:w="108" w:type="dxa"/>
            <w:bottom w:w="0" w:type="dxa"/>
            <w:right w:w="108" w:type="dxa"/>
          </w:tblCellMar>
        </w:tblPrEx>
        <w:trPr>
          <w:trHeight w:val="680" w:hRule="atLeast"/>
        </w:trPr>
        <w:tc>
          <w:tcPr>
            <w:tcW w:w="150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color w:val="000000"/>
                <w:kern w:val="0"/>
                <w:sz w:val="22"/>
                <w:szCs w:val="22"/>
              </w:rPr>
              <w:t xml:space="preserve">MRI-based </w:t>
            </w:r>
            <w:r>
              <w:rPr>
                <w:rFonts w:hint="eastAsia" w:ascii="Arial" w:hAnsi="Arial" w:eastAsia="等线" w:cs="Arial"/>
                <w:color w:val="000000"/>
                <w:kern w:val="0"/>
                <w:sz w:val="22"/>
                <w:szCs w:val="22"/>
                <w:lang w:val="en-US" w:eastAsia="zh-CN"/>
              </w:rPr>
              <w:t>RSS</w:t>
            </w:r>
            <w:r>
              <w:rPr>
                <w:rFonts w:hint="default" w:ascii="Arial" w:hAnsi="Arial" w:eastAsia="等线" w:cs="Arial"/>
                <w:color w:val="000000"/>
                <w:kern w:val="0"/>
                <w:sz w:val="22"/>
                <w:szCs w:val="22"/>
              </w:rPr>
              <w:t xml:space="preserve"> (Cutoff=12)</w:t>
            </w:r>
          </w:p>
        </w:tc>
        <w:tc>
          <w:tcPr>
            <w:tcW w:w="66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b w:val="0"/>
                <w:bCs w:val="0"/>
                <w:color w:val="000000"/>
                <w:kern w:val="0"/>
                <w:sz w:val="22"/>
                <w:szCs w:val="22"/>
              </w:rPr>
              <w:t>Sensitivity</w:t>
            </w:r>
          </w:p>
        </w:tc>
        <w:tc>
          <w:tcPr>
            <w:tcW w:w="66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b w:val="0"/>
                <w:bCs w:val="0"/>
                <w:color w:val="000000"/>
                <w:kern w:val="0"/>
                <w:sz w:val="22"/>
                <w:szCs w:val="22"/>
              </w:rPr>
              <w:t>Specificity</w:t>
            </w:r>
          </w:p>
        </w:tc>
        <w:tc>
          <w:tcPr>
            <w:tcW w:w="661"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b w:val="0"/>
                <w:bCs w:val="0"/>
                <w:color w:val="000000"/>
                <w:kern w:val="0"/>
                <w:sz w:val="22"/>
                <w:szCs w:val="22"/>
              </w:rPr>
              <w:t>Accuracy</w:t>
            </w:r>
          </w:p>
        </w:tc>
        <w:tc>
          <w:tcPr>
            <w:tcW w:w="504"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b w:val="0"/>
                <w:bCs w:val="0"/>
                <w:color w:val="000000"/>
                <w:kern w:val="0"/>
                <w:sz w:val="22"/>
                <w:szCs w:val="22"/>
              </w:rPr>
              <w:t>PPV</w:t>
            </w:r>
          </w:p>
        </w:tc>
        <w:tc>
          <w:tcPr>
            <w:tcW w:w="504" w:type="pct"/>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default" w:ascii="Arial" w:hAnsi="Arial" w:eastAsia="等线" w:cs="Arial"/>
                <w:b w:val="0"/>
                <w:bCs w:val="0"/>
                <w:color w:val="000000"/>
                <w:kern w:val="0"/>
                <w:sz w:val="22"/>
                <w:szCs w:val="22"/>
              </w:rPr>
              <w:t>NPV</w:t>
            </w:r>
          </w:p>
        </w:tc>
        <w:tc>
          <w:tcPr>
            <w:tcW w:w="504" w:type="pct"/>
            <w:tcBorders>
              <w:top w:val="single" w:color="auto" w:sz="4" w:space="0"/>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b w:val="0"/>
                <w:bCs w:val="0"/>
                <w:color w:val="000000"/>
                <w:kern w:val="0"/>
                <w:sz w:val="22"/>
                <w:szCs w:val="22"/>
              </w:rPr>
            </w:pPr>
            <w:r>
              <w:rPr>
                <w:rFonts w:hint="eastAsia" w:ascii="Arial" w:hAnsi="Arial" w:eastAsia="等线" w:cs="Arial"/>
                <w:b w:val="0"/>
                <w:bCs w:val="0"/>
                <w:color w:val="000000"/>
                <w:kern w:val="0"/>
                <w:sz w:val="22"/>
                <w:szCs w:val="22"/>
              </w:rPr>
              <w:t>A</w:t>
            </w:r>
            <w:r>
              <w:rPr>
                <w:rFonts w:hint="default" w:ascii="Arial" w:hAnsi="Arial" w:eastAsia="等线" w:cs="Arial"/>
                <w:b w:val="0"/>
                <w:bCs w:val="0"/>
                <w:color w:val="000000"/>
                <w:kern w:val="0"/>
                <w:sz w:val="22"/>
                <w:szCs w:val="22"/>
              </w:rPr>
              <w:t>UC</w:t>
            </w:r>
          </w:p>
        </w:tc>
      </w:tr>
      <w:tr>
        <w:tblPrEx>
          <w:tblCellMar>
            <w:top w:w="0" w:type="dxa"/>
            <w:left w:w="108" w:type="dxa"/>
            <w:bottom w:w="0" w:type="dxa"/>
            <w:right w:w="108" w:type="dxa"/>
          </w:tblCellMar>
        </w:tblPrEx>
        <w:trPr>
          <w:trHeight w:val="460" w:hRule="atLeast"/>
        </w:trPr>
        <w:tc>
          <w:tcPr>
            <w:tcW w:w="1501"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lang w:val="en-US" w:eastAsia="zh-CN"/>
              </w:rPr>
            </w:pPr>
            <w:r>
              <w:rPr>
                <w:rFonts w:hint="default" w:ascii="Arial" w:hAnsi="Arial" w:eastAsia="等线" w:cs="Arial"/>
                <w:color w:val="000000"/>
                <w:kern w:val="0"/>
                <w:sz w:val="22"/>
                <w:szCs w:val="22"/>
              </w:rPr>
              <w:t xml:space="preserve">Training </w:t>
            </w:r>
            <w:r>
              <w:rPr>
                <w:rFonts w:hint="eastAsia" w:ascii="Arial" w:hAnsi="Arial" w:eastAsia="等线" w:cs="Arial"/>
                <w:color w:val="000000"/>
                <w:kern w:val="0"/>
                <w:sz w:val="22"/>
                <w:szCs w:val="22"/>
                <w:lang w:val="en-US" w:eastAsia="zh-CN"/>
              </w:rPr>
              <w:t>cohort</w:t>
            </w:r>
          </w:p>
        </w:tc>
        <w:tc>
          <w:tcPr>
            <w:tcW w:w="661"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8</w:t>
            </w:r>
            <w:r>
              <w:rPr>
                <w:rFonts w:hint="default" w:ascii="Arial" w:hAnsi="Arial" w:eastAsia="等线" w:cs="Arial"/>
                <w:color w:val="000000"/>
                <w:kern w:val="0"/>
                <w:sz w:val="22"/>
                <w:szCs w:val="22"/>
              </w:rPr>
              <w:t>9.7</w:t>
            </w:r>
          </w:p>
        </w:tc>
        <w:tc>
          <w:tcPr>
            <w:tcW w:w="661"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2.5</w:t>
            </w:r>
          </w:p>
        </w:tc>
        <w:tc>
          <w:tcPr>
            <w:tcW w:w="661"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1.5</w:t>
            </w:r>
          </w:p>
        </w:tc>
        <w:tc>
          <w:tcPr>
            <w:tcW w:w="504"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8</w:t>
            </w:r>
            <w:r>
              <w:rPr>
                <w:rFonts w:hint="default" w:ascii="Arial" w:hAnsi="Arial" w:eastAsia="等线" w:cs="Arial"/>
                <w:color w:val="000000"/>
                <w:kern w:val="0"/>
                <w:sz w:val="22"/>
                <w:szCs w:val="22"/>
              </w:rPr>
              <w:t>8.4</w:t>
            </w:r>
          </w:p>
        </w:tc>
        <w:tc>
          <w:tcPr>
            <w:tcW w:w="504" w:type="pct"/>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3.4</w:t>
            </w:r>
          </w:p>
        </w:tc>
        <w:tc>
          <w:tcPr>
            <w:tcW w:w="504" w:type="pct"/>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0</w:t>
            </w:r>
            <w:r>
              <w:rPr>
                <w:rFonts w:hint="default" w:ascii="Arial" w:hAnsi="Arial" w:eastAsia="等线" w:cs="Arial"/>
                <w:color w:val="000000"/>
                <w:kern w:val="0"/>
                <w:sz w:val="22"/>
                <w:szCs w:val="22"/>
              </w:rPr>
              <w:t>.914</w:t>
            </w:r>
          </w:p>
        </w:tc>
      </w:tr>
      <w:tr>
        <w:tblPrEx>
          <w:tblCellMar>
            <w:top w:w="0" w:type="dxa"/>
            <w:left w:w="108" w:type="dxa"/>
            <w:bottom w:w="0" w:type="dxa"/>
            <w:right w:w="108" w:type="dxa"/>
          </w:tblCellMar>
        </w:tblPrEx>
        <w:trPr>
          <w:trHeight w:val="460" w:hRule="atLeast"/>
        </w:trPr>
        <w:tc>
          <w:tcPr>
            <w:tcW w:w="1501"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lang w:val="en-US" w:eastAsia="zh-CN"/>
              </w:rPr>
            </w:pPr>
            <w:r>
              <w:rPr>
                <w:rFonts w:hint="default" w:ascii="Arial" w:hAnsi="Arial" w:eastAsia="等线" w:cs="Arial"/>
                <w:color w:val="000000"/>
                <w:kern w:val="0"/>
                <w:sz w:val="22"/>
                <w:szCs w:val="22"/>
              </w:rPr>
              <w:t xml:space="preserve">Validation </w:t>
            </w:r>
            <w:r>
              <w:rPr>
                <w:rFonts w:hint="eastAsia" w:ascii="Arial" w:hAnsi="Arial" w:eastAsia="等线" w:cs="Arial"/>
                <w:color w:val="000000"/>
                <w:kern w:val="0"/>
                <w:sz w:val="22"/>
                <w:szCs w:val="22"/>
                <w:lang w:val="en-US" w:eastAsia="zh-CN"/>
              </w:rPr>
              <w:t>cohort</w:t>
            </w:r>
          </w:p>
        </w:tc>
        <w:tc>
          <w:tcPr>
            <w:tcW w:w="661"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4.0</w:t>
            </w:r>
          </w:p>
        </w:tc>
        <w:tc>
          <w:tcPr>
            <w:tcW w:w="661"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8</w:t>
            </w:r>
            <w:r>
              <w:rPr>
                <w:rFonts w:hint="default" w:ascii="Arial" w:hAnsi="Arial" w:eastAsia="等线" w:cs="Arial"/>
                <w:color w:val="000000"/>
                <w:kern w:val="0"/>
                <w:sz w:val="22"/>
                <w:szCs w:val="22"/>
              </w:rPr>
              <w:t>8.7</w:t>
            </w:r>
          </w:p>
        </w:tc>
        <w:tc>
          <w:tcPr>
            <w:tcW w:w="661"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0.9</w:t>
            </w:r>
          </w:p>
        </w:tc>
        <w:tc>
          <w:tcPr>
            <w:tcW w:w="504"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8</w:t>
            </w:r>
            <w:r>
              <w:rPr>
                <w:rFonts w:hint="default" w:ascii="Arial" w:hAnsi="Arial" w:eastAsia="等线" w:cs="Arial"/>
                <w:color w:val="000000"/>
                <w:kern w:val="0"/>
                <w:sz w:val="22"/>
                <w:szCs w:val="22"/>
              </w:rPr>
              <w:t>5.8</w:t>
            </w:r>
          </w:p>
        </w:tc>
        <w:tc>
          <w:tcPr>
            <w:tcW w:w="504" w:type="pct"/>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9</w:t>
            </w:r>
            <w:r>
              <w:rPr>
                <w:rFonts w:hint="default" w:ascii="Arial" w:hAnsi="Arial" w:eastAsia="等线" w:cs="Arial"/>
                <w:color w:val="000000"/>
                <w:kern w:val="0"/>
                <w:sz w:val="22"/>
                <w:szCs w:val="22"/>
              </w:rPr>
              <w:t>5.3</w:t>
            </w:r>
          </w:p>
        </w:tc>
        <w:tc>
          <w:tcPr>
            <w:tcW w:w="504" w:type="pct"/>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Arial" w:hAnsi="Arial" w:eastAsia="等线" w:cs="Arial"/>
                <w:color w:val="000000"/>
                <w:kern w:val="0"/>
                <w:sz w:val="22"/>
                <w:szCs w:val="22"/>
              </w:rPr>
            </w:pPr>
            <w:r>
              <w:rPr>
                <w:rFonts w:hint="eastAsia" w:ascii="Arial" w:hAnsi="Arial" w:eastAsia="等线" w:cs="Arial"/>
                <w:color w:val="000000"/>
                <w:kern w:val="0"/>
                <w:sz w:val="22"/>
                <w:szCs w:val="22"/>
              </w:rPr>
              <w:t>0</w:t>
            </w:r>
            <w:r>
              <w:rPr>
                <w:rFonts w:hint="default" w:ascii="Arial" w:hAnsi="Arial" w:eastAsia="等线" w:cs="Arial"/>
                <w:color w:val="000000"/>
                <w:kern w:val="0"/>
                <w:sz w:val="22"/>
                <w:szCs w:val="22"/>
              </w:rPr>
              <w:t>.911</w:t>
            </w:r>
          </w:p>
        </w:tc>
      </w:tr>
    </w:tbl>
    <w:p>
      <w:pPr>
        <w:rPr>
          <w:rFonts w:hint="eastAsia" w:ascii="Arial" w:hAnsi="Arial" w:cs="Arial" w:eastAsiaTheme="minorEastAsia"/>
          <w:sz w:val="21"/>
          <w:szCs w:val="22"/>
          <w:lang w:val="en-US" w:eastAsia="zh-CN"/>
        </w:rPr>
      </w:pPr>
      <w:r>
        <w:rPr>
          <w:rFonts w:hint="eastAsia" w:ascii="Arial" w:hAnsi="Arial" w:cs="Arial"/>
          <w:sz w:val="21"/>
          <w:szCs w:val="22"/>
        </w:rPr>
        <w:fldChar w:fldCharType="begin"/>
      </w:r>
      <w:r>
        <w:rPr>
          <w:rFonts w:hint="eastAsia" w:ascii="Arial" w:hAnsi="Arial" w:cs="Arial"/>
          <w:sz w:val="21"/>
          <w:szCs w:val="22"/>
        </w:rPr>
        <w:instrText xml:space="preserve"> HYPERLINK "javascript:;" </w:instrText>
      </w:r>
      <w:r>
        <w:rPr>
          <w:rFonts w:hint="eastAsia" w:ascii="Arial" w:hAnsi="Arial" w:cs="Arial"/>
          <w:sz w:val="21"/>
          <w:szCs w:val="22"/>
        </w:rPr>
        <w:fldChar w:fldCharType="separate"/>
      </w:r>
      <w:r>
        <w:rPr>
          <w:rFonts w:hint="eastAsia" w:ascii="Arial" w:hAnsi="Arial" w:cs="Arial"/>
          <w:sz w:val="21"/>
          <w:szCs w:val="22"/>
          <w:lang w:val="en-US" w:eastAsia="zh-CN"/>
        </w:rPr>
        <w:t>A</w:t>
      </w:r>
      <w:r>
        <w:rPr>
          <w:rFonts w:hint="default" w:ascii="Arial" w:hAnsi="Arial" w:cs="Arial"/>
          <w:sz w:val="21"/>
          <w:szCs w:val="22"/>
        </w:rPr>
        <w:t>bbreviation</w:t>
      </w:r>
      <w:r>
        <w:rPr>
          <w:rFonts w:hint="default" w:ascii="Arial" w:hAnsi="Arial" w:cs="Arial"/>
          <w:sz w:val="21"/>
          <w:szCs w:val="22"/>
        </w:rPr>
        <w:fldChar w:fldCharType="end"/>
      </w:r>
      <w:r>
        <w:rPr>
          <w:rFonts w:hint="eastAsia" w:ascii="Arial" w:hAnsi="Arial" w:cs="Arial"/>
          <w:sz w:val="21"/>
          <w:szCs w:val="22"/>
          <w:lang w:val="en-US" w:eastAsia="zh-CN"/>
        </w:rPr>
        <w:t xml:space="preserve">: </w:t>
      </w:r>
      <w:r>
        <w:rPr>
          <w:rFonts w:ascii="Arial" w:hAnsi="Arial" w:cs="Arial"/>
          <w:sz w:val="21"/>
          <w:szCs w:val="22"/>
        </w:rPr>
        <w:t>PPV positive predictive value; NPV negative predictive value; AUC area under the curve</w:t>
      </w:r>
      <w:r>
        <w:rPr>
          <w:rFonts w:hint="eastAsia" w:ascii="Arial" w:hAnsi="Arial" w:cs="Arial"/>
          <w:sz w:val="21"/>
          <w:szCs w:val="22"/>
          <w:lang w:val="en-US" w:eastAsia="zh-CN"/>
        </w:rPr>
        <w:t>; RSS risk score system.</w:t>
      </w:r>
    </w:p>
    <w:p>
      <w:pPr>
        <w:pStyle w:val="10"/>
        <w:spacing w:line="360" w:lineRule="auto"/>
        <w:ind w:left="0" w:leftChars="0" w:firstLine="0" w:firstLineChars="0"/>
        <w:jc w:val="both"/>
        <w:rPr>
          <w:rFonts w:hint="eastAsia" w:ascii="Times New Roman" w:hAnsi="Times New Roman" w:cs="Times New Roman" w:eastAsiaTheme="minorEastAsia"/>
          <w:b/>
          <w:bCs/>
          <w:sz w:val="20"/>
          <w:szCs w:val="20"/>
          <w:lang w:val="en-US" w:eastAsia="zh-CN"/>
        </w:rPr>
      </w:pPr>
    </w:p>
    <w:p>
      <w:pPr>
        <w:tabs>
          <w:tab w:val="left" w:pos="2112"/>
        </w:tabs>
        <w:bidi w:val="0"/>
        <w:jc w:val="left"/>
        <w:rPr>
          <w:rFonts w:hint="eastAsia"/>
          <w:lang w:val="en-US" w:eastAsia="zh-CN"/>
        </w:rPr>
      </w:pPr>
    </w:p>
    <w:p>
      <w:pPr>
        <w:tabs>
          <w:tab w:val="left" w:pos="2112"/>
        </w:tabs>
        <w:bidi w:val="0"/>
        <w:jc w:val="left"/>
        <w:rPr>
          <w:rFonts w:hint="eastAsia"/>
          <w:lang w:val="en-US" w:eastAsia="zh-CN"/>
        </w:rPr>
      </w:pPr>
    </w:p>
    <w:p>
      <w:pPr>
        <w:tabs>
          <w:tab w:val="left" w:pos="2112"/>
        </w:tabs>
        <w:bidi w:val="0"/>
        <w:jc w:val="left"/>
        <w:rPr>
          <w:rFonts w:hint="eastAsia"/>
          <w:lang w:val="en-US" w:eastAsia="zh-CN"/>
        </w:rPr>
      </w:pPr>
    </w:p>
    <w:p>
      <w:pPr>
        <w:tabs>
          <w:tab w:val="left" w:pos="2112"/>
        </w:tabs>
        <w:bidi w:val="0"/>
        <w:jc w:val="center"/>
        <w:rPr>
          <w:rFonts w:hint="eastAsia"/>
          <w:b/>
          <w:bCs/>
          <w:lang w:val="en-US" w:eastAsia="zh-CN"/>
        </w:rPr>
      </w:pPr>
      <w:r>
        <w:rPr>
          <w:rFonts w:hint="eastAsia"/>
          <w:b/>
          <w:bCs/>
          <w:lang w:val="en-US" w:eastAsia="zh-CN"/>
        </w:rPr>
        <w:drawing>
          <wp:inline distT="0" distB="0" distL="114300" distR="114300">
            <wp:extent cx="4626610" cy="2160905"/>
            <wp:effectExtent l="0" t="0" r="2540" b="1270"/>
            <wp:docPr id="17" name="图片 17" descr="风险得分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风险得分ROC"/>
                    <pic:cNvPicPr>
                      <a:picLocks noChangeAspect="1"/>
                    </pic:cNvPicPr>
                  </pic:nvPicPr>
                  <pic:blipFill>
                    <a:blip r:embed="rId21"/>
                    <a:stretch>
                      <a:fillRect/>
                    </a:stretch>
                  </pic:blipFill>
                  <pic:spPr>
                    <a:xfrm>
                      <a:off x="0" y="0"/>
                      <a:ext cx="4626610" cy="2160905"/>
                    </a:xfrm>
                    <a:prstGeom prst="rect">
                      <a:avLst/>
                    </a:prstGeom>
                  </pic:spPr>
                </pic:pic>
              </a:graphicData>
            </a:graphic>
          </wp:inline>
        </w:drawing>
      </w:r>
    </w:p>
    <w:p>
      <w:pPr>
        <w:keepNext w:val="0"/>
        <w:keepLines w:val="0"/>
        <w:pageBreakBefore w:val="0"/>
        <w:widowControl w:val="0"/>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bCs/>
          <w:sz w:val="22"/>
          <w:szCs w:val="24"/>
          <w:lang w:val="en-US" w:eastAsia="zh-CN"/>
        </w:rPr>
      </w:pPr>
      <w:r>
        <w:rPr>
          <w:rFonts w:hint="default" w:ascii="Arial" w:hAnsi="Arial" w:cs="Arial"/>
          <w:b/>
          <w:bCs/>
          <w:sz w:val="22"/>
          <w:szCs w:val="24"/>
          <w:lang w:val="en-US" w:eastAsia="zh-CN"/>
        </w:rPr>
        <w:t xml:space="preserve">Figure </w:t>
      </w:r>
      <w:r>
        <w:rPr>
          <w:rFonts w:hint="eastAsia" w:ascii="Arial" w:hAnsi="Arial" w:cs="Arial"/>
          <w:b/>
          <w:bCs/>
          <w:sz w:val="22"/>
          <w:szCs w:val="24"/>
          <w:lang w:val="en-US" w:eastAsia="zh-CN"/>
        </w:rPr>
        <w:t>S</w:t>
      </w:r>
      <w:r>
        <w:rPr>
          <w:rFonts w:hint="default" w:ascii="Arial" w:hAnsi="Arial" w:cs="Arial"/>
          <w:b/>
          <w:bCs/>
          <w:sz w:val="22"/>
          <w:szCs w:val="24"/>
          <w:lang w:val="en-US" w:eastAsia="zh-CN"/>
        </w:rPr>
        <w:t>1.</w:t>
      </w:r>
      <w:r>
        <w:rPr>
          <w:rFonts w:hint="eastAsia" w:ascii="Arial" w:hAnsi="Arial" w:cs="Arial"/>
          <w:b/>
          <w:bCs/>
          <w:sz w:val="22"/>
          <w:szCs w:val="24"/>
          <w:lang w:val="en-US" w:eastAsia="zh-CN"/>
        </w:rPr>
        <w:t xml:space="preserve"> ROC curves of the MRI-based risk scoring system in the training and validation cohorts. </w:t>
      </w:r>
    </w:p>
    <w:p>
      <w:pPr>
        <w:keepNext w:val="0"/>
        <w:keepLines w:val="0"/>
        <w:pageBreakBefore w:val="0"/>
        <w:widowControl w:val="0"/>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r>
        <w:rPr>
          <w:rFonts w:hint="eastAsia" w:ascii="Arial" w:hAnsi="Arial" w:cs="Arial"/>
          <w:b/>
          <w:bCs/>
          <w:sz w:val="22"/>
          <w:szCs w:val="24"/>
          <w:lang w:val="en-US" w:eastAsia="zh-CN"/>
        </w:rPr>
        <w:t xml:space="preserve">(a) </w:t>
      </w:r>
      <w:r>
        <w:rPr>
          <w:rFonts w:hint="eastAsia" w:ascii="Arial" w:hAnsi="Arial" w:cs="Arial"/>
          <w:b w:val="0"/>
          <w:bCs w:val="0"/>
          <w:sz w:val="22"/>
          <w:szCs w:val="24"/>
          <w:lang w:val="en-US" w:eastAsia="zh-CN"/>
        </w:rPr>
        <w:t xml:space="preserve">ROC curve in the training cohort, </w:t>
      </w:r>
      <w:r>
        <w:rPr>
          <w:rFonts w:hint="eastAsia" w:ascii="Arial" w:hAnsi="Arial" w:cs="Arial"/>
          <w:b/>
          <w:bCs/>
          <w:sz w:val="22"/>
          <w:szCs w:val="24"/>
          <w:lang w:val="en-US" w:eastAsia="zh-CN"/>
        </w:rPr>
        <w:t>(b)</w:t>
      </w:r>
      <w:r>
        <w:rPr>
          <w:rFonts w:hint="eastAsia" w:ascii="Arial" w:hAnsi="Arial" w:cs="Arial"/>
          <w:b w:val="0"/>
          <w:bCs w:val="0"/>
          <w:sz w:val="22"/>
          <w:szCs w:val="24"/>
          <w:lang w:val="en-US" w:eastAsia="zh-CN"/>
        </w:rPr>
        <w:t xml:space="preserve"> ROC curve in the validation cohort.</w:t>
      </w: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bCs/>
          <w:sz w:val="22"/>
          <w:szCs w:val="24"/>
          <w:lang w:val="en-US" w:eastAsia="zh-CN"/>
        </w:rPr>
      </w:pPr>
      <w:r>
        <w:rPr>
          <w:rFonts w:hint="eastAsia" w:ascii="Arial" w:hAnsi="Arial" w:cs="Arial"/>
          <w:b w:val="0"/>
          <w:bCs w:val="0"/>
          <w:sz w:val="22"/>
          <w:szCs w:val="24"/>
          <w:lang w:val="en-US" w:eastAsia="zh-CN"/>
        </w:rPr>
        <w:t xml:space="preserve"> </w:t>
      </w: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bCs/>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eastAsia"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default"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default" w:ascii="Arial" w:hAnsi="Arial" w:cs="Arial"/>
          <w:b w:val="0"/>
          <w:bCs w:val="0"/>
          <w:sz w:val="22"/>
          <w:szCs w:val="24"/>
          <w:lang w:val="en-US" w:eastAsia="zh-CN"/>
        </w:rPr>
      </w:pPr>
    </w:p>
    <w:p>
      <w:pPr>
        <w:keepNext w:val="0"/>
        <w:keepLines w:val="0"/>
        <w:pageBreakBefore w:val="0"/>
        <w:widowControl w:val="0"/>
        <w:numPr>
          <w:ilvl w:val="0"/>
          <w:numId w:val="0"/>
        </w:numPr>
        <w:tabs>
          <w:tab w:val="left" w:pos="2112"/>
        </w:tabs>
        <w:kinsoku/>
        <w:wordWrap/>
        <w:overflowPunct/>
        <w:topLinePunct w:val="0"/>
        <w:autoSpaceDE/>
        <w:autoSpaceDN/>
        <w:bidi w:val="0"/>
        <w:adjustRightInd/>
        <w:snapToGrid/>
        <w:spacing w:line="360" w:lineRule="auto"/>
        <w:jc w:val="left"/>
        <w:textAlignment w:val="auto"/>
        <w:rPr>
          <w:rFonts w:hint="default" w:ascii="Arial" w:hAnsi="Arial" w:cs="Arial"/>
          <w:b w:val="0"/>
          <w:bCs w:val="0"/>
          <w:sz w:val="22"/>
          <w:szCs w:val="24"/>
          <w:lang w:val="en-US" w:eastAsia="zh-CN"/>
        </w:rPr>
      </w:pPr>
    </w:p>
    <w:sectPr>
      <w:pgSz w:w="11906" w:h="16838"/>
      <w:pgMar w:top="1440" w:right="1080" w:bottom="1440" w:left="10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Yu Gothic UI Light">
    <w:panose1 w:val="020B03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FA0202"/>
    <w:multiLevelType w:val="multilevel"/>
    <w:tmpl w:val="13FA0202"/>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rPr>
        <w:b/>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ODQwNThiYTg4YTBlNDhkZDRmNGNiNWM5NWE1YzAifQ=="/>
  </w:docVars>
  <w:rsids>
    <w:rsidRoot w:val="001A74D2"/>
    <w:rsid w:val="00021342"/>
    <w:rsid w:val="000548C6"/>
    <w:rsid w:val="00105D80"/>
    <w:rsid w:val="001149F0"/>
    <w:rsid w:val="00134DA5"/>
    <w:rsid w:val="00176EC0"/>
    <w:rsid w:val="00177A49"/>
    <w:rsid w:val="001A42F4"/>
    <w:rsid w:val="001A74D2"/>
    <w:rsid w:val="001B4D6E"/>
    <w:rsid w:val="001D06E8"/>
    <w:rsid w:val="00202E50"/>
    <w:rsid w:val="00217D31"/>
    <w:rsid w:val="00247965"/>
    <w:rsid w:val="0025586B"/>
    <w:rsid w:val="002C339F"/>
    <w:rsid w:val="002D29DE"/>
    <w:rsid w:val="003F4E30"/>
    <w:rsid w:val="0048418F"/>
    <w:rsid w:val="004E32C0"/>
    <w:rsid w:val="00530732"/>
    <w:rsid w:val="00544BC3"/>
    <w:rsid w:val="00546A7B"/>
    <w:rsid w:val="00592989"/>
    <w:rsid w:val="00691462"/>
    <w:rsid w:val="006A345F"/>
    <w:rsid w:val="006B2716"/>
    <w:rsid w:val="006D03F9"/>
    <w:rsid w:val="006E22F9"/>
    <w:rsid w:val="006F0F24"/>
    <w:rsid w:val="00722B45"/>
    <w:rsid w:val="0074167A"/>
    <w:rsid w:val="00747700"/>
    <w:rsid w:val="007713CA"/>
    <w:rsid w:val="007B1538"/>
    <w:rsid w:val="007B192E"/>
    <w:rsid w:val="007D3B7A"/>
    <w:rsid w:val="007F1A93"/>
    <w:rsid w:val="00834C4A"/>
    <w:rsid w:val="00842325"/>
    <w:rsid w:val="00845145"/>
    <w:rsid w:val="008E650B"/>
    <w:rsid w:val="00911383"/>
    <w:rsid w:val="009710D3"/>
    <w:rsid w:val="00977B2B"/>
    <w:rsid w:val="009B5EC9"/>
    <w:rsid w:val="00A12027"/>
    <w:rsid w:val="00A1536E"/>
    <w:rsid w:val="00A87870"/>
    <w:rsid w:val="00AA5D2C"/>
    <w:rsid w:val="00AC13BE"/>
    <w:rsid w:val="00AE3749"/>
    <w:rsid w:val="00B21C04"/>
    <w:rsid w:val="00B22D6B"/>
    <w:rsid w:val="00B61E73"/>
    <w:rsid w:val="00B70459"/>
    <w:rsid w:val="00B93E8C"/>
    <w:rsid w:val="00B95C57"/>
    <w:rsid w:val="00BB0DC8"/>
    <w:rsid w:val="00BB13F3"/>
    <w:rsid w:val="00C21399"/>
    <w:rsid w:val="00C604EE"/>
    <w:rsid w:val="00CB3EB9"/>
    <w:rsid w:val="00D1092D"/>
    <w:rsid w:val="00D637BC"/>
    <w:rsid w:val="00D900B9"/>
    <w:rsid w:val="00E06B62"/>
    <w:rsid w:val="00E344F6"/>
    <w:rsid w:val="00E37B84"/>
    <w:rsid w:val="00E6134C"/>
    <w:rsid w:val="00E617D0"/>
    <w:rsid w:val="00E96170"/>
    <w:rsid w:val="00EA1A76"/>
    <w:rsid w:val="00F20CF0"/>
    <w:rsid w:val="00F5780B"/>
    <w:rsid w:val="00F91611"/>
    <w:rsid w:val="00FA432F"/>
    <w:rsid w:val="00FC1823"/>
    <w:rsid w:val="00FE0281"/>
    <w:rsid w:val="01D408F4"/>
    <w:rsid w:val="03D80B70"/>
    <w:rsid w:val="09CB4CD3"/>
    <w:rsid w:val="0B2B3C7B"/>
    <w:rsid w:val="0BA63302"/>
    <w:rsid w:val="11154F10"/>
    <w:rsid w:val="117619C8"/>
    <w:rsid w:val="11A26319"/>
    <w:rsid w:val="145F04F1"/>
    <w:rsid w:val="168406E3"/>
    <w:rsid w:val="16A11295"/>
    <w:rsid w:val="19235F91"/>
    <w:rsid w:val="19A14EBA"/>
    <w:rsid w:val="1AA50C28"/>
    <w:rsid w:val="1BC752FA"/>
    <w:rsid w:val="1E14114A"/>
    <w:rsid w:val="213F21BB"/>
    <w:rsid w:val="21FE57EE"/>
    <w:rsid w:val="249266C1"/>
    <w:rsid w:val="24A501A2"/>
    <w:rsid w:val="25F0544D"/>
    <w:rsid w:val="261455E0"/>
    <w:rsid w:val="2629095F"/>
    <w:rsid w:val="26FE003E"/>
    <w:rsid w:val="27EE3050"/>
    <w:rsid w:val="28AD3ACA"/>
    <w:rsid w:val="2B147A88"/>
    <w:rsid w:val="2BFE6AE3"/>
    <w:rsid w:val="2C882884"/>
    <w:rsid w:val="2E467DCB"/>
    <w:rsid w:val="2F2D326E"/>
    <w:rsid w:val="2F725125"/>
    <w:rsid w:val="2FAF0127"/>
    <w:rsid w:val="31293F09"/>
    <w:rsid w:val="332130EA"/>
    <w:rsid w:val="33FB7DDF"/>
    <w:rsid w:val="35CE1630"/>
    <w:rsid w:val="35F03248"/>
    <w:rsid w:val="35F20D6E"/>
    <w:rsid w:val="364D2B40"/>
    <w:rsid w:val="364F4412"/>
    <w:rsid w:val="398268AC"/>
    <w:rsid w:val="3D684A66"/>
    <w:rsid w:val="3DAE5EC2"/>
    <w:rsid w:val="3EA370A9"/>
    <w:rsid w:val="3EFE4C27"/>
    <w:rsid w:val="3F7326A1"/>
    <w:rsid w:val="409967FE"/>
    <w:rsid w:val="40CF7425"/>
    <w:rsid w:val="445A1629"/>
    <w:rsid w:val="46C97B87"/>
    <w:rsid w:val="48F350D1"/>
    <w:rsid w:val="49184B37"/>
    <w:rsid w:val="49B52386"/>
    <w:rsid w:val="4AA242A1"/>
    <w:rsid w:val="4D2B308B"/>
    <w:rsid w:val="4DDD6A1E"/>
    <w:rsid w:val="4E1458CD"/>
    <w:rsid w:val="52952D55"/>
    <w:rsid w:val="54742D2A"/>
    <w:rsid w:val="5498339B"/>
    <w:rsid w:val="55E22755"/>
    <w:rsid w:val="563D3E2F"/>
    <w:rsid w:val="56F3081B"/>
    <w:rsid w:val="58801DB1"/>
    <w:rsid w:val="5A785436"/>
    <w:rsid w:val="5C0276AD"/>
    <w:rsid w:val="5C98031D"/>
    <w:rsid w:val="5DED0326"/>
    <w:rsid w:val="5EA44A4C"/>
    <w:rsid w:val="5F313E05"/>
    <w:rsid w:val="6008100A"/>
    <w:rsid w:val="60502261"/>
    <w:rsid w:val="608A1A1F"/>
    <w:rsid w:val="60E27AAD"/>
    <w:rsid w:val="621F7379"/>
    <w:rsid w:val="6262370F"/>
    <w:rsid w:val="62EE45F6"/>
    <w:rsid w:val="6324615B"/>
    <w:rsid w:val="63495BC1"/>
    <w:rsid w:val="63D80CF3"/>
    <w:rsid w:val="65FC562E"/>
    <w:rsid w:val="667E2026"/>
    <w:rsid w:val="66EC6046"/>
    <w:rsid w:val="68686AEA"/>
    <w:rsid w:val="69180510"/>
    <w:rsid w:val="6B3A04A6"/>
    <w:rsid w:val="6B673089"/>
    <w:rsid w:val="6B792DBC"/>
    <w:rsid w:val="6C311563"/>
    <w:rsid w:val="6C430DEB"/>
    <w:rsid w:val="6FB36126"/>
    <w:rsid w:val="70D867D7"/>
    <w:rsid w:val="718C1A9B"/>
    <w:rsid w:val="7205184D"/>
    <w:rsid w:val="72361A07"/>
    <w:rsid w:val="744F5002"/>
    <w:rsid w:val="755B616D"/>
    <w:rsid w:val="756C079A"/>
    <w:rsid w:val="75774810"/>
    <w:rsid w:val="765E777E"/>
    <w:rsid w:val="78420121"/>
    <w:rsid w:val="7AF97A75"/>
    <w:rsid w:val="7D1019AB"/>
    <w:rsid w:val="7D2F777E"/>
    <w:rsid w:val="7E3E31D5"/>
    <w:rsid w:val="7F17771C"/>
    <w:rsid w:val="7FCF2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rPr>
      <w:i/>
      <w:iCs/>
    </w:rPr>
  </w:style>
  <w:style w:type="character" w:customStyle="1" w:styleId="8">
    <w:name w:val="exp_text1"/>
    <w:basedOn w:val="6"/>
    <w:qFormat/>
    <w:uiPriority w:val="0"/>
    <w:rPr>
      <w:color w:val="000000"/>
    </w:rPr>
  </w:style>
  <w:style w:type="character" w:customStyle="1" w:styleId="9">
    <w:name w:val="批注框文本 字符"/>
    <w:basedOn w:val="6"/>
    <w:link w:val="2"/>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页眉 字符"/>
    <w:basedOn w:val="6"/>
    <w:link w:val="4"/>
    <w:qFormat/>
    <w:uiPriority w:val="99"/>
    <w:rPr>
      <w:sz w:val="18"/>
      <w:szCs w:val="18"/>
    </w:rPr>
  </w:style>
  <w:style w:type="character" w:customStyle="1" w:styleId="12">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8.tiff"/><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1467</Words>
  <Characters>6977</Characters>
  <Lines>49</Lines>
  <Paragraphs>13</Paragraphs>
  <TotalTime>7</TotalTime>
  <ScaleCrop>false</ScaleCrop>
  <LinksUpToDate>false</LinksUpToDate>
  <CharactersWithSpaces>8162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2022-07-09T08:38:00Z</dcterms:created>
  <dc:creator>song bin</dc:creator>
  <cp:lastModifiedBy>郑婷婷</cp:lastModifiedBy>
  <dcterms:modified xsi:type="dcterms:W3CDTF">2023-09-22T10:58:59Z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3E88BA7A5D51432A87A26E67C3B7FC81_13</vt:lpwstr>
  </property>
</Properties>
</file>