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2B43B9" w14:textId="77777777" w:rsidR="00E96188" w:rsidRDefault="00E96188" w:rsidP="00555D69">
      <w:pPr>
        <w:rPr>
          <w:rFonts w:ascii="Times New Roman" w:hAnsi="Times New Roman" w:cs="Times New Roman"/>
          <w:b/>
          <w:bCs/>
        </w:rPr>
      </w:pPr>
      <w:r w:rsidRPr="00E96188">
        <w:rPr>
          <w:rFonts w:ascii="Times New Roman" w:hAnsi="Times New Roman" w:cs="Times New Roman"/>
          <w:b/>
          <w:bCs/>
        </w:rPr>
        <w:t>Three South African silcrete sources can be identified regardless of heat treatment using solution ICP-MS and LA-ICP-MS</w:t>
      </w:r>
    </w:p>
    <w:p w14:paraId="138B3ADF" w14:textId="5831BEE9" w:rsidR="00555D69" w:rsidRPr="00555D69" w:rsidRDefault="00555D69" w:rsidP="00555D69">
      <w:pPr>
        <w:rPr>
          <w:rFonts w:ascii="Times New Roman" w:hAnsi="Times New Roman" w:cs="Times New Roman"/>
          <w:sz w:val="22"/>
          <w:szCs w:val="22"/>
        </w:rPr>
      </w:pPr>
      <w:r w:rsidRPr="00555D69">
        <w:rPr>
          <w:rFonts w:ascii="Times New Roman" w:hAnsi="Times New Roman" w:cs="Times New Roman"/>
          <w:sz w:val="22"/>
          <w:szCs w:val="22"/>
        </w:rPr>
        <w:t>Jayde N. Hirniak</w:t>
      </w:r>
      <w:r w:rsidRPr="00555D69">
        <w:rPr>
          <w:rFonts w:ascii="Times New Roman" w:hAnsi="Times New Roman" w:cs="Times New Roman"/>
          <w:sz w:val="22"/>
          <w:szCs w:val="22"/>
          <w:vertAlign w:val="superscript"/>
        </w:rPr>
        <w:t>1,2</w:t>
      </w:r>
      <w:r w:rsidR="00670818">
        <w:rPr>
          <w:rFonts w:ascii="Times New Roman" w:hAnsi="Times New Roman" w:cs="Times New Roman"/>
          <w:sz w:val="22"/>
          <w:szCs w:val="22"/>
          <w:vertAlign w:val="superscript"/>
        </w:rPr>
        <w:t>*</w:t>
      </w:r>
      <w:r w:rsidRPr="00555D69">
        <w:rPr>
          <w:rFonts w:ascii="Times New Roman" w:hAnsi="Times New Roman" w:cs="Times New Roman"/>
          <w:sz w:val="22"/>
          <w:szCs w:val="22"/>
        </w:rPr>
        <w:t>, John K. Murray</w:t>
      </w:r>
      <w:r w:rsidRPr="00555D69">
        <w:rPr>
          <w:rFonts w:ascii="Times New Roman" w:hAnsi="Times New Roman" w:cs="Times New Roman"/>
          <w:sz w:val="22"/>
          <w:szCs w:val="22"/>
          <w:vertAlign w:val="superscript"/>
        </w:rPr>
        <w:t>1,2</w:t>
      </w:r>
      <w:r w:rsidRPr="00555D69">
        <w:rPr>
          <w:rFonts w:ascii="Times New Roman" w:hAnsi="Times New Roman" w:cs="Times New Roman"/>
          <w:sz w:val="22"/>
          <w:szCs w:val="22"/>
        </w:rPr>
        <w:t>, and Andrew M. Zipkin</w:t>
      </w:r>
      <w:r w:rsidRPr="00555D69">
        <w:rPr>
          <w:rFonts w:ascii="Times New Roman" w:hAnsi="Times New Roman" w:cs="Times New Roman"/>
          <w:sz w:val="22"/>
          <w:szCs w:val="22"/>
          <w:vertAlign w:val="superscript"/>
        </w:rPr>
        <w:t>2,3</w:t>
      </w:r>
    </w:p>
    <w:p w14:paraId="5F5E2938" w14:textId="77777777" w:rsidR="00555D69" w:rsidRPr="00555D69" w:rsidRDefault="00555D69" w:rsidP="00555D69">
      <w:pPr>
        <w:rPr>
          <w:rFonts w:ascii="Times New Roman" w:hAnsi="Times New Roman" w:cs="Times New Roman"/>
          <w:sz w:val="28"/>
          <w:szCs w:val="28"/>
        </w:rPr>
      </w:pPr>
    </w:p>
    <w:p w14:paraId="3A6029A1" w14:textId="77777777" w:rsidR="00555D69" w:rsidRPr="00555D69" w:rsidRDefault="00555D69" w:rsidP="00555D69">
      <w:pPr>
        <w:rPr>
          <w:rFonts w:ascii="Times New Roman" w:hAnsi="Times New Roman" w:cs="Times New Roman"/>
          <w:sz w:val="21"/>
          <w:szCs w:val="21"/>
        </w:rPr>
      </w:pPr>
      <w:r w:rsidRPr="00555D69">
        <w:rPr>
          <w:rFonts w:ascii="Times New Roman" w:hAnsi="Times New Roman" w:cs="Times New Roman"/>
          <w:sz w:val="21"/>
          <w:szCs w:val="21"/>
          <w:vertAlign w:val="superscript"/>
        </w:rPr>
        <w:t>1</w:t>
      </w:r>
      <w:r w:rsidRPr="00555D69">
        <w:rPr>
          <w:rFonts w:ascii="Times New Roman" w:hAnsi="Times New Roman" w:cs="Times New Roman"/>
          <w:sz w:val="21"/>
          <w:szCs w:val="21"/>
        </w:rPr>
        <w:t>Institute of Human Origins, Arizona State University, PO Box 878404, Tempe, AZ, 85287-8404, USA</w:t>
      </w:r>
    </w:p>
    <w:p w14:paraId="1629C8A0" w14:textId="77777777" w:rsidR="00555D69" w:rsidRPr="00555D69" w:rsidRDefault="00555D69" w:rsidP="00555D69">
      <w:pPr>
        <w:rPr>
          <w:rFonts w:ascii="Times New Roman" w:hAnsi="Times New Roman" w:cs="Times New Roman"/>
          <w:sz w:val="21"/>
          <w:szCs w:val="21"/>
        </w:rPr>
      </w:pPr>
      <w:r w:rsidRPr="00555D69">
        <w:rPr>
          <w:rFonts w:ascii="Times New Roman" w:hAnsi="Times New Roman" w:cs="Times New Roman"/>
          <w:sz w:val="21"/>
          <w:szCs w:val="21"/>
          <w:vertAlign w:val="superscript"/>
        </w:rPr>
        <w:t xml:space="preserve">2 </w:t>
      </w:r>
      <w:r w:rsidRPr="00555D69">
        <w:rPr>
          <w:rFonts w:ascii="Times New Roman" w:hAnsi="Times New Roman" w:cs="Times New Roman"/>
          <w:sz w:val="21"/>
          <w:szCs w:val="21"/>
        </w:rPr>
        <w:t xml:space="preserve">School of Human Evolution and Social Change, Arizona State University, PO Box 872402, Tempe, AZ, 85287‐4101, USA </w:t>
      </w:r>
    </w:p>
    <w:p w14:paraId="5C02725F" w14:textId="77777777" w:rsidR="00555D69" w:rsidRDefault="00555D69" w:rsidP="00555D69">
      <w:pPr>
        <w:rPr>
          <w:rFonts w:ascii="Times New Roman" w:hAnsi="Times New Roman" w:cs="Times New Roman"/>
          <w:sz w:val="21"/>
          <w:szCs w:val="21"/>
        </w:rPr>
      </w:pPr>
      <w:r w:rsidRPr="00555D69">
        <w:rPr>
          <w:rFonts w:ascii="Times New Roman" w:hAnsi="Times New Roman" w:cs="Times New Roman"/>
          <w:sz w:val="21"/>
          <w:szCs w:val="21"/>
          <w:vertAlign w:val="superscript"/>
        </w:rPr>
        <w:t>3</w:t>
      </w:r>
      <w:r w:rsidRPr="00555D69">
        <w:rPr>
          <w:rFonts w:ascii="Times New Roman" w:hAnsi="Times New Roman" w:cs="Times New Roman"/>
          <w:sz w:val="21"/>
          <w:szCs w:val="21"/>
        </w:rPr>
        <w:t>Eurofins EAG Laboratories, Materials Science, 103 Commerce Blvd, Liverpool, NY, USA</w:t>
      </w:r>
    </w:p>
    <w:p w14:paraId="42668840" w14:textId="77777777" w:rsidR="00670818" w:rsidRDefault="00670818" w:rsidP="00555D69">
      <w:pPr>
        <w:rPr>
          <w:rFonts w:ascii="Times New Roman" w:hAnsi="Times New Roman" w:cs="Times New Roman"/>
          <w:sz w:val="21"/>
          <w:szCs w:val="21"/>
        </w:rPr>
      </w:pPr>
    </w:p>
    <w:p w14:paraId="14929145" w14:textId="323EB22E" w:rsidR="00670818" w:rsidRDefault="00670818" w:rsidP="00555D69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*Corresponding author: </w:t>
      </w:r>
      <w:hyperlink r:id="rId5" w:history="1">
        <w:r w:rsidR="003D51FD" w:rsidRPr="00495457">
          <w:rPr>
            <w:rStyle w:val="Hyperlink"/>
            <w:rFonts w:ascii="Times New Roman" w:hAnsi="Times New Roman" w:cs="Times New Roman"/>
            <w:sz w:val="21"/>
            <w:szCs w:val="21"/>
          </w:rPr>
          <w:t>jhirniak@asu.edu</w:t>
        </w:r>
      </w:hyperlink>
    </w:p>
    <w:p w14:paraId="71CEBCB4" w14:textId="77777777" w:rsidR="003D51FD" w:rsidRDefault="003D51FD" w:rsidP="00555D69">
      <w:pPr>
        <w:rPr>
          <w:rFonts w:ascii="Times New Roman" w:hAnsi="Times New Roman" w:cs="Times New Roman"/>
          <w:sz w:val="21"/>
          <w:szCs w:val="21"/>
        </w:rPr>
      </w:pPr>
    </w:p>
    <w:p w14:paraId="69E8E17B" w14:textId="77777777" w:rsidR="003D51FD" w:rsidRPr="001A2D21" w:rsidRDefault="003D51FD" w:rsidP="003D51FD"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 w:rsidRPr="001A2D21">
        <w:rPr>
          <w:rFonts w:ascii="Times New Roman" w:hAnsi="Times New Roman" w:cs="Times New Roman"/>
          <w:sz w:val="21"/>
          <w:szCs w:val="21"/>
        </w:rPr>
        <w:t>Jayde N. Hirniak:</w:t>
      </w:r>
      <w:r w:rsidRPr="001A2D21">
        <w:rPr>
          <w:sz w:val="21"/>
          <w:szCs w:val="21"/>
        </w:rPr>
        <w:t xml:space="preserve"> </w:t>
      </w:r>
      <w:hyperlink r:id="rId6" w:history="1">
        <w:r w:rsidRPr="001A2D21">
          <w:rPr>
            <w:rStyle w:val="Hyperlink"/>
            <w:rFonts w:ascii="Times New Roman" w:hAnsi="Times New Roman" w:cs="Times New Roman"/>
            <w:sz w:val="21"/>
            <w:szCs w:val="21"/>
          </w:rPr>
          <w:t>https://orcid.org/0000-0001-6491-8097</w:t>
        </w:r>
      </w:hyperlink>
    </w:p>
    <w:p w14:paraId="261F18EE" w14:textId="77777777" w:rsidR="003D51FD" w:rsidRPr="001A2D21" w:rsidRDefault="003D51FD" w:rsidP="003D51FD"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 w:rsidRPr="001A2D21">
        <w:rPr>
          <w:rFonts w:ascii="Times New Roman" w:hAnsi="Times New Roman" w:cs="Times New Roman"/>
          <w:sz w:val="21"/>
          <w:szCs w:val="21"/>
        </w:rPr>
        <w:t xml:space="preserve">John K. Murray: </w:t>
      </w:r>
      <w:hyperlink r:id="rId7" w:tgtFrame="_blank" w:history="1">
        <w:r w:rsidRPr="001A2D21">
          <w:rPr>
            <w:rFonts w:ascii="Times New Roman" w:hAnsi="Times New Roman" w:cs="Times New Roman"/>
            <w:color w:val="1155CC"/>
            <w:sz w:val="21"/>
            <w:szCs w:val="21"/>
            <w:u w:val="single"/>
            <w:shd w:val="clear" w:color="auto" w:fill="FFFFFF"/>
          </w:rPr>
          <w:t>https://orcid.org/0000-0002-8413-350X</w:t>
        </w:r>
      </w:hyperlink>
    </w:p>
    <w:p w14:paraId="120C35DC" w14:textId="77777777" w:rsidR="003D51FD" w:rsidRPr="001A2D21" w:rsidRDefault="003D51FD" w:rsidP="003D51FD"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 w:rsidRPr="001A2D21">
        <w:rPr>
          <w:rFonts w:ascii="Times New Roman" w:hAnsi="Times New Roman" w:cs="Times New Roman"/>
          <w:sz w:val="21"/>
          <w:szCs w:val="21"/>
        </w:rPr>
        <w:t xml:space="preserve">Andrew M. </w:t>
      </w:r>
      <w:proofErr w:type="spellStart"/>
      <w:r w:rsidRPr="001A2D21">
        <w:rPr>
          <w:rFonts w:ascii="Times New Roman" w:hAnsi="Times New Roman" w:cs="Times New Roman"/>
          <w:sz w:val="21"/>
          <w:szCs w:val="21"/>
        </w:rPr>
        <w:t>Zipkin</w:t>
      </w:r>
      <w:proofErr w:type="spellEnd"/>
      <w:r w:rsidRPr="001A2D21">
        <w:rPr>
          <w:rFonts w:ascii="Times New Roman" w:hAnsi="Times New Roman" w:cs="Times New Roman"/>
          <w:sz w:val="21"/>
          <w:szCs w:val="21"/>
        </w:rPr>
        <w:t xml:space="preserve">: </w:t>
      </w:r>
      <w:hyperlink r:id="rId8" w:history="1">
        <w:r w:rsidRPr="001A2D21">
          <w:rPr>
            <w:rStyle w:val="Hyperlink"/>
            <w:rFonts w:ascii="Times New Roman" w:hAnsi="Times New Roman" w:cs="Times New Roman"/>
            <w:sz w:val="21"/>
            <w:szCs w:val="21"/>
          </w:rPr>
          <w:t>https://orcid.org/0000-0002-3813-8051</w:t>
        </w:r>
      </w:hyperlink>
    </w:p>
    <w:p w14:paraId="5A9A3B7C" w14:textId="77777777" w:rsidR="003D51FD" w:rsidRPr="00555D69" w:rsidRDefault="003D51FD" w:rsidP="00555D69">
      <w:pPr>
        <w:rPr>
          <w:rFonts w:ascii="Times New Roman" w:hAnsi="Times New Roman" w:cs="Times New Roman"/>
          <w:sz w:val="21"/>
          <w:szCs w:val="21"/>
        </w:rPr>
      </w:pPr>
    </w:p>
    <w:p w14:paraId="04F39FBD" w14:textId="20667F74" w:rsidR="00BB59C4" w:rsidRDefault="00555D69" w:rsidP="00FC5F95">
      <w:pPr>
        <w:spacing w:line="480" w:lineRule="auto"/>
        <w:rPr>
          <w:rFonts w:ascii="Times New Roman" w:hAnsi="Times New Roman" w:cs="Times New Roman"/>
          <w:b/>
          <w:bCs/>
        </w:rPr>
      </w:pPr>
      <w:r w:rsidRPr="00555D69">
        <w:rPr>
          <w:rFonts w:ascii="Times New Roman" w:hAnsi="Times New Roman" w:cs="Times New Roman"/>
          <w:b/>
          <w:bCs/>
        </w:rPr>
        <w:t>Supplementary Files</w:t>
      </w:r>
    </w:p>
    <w:p w14:paraId="5A216979" w14:textId="77777777" w:rsidR="00FC5F95" w:rsidRDefault="00FC5F95" w:rsidP="00FC5F95">
      <w:pPr>
        <w:rPr>
          <w:rFonts w:ascii="Times New Roman" w:hAnsi="Times New Roman" w:cs="Times New Roman"/>
        </w:rPr>
      </w:pPr>
      <w:r w:rsidRPr="001D0A96">
        <w:rPr>
          <w:rFonts w:ascii="Times New Roman" w:hAnsi="Times New Roman" w:cs="Times New Roman"/>
          <w:noProof/>
        </w:rPr>
        <w:drawing>
          <wp:inline distT="0" distB="0" distL="0" distR="0" wp14:anchorId="5374EF08" wp14:editId="4802EC8F">
            <wp:extent cx="6254496" cy="3474720"/>
            <wp:effectExtent l="0" t="0" r="6985" b="17780"/>
            <wp:docPr id="1044523963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B670982B-8DB8-1815-774A-9ECD486D8C8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4ED81A47" w14:textId="298EDCB9" w:rsidR="00FC5F95" w:rsidRDefault="00FC5F95" w:rsidP="00FC5F95">
      <w:pPr>
        <w:rPr>
          <w:rFonts w:ascii="Times New Roman" w:hAnsi="Times New Roman" w:cs="Times New Roman"/>
        </w:rPr>
      </w:pPr>
      <w:r w:rsidRPr="00555D69"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>1.</w:t>
      </w:r>
      <w:r w:rsidRPr="00555D69">
        <w:rPr>
          <w:rFonts w:ascii="Times New Roman" w:hAnsi="Times New Roman" w:cs="Times New Roman"/>
        </w:rPr>
        <w:t xml:space="preserve"> </w:t>
      </w:r>
      <w:r w:rsidR="00783B98">
        <w:rPr>
          <w:rFonts w:ascii="Times New Roman" w:hAnsi="Times New Roman" w:cs="Times New Roman"/>
        </w:rPr>
        <w:t>Change in concentration of elements (ppm) following heating</w:t>
      </w:r>
      <w:r>
        <w:rPr>
          <w:rFonts w:ascii="Times New Roman" w:hAnsi="Times New Roman" w:cs="Times New Roman"/>
        </w:rPr>
        <w:t xml:space="preserve"> for source E3. Values below the dotted line indicate a decrease in concentrations following heating.</w:t>
      </w:r>
    </w:p>
    <w:p w14:paraId="67A90493" w14:textId="77777777" w:rsidR="00FC5F95" w:rsidRPr="00FC5F95" w:rsidRDefault="00FC5F95" w:rsidP="00FC5F9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7173E014" w14:textId="77777777" w:rsidR="00AE692A" w:rsidRPr="00555D69" w:rsidRDefault="00AE692A">
      <w:pPr>
        <w:rPr>
          <w:rFonts w:ascii="Times New Roman" w:hAnsi="Times New Roman" w:cs="Times New Roman"/>
        </w:rPr>
      </w:pPr>
    </w:p>
    <w:p w14:paraId="0F17FC72" w14:textId="61579B23" w:rsidR="00AE692A" w:rsidRDefault="001D0A96">
      <w:pPr>
        <w:rPr>
          <w:rFonts w:ascii="Times New Roman" w:hAnsi="Times New Roman" w:cs="Times New Roman"/>
        </w:rPr>
      </w:pPr>
      <w:r w:rsidRPr="001D0A9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8E7757D" wp14:editId="4F3A9483">
            <wp:extent cx="6250940" cy="3474720"/>
            <wp:effectExtent l="0" t="0" r="9525" b="17780"/>
            <wp:docPr id="41017309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25D696B6-A95B-4A9C-46C5-1239C06D3F3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019ABC7E" w14:textId="77777777" w:rsidR="006A3FC9" w:rsidRDefault="006A3FC9">
      <w:pPr>
        <w:rPr>
          <w:rFonts w:ascii="Times New Roman" w:hAnsi="Times New Roman" w:cs="Times New Roman"/>
        </w:rPr>
      </w:pPr>
    </w:p>
    <w:p w14:paraId="6190BD86" w14:textId="43A4EE95" w:rsidR="006A3FC9" w:rsidRDefault="006A3FC9">
      <w:pPr>
        <w:rPr>
          <w:rFonts w:ascii="Times New Roman" w:hAnsi="Times New Roman" w:cs="Times New Roman"/>
        </w:rPr>
      </w:pPr>
      <w:r w:rsidRPr="00555D69"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>2</w:t>
      </w:r>
      <w:r w:rsidRPr="00555D69">
        <w:rPr>
          <w:rFonts w:ascii="Times New Roman" w:hAnsi="Times New Roman" w:cs="Times New Roman"/>
          <w:b/>
          <w:bCs/>
        </w:rPr>
        <w:t>.</w:t>
      </w:r>
      <w:r w:rsidRPr="00555D69">
        <w:rPr>
          <w:rFonts w:ascii="Times New Roman" w:hAnsi="Times New Roman" w:cs="Times New Roman"/>
        </w:rPr>
        <w:t xml:space="preserve"> </w:t>
      </w:r>
      <w:r w:rsidR="00783B98">
        <w:rPr>
          <w:rFonts w:ascii="Times New Roman" w:hAnsi="Times New Roman" w:cs="Times New Roman"/>
        </w:rPr>
        <w:t>Change in concentration of elements (ppm) following heating</w:t>
      </w:r>
      <w:r>
        <w:rPr>
          <w:rFonts w:ascii="Times New Roman" w:hAnsi="Times New Roman" w:cs="Times New Roman"/>
        </w:rPr>
        <w:t xml:space="preserve"> for source I14. </w:t>
      </w:r>
      <w:r w:rsidR="00416527">
        <w:rPr>
          <w:rFonts w:ascii="Times New Roman" w:hAnsi="Times New Roman" w:cs="Times New Roman"/>
        </w:rPr>
        <w:t>Values below the dotted line indicate a decrease in concentrations following heating.</w:t>
      </w:r>
    </w:p>
    <w:p w14:paraId="3CA40823" w14:textId="77777777" w:rsidR="006A3FC9" w:rsidRDefault="006A3FC9">
      <w:pPr>
        <w:rPr>
          <w:rFonts w:ascii="Times New Roman" w:hAnsi="Times New Roman" w:cs="Times New Roman"/>
        </w:rPr>
      </w:pPr>
    </w:p>
    <w:p w14:paraId="4FFAAE44" w14:textId="77777777" w:rsidR="001D0A96" w:rsidRDefault="001D0A96">
      <w:pPr>
        <w:rPr>
          <w:rFonts w:ascii="Times New Roman" w:hAnsi="Times New Roman" w:cs="Times New Roman"/>
        </w:rPr>
      </w:pPr>
    </w:p>
    <w:p w14:paraId="556C7400" w14:textId="4E8850CD" w:rsidR="001D0A96" w:rsidRDefault="001D0A96">
      <w:pPr>
        <w:rPr>
          <w:rFonts w:ascii="Times New Roman" w:hAnsi="Times New Roman" w:cs="Times New Roman"/>
        </w:rPr>
      </w:pPr>
      <w:r w:rsidRPr="001D0A96">
        <w:rPr>
          <w:rFonts w:ascii="Times New Roman" w:hAnsi="Times New Roman" w:cs="Times New Roman"/>
          <w:noProof/>
        </w:rPr>
        <w:drawing>
          <wp:inline distT="0" distB="0" distL="0" distR="0" wp14:anchorId="5E909E7D" wp14:editId="3C711C29">
            <wp:extent cx="6250940" cy="3474720"/>
            <wp:effectExtent l="0" t="0" r="10160" b="17780"/>
            <wp:docPr id="1931488087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F0DA0C50-397A-6270-2FAB-10786800940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42D50A6C" w14:textId="225AAD14" w:rsidR="00416527" w:rsidRDefault="00416527" w:rsidP="00416527">
      <w:pPr>
        <w:rPr>
          <w:rFonts w:ascii="Times New Roman" w:hAnsi="Times New Roman" w:cs="Times New Roman"/>
        </w:rPr>
      </w:pPr>
      <w:r w:rsidRPr="00555D69"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>3</w:t>
      </w:r>
      <w:r w:rsidRPr="00555D69">
        <w:rPr>
          <w:rFonts w:ascii="Times New Roman" w:hAnsi="Times New Roman" w:cs="Times New Roman"/>
          <w:b/>
          <w:bCs/>
        </w:rPr>
        <w:t>.</w:t>
      </w:r>
      <w:r w:rsidRPr="00555D69">
        <w:rPr>
          <w:rFonts w:ascii="Times New Roman" w:hAnsi="Times New Roman" w:cs="Times New Roman"/>
        </w:rPr>
        <w:t xml:space="preserve"> </w:t>
      </w:r>
      <w:r w:rsidR="00783B98">
        <w:rPr>
          <w:rFonts w:ascii="Times New Roman" w:hAnsi="Times New Roman" w:cs="Times New Roman"/>
        </w:rPr>
        <w:t xml:space="preserve">Change in concentration of elements (ppm) following heating </w:t>
      </w:r>
      <w:r>
        <w:rPr>
          <w:rFonts w:ascii="Times New Roman" w:hAnsi="Times New Roman" w:cs="Times New Roman"/>
        </w:rPr>
        <w:t>for source D9. Values below the dotted line indicate a decrease in concentrations following heating.</w:t>
      </w:r>
    </w:p>
    <w:p w14:paraId="48F9DC3E" w14:textId="77777777" w:rsidR="00FC5F95" w:rsidRDefault="00FC5F95" w:rsidP="00416527">
      <w:pPr>
        <w:rPr>
          <w:rFonts w:ascii="Times New Roman" w:hAnsi="Times New Roman" w:cs="Times New Roman"/>
        </w:rPr>
      </w:pPr>
    </w:p>
    <w:p w14:paraId="3E5C72EE" w14:textId="77777777" w:rsidR="00FC5F95" w:rsidRPr="00555D69" w:rsidRDefault="00FC5F95" w:rsidP="00FC5F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4C4E97E" wp14:editId="413E8F85">
            <wp:extent cx="5934075" cy="4000500"/>
            <wp:effectExtent l="0" t="0" r="9525" b="0"/>
            <wp:docPr id="8802677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B1F304" w14:textId="53A9057D" w:rsidR="00FC5F95" w:rsidRPr="008E0D59" w:rsidRDefault="00FC5F95" w:rsidP="00FC5F95">
      <w:pPr>
        <w:rPr>
          <w:rFonts w:ascii="Times New Roman" w:hAnsi="Times New Roman" w:cs="Times New Roman"/>
        </w:rPr>
      </w:pPr>
      <w:r w:rsidRPr="00555D69"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>4</w:t>
      </w:r>
      <w:r w:rsidRPr="00555D69">
        <w:rPr>
          <w:rFonts w:ascii="Times New Roman" w:hAnsi="Times New Roman" w:cs="Times New Roman"/>
          <w:b/>
          <w:bCs/>
        </w:rPr>
        <w:t>.</w:t>
      </w:r>
      <w:r w:rsidRPr="00555D6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Results from a Principal Component Analysis </w:t>
      </w:r>
      <w:r w:rsidRPr="008E0D59">
        <w:rPr>
          <w:rFonts w:ascii="Times New Roman" w:hAnsi="Times New Roman" w:cs="Times New Roman"/>
        </w:rPr>
        <w:t>for source and treatment</w:t>
      </w:r>
      <w:r>
        <w:rPr>
          <w:rFonts w:ascii="Times New Roman" w:hAnsi="Times New Roman" w:cs="Times New Roman"/>
        </w:rPr>
        <w:t xml:space="preserve"> on solution ICP-MS data. </w:t>
      </w:r>
      <w:r w:rsidRPr="008E0D59">
        <w:rPr>
          <w:rFonts w:ascii="Times New Roman" w:hAnsi="Times New Roman" w:cs="Times New Roman"/>
        </w:rPr>
        <w:t xml:space="preserve">Analyses were completed using JMP Statistical Software. </w:t>
      </w:r>
      <w:r>
        <w:rPr>
          <w:rFonts w:ascii="Times New Roman" w:hAnsi="Times New Roman" w:cs="Times New Roman"/>
        </w:rPr>
        <w:t>All data is log transformed. We included all elements (n=68) in this analysis). Principal Component 1</w:t>
      </w:r>
      <w:r w:rsidRPr="008E0D59">
        <w:rPr>
          <w:rFonts w:ascii="Times New Roman" w:hAnsi="Times New Roman" w:cs="Times New Roman"/>
        </w:rPr>
        <w:t xml:space="preserve"> accounts for </w:t>
      </w:r>
      <w:r>
        <w:rPr>
          <w:rFonts w:ascii="Times New Roman" w:hAnsi="Times New Roman" w:cs="Times New Roman"/>
        </w:rPr>
        <w:t>42.1</w:t>
      </w:r>
      <w:r w:rsidRPr="008E0D59">
        <w:rPr>
          <w:rFonts w:ascii="Times New Roman" w:hAnsi="Times New Roman" w:cs="Times New Roman"/>
        </w:rPr>
        <w:t xml:space="preserve">% of variation and </w:t>
      </w:r>
      <w:r>
        <w:rPr>
          <w:rFonts w:ascii="Times New Roman" w:hAnsi="Times New Roman" w:cs="Times New Roman"/>
        </w:rPr>
        <w:t>Principal Component 2</w:t>
      </w:r>
      <w:r w:rsidRPr="008E0D59">
        <w:rPr>
          <w:rFonts w:ascii="Times New Roman" w:hAnsi="Times New Roman" w:cs="Times New Roman"/>
        </w:rPr>
        <w:t xml:space="preserve"> accounts for </w:t>
      </w:r>
      <w:r>
        <w:rPr>
          <w:rFonts w:ascii="Times New Roman" w:hAnsi="Times New Roman" w:cs="Times New Roman"/>
        </w:rPr>
        <w:t>25.3</w:t>
      </w:r>
      <w:r w:rsidRPr="008E0D59">
        <w:rPr>
          <w:rFonts w:ascii="Times New Roman" w:hAnsi="Times New Roman" w:cs="Times New Roman"/>
        </w:rPr>
        <w:t xml:space="preserve">% of variation. </w:t>
      </w:r>
    </w:p>
    <w:p w14:paraId="24BB3E94" w14:textId="77777777" w:rsidR="00FC5F95" w:rsidRDefault="00FC5F95" w:rsidP="00416527">
      <w:pPr>
        <w:rPr>
          <w:rFonts w:ascii="Times New Roman" w:hAnsi="Times New Roman" w:cs="Times New Roman"/>
        </w:rPr>
      </w:pPr>
    </w:p>
    <w:p w14:paraId="3A602E9A" w14:textId="77777777" w:rsidR="00416527" w:rsidRPr="00555D69" w:rsidRDefault="00416527">
      <w:pPr>
        <w:rPr>
          <w:rFonts w:ascii="Times New Roman" w:hAnsi="Times New Roman" w:cs="Times New Roman"/>
        </w:rPr>
      </w:pPr>
    </w:p>
    <w:sectPr w:rsidR="00416527" w:rsidRPr="00555D69" w:rsidSect="00861D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91959"/>
    <w:multiLevelType w:val="hybridMultilevel"/>
    <w:tmpl w:val="5EF8D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816CA8"/>
    <w:multiLevelType w:val="hybridMultilevel"/>
    <w:tmpl w:val="8D86C3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2063332">
    <w:abstractNumId w:val="0"/>
  </w:num>
  <w:num w:numId="2" w16cid:durableId="11818202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92A"/>
    <w:rsid w:val="00011958"/>
    <w:rsid w:val="0001371F"/>
    <w:rsid w:val="000507F8"/>
    <w:rsid w:val="000859A6"/>
    <w:rsid w:val="00090FA0"/>
    <w:rsid w:val="000A103D"/>
    <w:rsid w:val="000B0F88"/>
    <w:rsid w:val="000B63F2"/>
    <w:rsid w:val="000E6117"/>
    <w:rsid w:val="00135A7E"/>
    <w:rsid w:val="00144E02"/>
    <w:rsid w:val="00147B4D"/>
    <w:rsid w:val="00153659"/>
    <w:rsid w:val="00160711"/>
    <w:rsid w:val="00163C4E"/>
    <w:rsid w:val="00173D9D"/>
    <w:rsid w:val="001771A2"/>
    <w:rsid w:val="0018032C"/>
    <w:rsid w:val="001D0A96"/>
    <w:rsid w:val="001E44AD"/>
    <w:rsid w:val="00206FFB"/>
    <w:rsid w:val="00217FF2"/>
    <w:rsid w:val="002345A7"/>
    <w:rsid w:val="00242957"/>
    <w:rsid w:val="00250D58"/>
    <w:rsid w:val="00252037"/>
    <w:rsid w:val="002626BC"/>
    <w:rsid w:val="00266F16"/>
    <w:rsid w:val="00280640"/>
    <w:rsid w:val="002B7802"/>
    <w:rsid w:val="00300ED6"/>
    <w:rsid w:val="00301C6F"/>
    <w:rsid w:val="00326C15"/>
    <w:rsid w:val="003379E9"/>
    <w:rsid w:val="003634AB"/>
    <w:rsid w:val="003706BB"/>
    <w:rsid w:val="00374CCD"/>
    <w:rsid w:val="00377735"/>
    <w:rsid w:val="003C40FF"/>
    <w:rsid w:val="003C7AE6"/>
    <w:rsid w:val="003D51FD"/>
    <w:rsid w:val="00416527"/>
    <w:rsid w:val="004367B6"/>
    <w:rsid w:val="00437080"/>
    <w:rsid w:val="0044797A"/>
    <w:rsid w:val="004666F4"/>
    <w:rsid w:val="00487C25"/>
    <w:rsid w:val="00492438"/>
    <w:rsid w:val="004A0CA8"/>
    <w:rsid w:val="004A4CA5"/>
    <w:rsid w:val="004B78FB"/>
    <w:rsid w:val="004F2AE0"/>
    <w:rsid w:val="00501FB6"/>
    <w:rsid w:val="00504492"/>
    <w:rsid w:val="0053235B"/>
    <w:rsid w:val="00555D69"/>
    <w:rsid w:val="00575E42"/>
    <w:rsid w:val="00597984"/>
    <w:rsid w:val="005A14E5"/>
    <w:rsid w:val="005F53EA"/>
    <w:rsid w:val="00623DA5"/>
    <w:rsid w:val="0064775B"/>
    <w:rsid w:val="006522CC"/>
    <w:rsid w:val="00670818"/>
    <w:rsid w:val="00672CDD"/>
    <w:rsid w:val="006A3FC9"/>
    <w:rsid w:val="006A4507"/>
    <w:rsid w:val="006B08A2"/>
    <w:rsid w:val="006B17D8"/>
    <w:rsid w:val="006B4BFA"/>
    <w:rsid w:val="006C5CED"/>
    <w:rsid w:val="006D7932"/>
    <w:rsid w:val="006F1210"/>
    <w:rsid w:val="006F7B11"/>
    <w:rsid w:val="00754C10"/>
    <w:rsid w:val="00783B98"/>
    <w:rsid w:val="00790983"/>
    <w:rsid w:val="007A237C"/>
    <w:rsid w:val="007A37AE"/>
    <w:rsid w:val="007D28C0"/>
    <w:rsid w:val="008065AE"/>
    <w:rsid w:val="00822ED8"/>
    <w:rsid w:val="0082519C"/>
    <w:rsid w:val="00854615"/>
    <w:rsid w:val="00861DD7"/>
    <w:rsid w:val="00862E68"/>
    <w:rsid w:val="0086658B"/>
    <w:rsid w:val="00872905"/>
    <w:rsid w:val="00882CA4"/>
    <w:rsid w:val="00883C4C"/>
    <w:rsid w:val="008A079F"/>
    <w:rsid w:val="008A65BF"/>
    <w:rsid w:val="008A78D9"/>
    <w:rsid w:val="008B4C71"/>
    <w:rsid w:val="008C69D1"/>
    <w:rsid w:val="008D32D3"/>
    <w:rsid w:val="008E0D59"/>
    <w:rsid w:val="008F52D4"/>
    <w:rsid w:val="0090341E"/>
    <w:rsid w:val="00937D08"/>
    <w:rsid w:val="0094649A"/>
    <w:rsid w:val="00952202"/>
    <w:rsid w:val="00967BC4"/>
    <w:rsid w:val="00996C11"/>
    <w:rsid w:val="009D4A13"/>
    <w:rsid w:val="009D6496"/>
    <w:rsid w:val="00A02CF5"/>
    <w:rsid w:val="00A75CC7"/>
    <w:rsid w:val="00AC3770"/>
    <w:rsid w:val="00AE692A"/>
    <w:rsid w:val="00AF1E7B"/>
    <w:rsid w:val="00B11399"/>
    <w:rsid w:val="00B50831"/>
    <w:rsid w:val="00B7211D"/>
    <w:rsid w:val="00B746B1"/>
    <w:rsid w:val="00B750D3"/>
    <w:rsid w:val="00B76837"/>
    <w:rsid w:val="00B84BCC"/>
    <w:rsid w:val="00B932CA"/>
    <w:rsid w:val="00B94E67"/>
    <w:rsid w:val="00B97417"/>
    <w:rsid w:val="00BB59C4"/>
    <w:rsid w:val="00BE12A9"/>
    <w:rsid w:val="00C20324"/>
    <w:rsid w:val="00C55DF0"/>
    <w:rsid w:val="00C61008"/>
    <w:rsid w:val="00C63505"/>
    <w:rsid w:val="00C66F5A"/>
    <w:rsid w:val="00CA3E48"/>
    <w:rsid w:val="00CB32E2"/>
    <w:rsid w:val="00CB5B00"/>
    <w:rsid w:val="00CB5C83"/>
    <w:rsid w:val="00CC06A1"/>
    <w:rsid w:val="00CD0EE1"/>
    <w:rsid w:val="00CD5361"/>
    <w:rsid w:val="00D10AF6"/>
    <w:rsid w:val="00D20117"/>
    <w:rsid w:val="00D26F9A"/>
    <w:rsid w:val="00D33BDA"/>
    <w:rsid w:val="00D4670D"/>
    <w:rsid w:val="00D71422"/>
    <w:rsid w:val="00D72579"/>
    <w:rsid w:val="00D738AB"/>
    <w:rsid w:val="00D761BC"/>
    <w:rsid w:val="00DB2DCF"/>
    <w:rsid w:val="00DB3970"/>
    <w:rsid w:val="00DB3FD3"/>
    <w:rsid w:val="00DD24F7"/>
    <w:rsid w:val="00DD3659"/>
    <w:rsid w:val="00DE4481"/>
    <w:rsid w:val="00DF2F65"/>
    <w:rsid w:val="00DF7CD2"/>
    <w:rsid w:val="00E23121"/>
    <w:rsid w:val="00E349DE"/>
    <w:rsid w:val="00E54392"/>
    <w:rsid w:val="00E60FA5"/>
    <w:rsid w:val="00E62FFC"/>
    <w:rsid w:val="00E668B1"/>
    <w:rsid w:val="00E863BF"/>
    <w:rsid w:val="00E96188"/>
    <w:rsid w:val="00EA113C"/>
    <w:rsid w:val="00EA4C7C"/>
    <w:rsid w:val="00EC763D"/>
    <w:rsid w:val="00EF518D"/>
    <w:rsid w:val="00F0302C"/>
    <w:rsid w:val="00F03095"/>
    <w:rsid w:val="00F15227"/>
    <w:rsid w:val="00F3002F"/>
    <w:rsid w:val="00F37E16"/>
    <w:rsid w:val="00F53F07"/>
    <w:rsid w:val="00F60A4D"/>
    <w:rsid w:val="00F63DDB"/>
    <w:rsid w:val="00F656EA"/>
    <w:rsid w:val="00F65C02"/>
    <w:rsid w:val="00F667B5"/>
    <w:rsid w:val="00F90AF1"/>
    <w:rsid w:val="00FA2A8F"/>
    <w:rsid w:val="00FA431B"/>
    <w:rsid w:val="00FB411F"/>
    <w:rsid w:val="00FC5F95"/>
    <w:rsid w:val="00FD26D2"/>
    <w:rsid w:val="00FE1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68E2E"/>
  <w15:chartTrackingRefBased/>
  <w15:docId w15:val="{434F45AC-02B0-E14D-A71E-82806B3BE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59C4"/>
    <w:pPr>
      <w:spacing w:after="160" w:line="259" w:lineRule="auto"/>
      <w:ind w:left="720"/>
      <w:contextualSpacing/>
    </w:pPr>
    <w:rPr>
      <w:kern w:val="0"/>
      <w:sz w:val="22"/>
      <w:szCs w:val="22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555D69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D51F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51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457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2-3813-8051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orcid.org/0000-0002-8413-350X" TargetMode="External"/><Relationship Id="rId12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rcid.org/0000-0001-6491-8097" TargetMode="External"/><Relationship Id="rId11" Type="http://schemas.openxmlformats.org/officeDocument/2006/relationships/chart" Target="charts/chart3.xml"/><Relationship Id="rId5" Type="http://schemas.openxmlformats.org/officeDocument/2006/relationships/hyperlink" Target="mailto:jhirniak@asu.edu" TargetMode="External"/><Relationship Id="rId10" Type="http://schemas.openxmlformats.org/officeDocument/2006/relationships/chart" Target="charts/chart2.xml"/><Relationship Id="rId4" Type="http://schemas.openxmlformats.org/officeDocument/2006/relationships/webSettings" Target="webSettings.xml"/><Relationship Id="rId9" Type="http://schemas.openxmlformats.org/officeDocument/2006/relationships/chart" Target="charts/chart1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jaydehirniak/Dropbox/1%20Projects-Research%20Ideas/Projects/1%20Current/Silcrete%20Project/ICP-MS/ICP-MS%20Data/Jayde/20210421_Silicrete_ICP_Data_working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jaydehirniak/Dropbox/1%20Projects-Research%20Ideas/Projects/1%20Current/Silcrete%20Project/ICP-MS/ICP-MS%20Data/Jayde/20210421_Silicrete_ICP_Data_working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jaydehirniak/Dropbox/1%20Projects-Research%20Ideas/Projects/1%20Current/Silcrete%20Project/ICP-MS/ICP-MS%20Data/Jayde/20210421_Silicrete_ICP_Data_working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100" dirty="0">
                <a:solidFill>
                  <a:schemeClr val="tx1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E3 Samples</a:t>
            </a:r>
          </a:p>
        </c:rich>
      </c:tx>
      <c:layout>
        <c:manualLayout>
          <c:xMode val="edge"/>
          <c:yMode val="edge"/>
          <c:x val="0.45172695151349157"/>
          <c:y val="1.408113394152005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3668230141834878"/>
          <c:y val="8.1885734677902111E-2"/>
          <c:w val="0.85820343558439549"/>
          <c:h val="0.85881855228622739"/>
        </c:manualLayout>
      </c:layout>
      <c:lineChart>
        <c:grouping val="standard"/>
        <c:varyColors val="0"/>
        <c:ser>
          <c:idx val="0"/>
          <c:order val="0"/>
          <c:spPr>
            <a:ln w="28575" cap="rnd">
              <a:solidFill>
                <a:srgbClr val="8D5EAA"/>
              </a:solidFill>
              <a:round/>
            </a:ln>
            <a:effectLst/>
          </c:spPr>
          <c:marker>
            <c:symbol val="none"/>
          </c:marker>
          <c:cat>
            <c:strRef>
              <c:f>'[20210421_Silicrete_ICP_Data_working.xlsx]silicrete - final summary'!$E$1:$BD$1</c:f>
              <c:strCache>
                <c:ptCount val="52"/>
                <c:pt idx="0">
                  <c:v>Li</c:v>
                </c:pt>
                <c:pt idx="1">
                  <c:v>Na</c:v>
                </c:pt>
                <c:pt idx="2">
                  <c:v>Mg</c:v>
                </c:pt>
                <c:pt idx="3">
                  <c:v>Al</c:v>
                </c:pt>
                <c:pt idx="4">
                  <c:v>P </c:v>
                </c:pt>
                <c:pt idx="5">
                  <c:v>K</c:v>
                </c:pt>
                <c:pt idx="6">
                  <c:v>Ca</c:v>
                </c:pt>
                <c:pt idx="7">
                  <c:v>Sc</c:v>
                </c:pt>
                <c:pt idx="8">
                  <c:v>Ti</c:v>
                </c:pt>
                <c:pt idx="9">
                  <c:v>V</c:v>
                </c:pt>
                <c:pt idx="10">
                  <c:v>Cr</c:v>
                </c:pt>
                <c:pt idx="11">
                  <c:v>Mn</c:v>
                </c:pt>
                <c:pt idx="12">
                  <c:v>Fe</c:v>
                </c:pt>
                <c:pt idx="13">
                  <c:v>Co</c:v>
                </c:pt>
                <c:pt idx="14">
                  <c:v>Ni</c:v>
                </c:pt>
                <c:pt idx="15">
                  <c:v>Cu</c:v>
                </c:pt>
                <c:pt idx="16">
                  <c:v>Zn</c:v>
                </c:pt>
                <c:pt idx="17">
                  <c:v>Ga</c:v>
                </c:pt>
                <c:pt idx="18">
                  <c:v>As</c:v>
                </c:pt>
                <c:pt idx="19">
                  <c:v>Se</c:v>
                </c:pt>
                <c:pt idx="20">
                  <c:v>Rb</c:v>
                </c:pt>
                <c:pt idx="21">
                  <c:v>Sr</c:v>
                </c:pt>
                <c:pt idx="22">
                  <c:v>Zr</c:v>
                </c:pt>
                <c:pt idx="23">
                  <c:v>Nb</c:v>
                </c:pt>
                <c:pt idx="24">
                  <c:v>Mo</c:v>
                </c:pt>
                <c:pt idx="25">
                  <c:v>Ag</c:v>
                </c:pt>
                <c:pt idx="26">
                  <c:v>Cd</c:v>
                </c:pt>
                <c:pt idx="27">
                  <c:v>Sb</c:v>
                </c:pt>
                <c:pt idx="28">
                  <c:v>Cs</c:v>
                </c:pt>
                <c:pt idx="29">
                  <c:v>Ba</c:v>
                </c:pt>
                <c:pt idx="30">
                  <c:v>La</c:v>
                </c:pt>
                <c:pt idx="31">
                  <c:v>Ce</c:v>
                </c:pt>
                <c:pt idx="32">
                  <c:v>Pr</c:v>
                </c:pt>
                <c:pt idx="33">
                  <c:v>Nd</c:v>
                </c:pt>
                <c:pt idx="34">
                  <c:v>Sm</c:v>
                </c:pt>
                <c:pt idx="35">
                  <c:v>Eu</c:v>
                </c:pt>
                <c:pt idx="36">
                  <c:v>Gd</c:v>
                </c:pt>
                <c:pt idx="37">
                  <c:v>Tb</c:v>
                </c:pt>
                <c:pt idx="38">
                  <c:v>Dy</c:v>
                </c:pt>
                <c:pt idx="39">
                  <c:v>Ho</c:v>
                </c:pt>
                <c:pt idx="40">
                  <c:v>Er</c:v>
                </c:pt>
                <c:pt idx="41">
                  <c:v>Tm</c:v>
                </c:pt>
                <c:pt idx="42">
                  <c:v>Yb</c:v>
                </c:pt>
                <c:pt idx="43">
                  <c:v>Lu</c:v>
                </c:pt>
                <c:pt idx="44">
                  <c:v>Hf</c:v>
                </c:pt>
                <c:pt idx="45">
                  <c:v>Ta</c:v>
                </c:pt>
                <c:pt idx="46">
                  <c:v>W</c:v>
                </c:pt>
                <c:pt idx="47">
                  <c:v>Re</c:v>
                </c:pt>
                <c:pt idx="48">
                  <c:v>Tl</c:v>
                </c:pt>
                <c:pt idx="49">
                  <c:v>Pb</c:v>
                </c:pt>
                <c:pt idx="50">
                  <c:v>Th</c:v>
                </c:pt>
                <c:pt idx="51">
                  <c:v>U</c:v>
                </c:pt>
              </c:strCache>
            </c:strRef>
          </c:cat>
          <c:val>
            <c:numRef>
              <c:f>'[20210421_Silicrete_ICP_Data_working.xlsx]silicrete - final summary'!$E$34:$BD$34</c:f>
              <c:numCache>
                <c:formatCode>0.00</c:formatCode>
                <c:ptCount val="52"/>
                <c:pt idx="0">
                  <c:v>-1.6638258582361516</c:v>
                </c:pt>
                <c:pt idx="1">
                  <c:v>-195.16369925191566</c:v>
                </c:pt>
                <c:pt idx="2">
                  <c:v>85.052778531141939</c:v>
                </c:pt>
                <c:pt idx="3">
                  <c:v>-6134.1460979448602</c:v>
                </c:pt>
                <c:pt idx="4">
                  <c:v>-168.07135799658113</c:v>
                </c:pt>
                <c:pt idx="5">
                  <c:v>-123.57869780168107</c:v>
                </c:pt>
                <c:pt idx="6">
                  <c:v>156.53106682770726</c:v>
                </c:pt>
                <c:pt idx="7">
                  <c:v>-1.1868012849092153</c:v>
                </c:pt>
                <c:pt idx="8">
                  <c:v>-1452.2958577370882</c:v>
                </c:pt>
                <c:pt idx="9">
                  <c:v>-114.9281009305455</c:v>
                </c:pt>
                <c:pt idx="10">
                  <c:v>-27.308830955370262</c:v>
                </c:pt>
                <c:pt idx="11">
                  <c:v>-21.097822647664856</c:v>
                </c:pt>
                <c:pt idx="12">
                  <c:v>-61522.950544169042</c:v>
                </c:pt>
                <c:pt idx="13">
                  <c:v>-2.9228597851073737</c:v>
                </c:pt>
                <c:pt idx="14">
                  <c:v>-1.3957990922279286</c:v>
                </c:pt>
                <c:pt idx="15">
                  <c:v>-14.844867736494407</c:v>
                </c:pt>
                <c:pt idx="16">
                  <c:v>-32.284916909674408</c:v>
                </c:pt>
                <c:pt idx="17">
                  <c:v>-5.2657357443871824</c:v>
                </c:pt>
                <c:pt idx="18">
                  <c:v>-35.44601693480746</c:v>
                </c:pt>
                <c:pt idx="19">
                  <c:v>-1.8571595970510377</c:v>
                </c:pt>
                <c:pt idx="20">
                  <c:v>-0.89344564883929234</c:v>
                </c:pt>
                <c:pt idx="21">
                  <c:v>-16.885730628092759</c:v>
                </c:pt>
                <c:pt idx="22">
                  <c:v>24.029528339178796</c:v>
                </c:pt>
                <c:pt idx="23">
                  <c:v>-4.9758929679716744</c:v>
                </c:pt>
                <c:pt idx="24">
                  <c:v>-2.9229461597254023</c:v>
                </c:pt>
                <c:pt idx="25">
                  <c:v>8.4335909137634113E-2</c:v>
                </c:pt>
                <c:pt idx="26">
                  <c:v>-0.36469893661073904</c:v>
                </c:pt>
                <c:pt idx="27">
                  <c:v>-0.72737049739478898</c:v>
                </c:pt>
                <c:pt idx="28">
                  <c:v>-7.6297290587274053E-2</c:v>
                </c:pt>
                <c:pt idx="29">
                  <c:v>-7.0851897306524734</c:v>
                </c:pt>
                <c:pt idx="30">
                  <c:v>-3.8558163637641982</c:v>
                </c:pt>
                <c:pt idx="31">
                  <c:v>-10.091127084897956</c:v>
                </c:pt>
                <c:pt idx="32">
                  <c:v>-1.2648436762512709</c:v>
                </c:pt>
                <c:pt idx="33">
                  <c:v>-5.429073075309347</c:v>
                </c:pt>
                <c:pt idx="34">
                  <c:v>-1.090529468586146</c:v>
                </c:pt>
                <c:pt idx="35">
                  <c:v>-0.20654588445205091</c:v>
                </c:pt>
                <c:pt idx="36">
                  <c:v>-0.70994075844301818</c:v>
                </c:pt>
                <c:pt idx="37">
                  <c:v>-7.1005668170539771E-2</c:v>
                </c:pt>
                <c:pt idx="38">
                  <c:v>-0.34091164292695453</c:v>
                </c:pt>
                <c:pt idx="39">
                  <c:v>-1.1014867140587636E-2</c:v>
                </c:pt>
                <c:pt idx="40">
                  <c:v>-0.12143053816677885</c:v>
                </c:pt>
                <c:pt idx="41">
                  <c:v>-3.5017385242331001E-2</c:v>
                </c:pt>
                <c:pt idx="42">
                  <c:v>-0.21601977829557306</c:v>
                </c:pt>
                <c:pt idx="43">
                  <c:v>-4.2164806611268313E-2</c:v>
                </c:pt>
                <c:pt idx="44">
                  <c:v>0.78486326103330839</c:v>
                </c:pt>
                <c:pt idx="45">
                  <c:v>-0.78780117193540988</c:v>
                </c:pt>
                <c:pt idx="46">
                  <c:v>-1.138778446390674</c:v>
                </c:pt>
                <c:pt idx="47">
                  <c:v>-1.2714818571593796E-5</c:v>
                </c:pt>
                <c:pt idx="48">
                  <c:v>1.0441863722176162E-2</c:v>
                </c:pt>
                <c:pt idx="49">
                  <c:v>-5.0083115862743597</c:v>
                </c:pt>
                <c:pt idx="50">
                  <c:v>-3.145731663324522</c:v>
                </c:pt>
                <c:pt idx="51">
                  <c:v>-0.42956163483870569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523-B748-B642-18688276DA15}"/>
            </c:ext>
          </c:extLst>
        </c:ser>
        <c:ser>
          <c:idx val="1"/>
          <c:order val="1"/>
          <c:spPr>
            <a:ln w="19050" cap="rnd">
              <a:solidFill>
                <a:schemeClr val="tx1"/>
              </a:solidFill>
              <a:prstDash val="sysDash"/>
              <a:round/>
            </a:ln>
            <a:effectLst/>
          </c:spPr>
          <c:marker>
            <c:symbol val="none"/>
          </c:marker>
          <c:val>
            <c:numRef>
              <c:f>'[20210421_Silicrete_ICP_Data_working.xlsx]silicrete - final summary'!$E$2:$BD$2</c:f>
              <c:numCache>
                <c:formatCode>General</c:formatCode>
                <c:ptCount val="52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523-B748-B642-18688276DA1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840063839"/>
        <c:axId val="1798792815"/>
      </c:lineChart>
      <c:catAx>
        <c:axId val="184006383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798792815"/>
        <c:crosses val="autoZero"/>
        <c:auto val="1"/>
        <c:lblAlgn val="ctr"/>
        <c:lblOffset val="100"/>
        <c:noMultiLvlLbl val="0"/>
      </c:catAx>
      <c:valAx>
        <c:axId val="179879281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dirty="0">
                    <a:solidFill>
                      <a:schemeClr val="tx1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Change in ppm</a:t>
                </a:r>
              </a:p>
            </c:rich>
          </c:tx>
          <c:layout>
            <c:manualLayout>
              <c:xMode val="edge"/>
              <c:yMode val="edge"/>
              <c:x val="4.9203945773074092E-3"/>
              <c:y val="0.3887954458434414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84006383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br>
              <a:rPr lang="en-US" sz="1100" dirty="0">
                <a:solidFill>
                  <a:schemeClr val="tx1"/>
                </a:solidFill>
                <a:latin typeface="Arial" panose="020B0604020202020204" pitchFamily="34" charset="0"/>
                <a:cs typeface="Arial" panose="020B0604020202020204" pitchFamily="34" charset="0"/>
              </a:rPr>
            </a:br>
            <a:r>
              <a:rPr lang="en-US" sz="1100" dirty="0">
                <a:solidFill>
                  <a:schemeClr val="tx1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I14 Heating Changes</a:t>
            </a:r>
          </a:p>
        </c:rich>
      </c:tx>
      <c:layout>
        <c:manualLayout>
          <c:xMode val="edge"/>
          <c:yMode val="edge"/>
          <c:x val="0.39212918377076089"/>
          <c:y val="1.4973313359774297E-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2771247204420455"/>
          <c:y val="0.13464753152954817"/>
          <c:w val="0.85439213942223091"/>
          <c:h val="0.78795497802946635"/>
        </c:manualLayout>
      </c:layout>
      <c:lineChart>
        <c:grouping val="standard"/>
        <c:varyColors val="0"/>
        <c:ser>
          <c:idx val="0"/>
          <c:order val="0"/>
          <c:spPr>
            <a:ln w="28575" cap="rnd">
              <a:solidFill>
                <a:srgbClr val="0033B0"/>
              </a:solidFill>
              <a:round/>
            </a:ln>
            <a:effectLst/>
          </c:spPr>
          <c:marker>
            <c:symbol val="none"/>
          </c:marker>
          <c:cat>
            <c:strRef>
              <c:f>'silicrete - final summary'!$E$1:$BD$1</c:f>
              <c:strCache>
                <c:ptCount val="52"/>
                <c:pt idx="0">
                  <c:v>Li</c:v>
                </c:pt>
                <c:pt idx="1">
                  <c:v>Na</c:v>
                </c:pt>
                <c:pt idx="2">
                  <c:v>Mg</c:v>
                </c:pt>
                <c:pt idx="3">
                  <c:v>Al</c:v>
                </c:pt>
                <c:pt idx="4">
                  <c:v>P </c:v>
                </c:pt>
                <c:pt idx="5">
                  <c:v>K</c:v>
                </c:pt>
                <c:pt idx="6">
                  <c:v>Ca</c:v>
                </c:pt>
                <c:pt idx="7">
                  <c:v>Sc</c:v>
                </c:pt>
                <c:pt idx="8">
                  <c:v>Ti</c:v>
                </c:pt>
                <c:pt idx="9">
                  <c:v>V</c:v>
                </c:pt>
                <c:pt idx="10">
                  <c:v>Cr</c:v>
                </c:pt>
                <c:pt idx="11">
                  <c:v>Mn</c:v>
                </c:pt>
                <c:pt idx="12">
                  <c:v>Fe</c:v>
                </c:pt>
                <c:pt idx="13">
                  <c:v>Co</c:v>
                </c:pt>
                <c:pt idx="14">
                  <c:v>Ni</c:v>
                </c:pt>
                <c:pt idx="15">
                  <c:v>Cu</c:v>
                </c:pt>
                <c:pt idx="16">
                  <c:v>Zn</c:v>
                </c:pt>
                <c:pt idx="17">
                  <c:v>Ga</c:v>
                </c:pt>
                <c:pt idx="18">
                  <c:v>As</c:v>
                </c:pt>
                <c:pt idx="19">
                  <c:v>Se</c:v>
                </c:pt>
                <c:pt idx="20">
                  <c:v>Rb</c:v>
                </c:pt>
                <c:pt idx="21">
                  <c:v>Sr</c:v>
                </c:pt>
                <c:pt idx="22">
                  <c:v>Zr</c:v>
                </c:pt>
                <c:pt idx="23">
                  <c:v>Nb</c:v>
                </c:pt>
                <c:pt idx="24">
                  <c:v>Mo</c:v>
                </c:pt>
                <c:pt idx="25">
                  <c:v>Ag</c:v>
                </c:pt>
                <c:pt idx="26">
                  <c:v>Cd</c:v>
                </c:pt>
                <c:pt idx="27">
                  <c:v>Sb</c:v>
                </c:pt>
                <c:pt idx="28">
                  <c:v>Cs</c:v>
                </c:pt>
                <c:pt idx="29">
                  <c:v>Ba</c:v>
                </c:pt>
                <c:pt idx="30">
                  <c:v>La</c:v>
                </c:pt>
                <c:pt idx="31">
                  <c:v>Ce</c:v>
                </c:pt>
                <c:pt idx="32">
                  <c:v>Pr</c:v>
                </c:pt>
                <c:pt idx="33">
                  <c:v>Nd</c:v>
                </c:pt>
                <c:pt idx="34">
                  <c:v>Sm</c:v>
                </c:pt>
                <c:pt idx="35">
                  <c:v>Eu</c:v>
                </c:pt>
                <c:pt idx="36">
                  <c:v>Gd</c:v>
                </c:pt>
                <c:pt idx="37">
                  <c:v>Tb</c:v>
                </c:pt>
                <c:pt idx="38">
                  <c:v>Dy</c:v>
                </c:pt>
                <c:pt idx="39">
                  <c:v>Ho</c:v>
                </c:pt>
                <c:pt idx="40">
                  <c:v>Er</c:v>
                </c:pt>
                <c:pt idx="41">
                  <c:v>Tm</c:v>
                </c:pt>
                <c:pt idx="42">
                  <c:v>Yb</c:v>
                </c:pt>
                <c:pt idx="43">
                  <c:v>Lu</c:v>
                </c:pt>
                <c:pt idx="44">
                  <c:v>Hf</c:v>
                </c:pt>
                <c:pt idx="45">
                  <c:v>Ta</c:v>
                </c:pt>
                <c:pt idx="46">
                  <c:v>W</c:v>
                </c:pt>
                <c:pt idx="47">
                  <c:v>Re</c:v>
                </c:pt>
                <c:pt idx="48">
                  <c:v>Tl</c:v>
                </c:pt>
                <c:pt idx="49">
                  <c:v>Pb</c:v>
                </c:pt>
                <c:pt idx="50">
                  <c:v>Th</c:v>
                </c:pt>
                <c:pt idx="51">
                  <c:v>U</c:v>
                </c:pt>
              </c:strCache>
            </c:strRef>
          </c:cat>
          <c:val>
            <c:numRef>
              <c:f>'silicrete - final summary'!$E$51:$BD$51</c:f>
              <c:numCache>
                <c:formatCode>0.00</c:formatCode>
                <c:ptCount val="52"/>
                <c:pt idx="0">
                  <c:v>-2.1893608574626171</c:v>
                </c:pt>
                <c:pt idx="1">
                  <c:v>-45.781127985534113</c:v>
                </c:pt>
                <c:pt idx="2">
                  <c:v>-98.143170069883581</c:v>
                </c:pt>
                <c:pt idx="3">
                  <c:v>-416.40340890034895</c:v>
                </c:pt>
                <c:pt idx="4">
                  <c:v>-1.5514548180825614</c:v>
                </c:pt>
                <c:pt idx="5">
                  <c:v>-53.170444890255567</c:v>
                </c:pt>
                <c:pt idx="6">
                  <c:v>-139.10897631564444</c:v>
                </c:pt>
                <c:pt idx="7">
                  <c:v>-0.2761919020961372</c:v>
                </c:pt>
                <c:pt idx="8">
                  <c:v>3572.7894143282901</c:v>
                </c:pt>
                <c:pt idx="9">
                  <c:v>6.4323080742481693</c:v>
                </c:pt>
                <c:pt idx="10">
                  <c:v>4.4543815974853089</c:v>
                </c:pt>
                <c:pt idx="11">
                  <c:v>1.5699520638053883</c:v>
                </c:pt>
                <c:pt idx="12">
                  <c:v>-140.24188586995115</c:v>
                </c:pt>
                <c:pt idx="13">
                  <c:v>-5.7334766349745658E-2</c:v>
                </c:pt>
                <c:pt idx="14">
                  <c:v>-2.4877103424361655</c:v>
                </c:pt>
                <c:pt idx="15">
                  <c:v>-2.9459143901180695</c:v>
                </c:pt>
                <c:pt idx="16">
                  <c:v>-0.20094261851162543</c:v>
                </c:pt>
                <c:pt idx="17">
                  <c:v>4.1416071541330979E-2</c:v>
                </c:pt>
                <c:pt idx="18">
                  <c:v>0.76410895799389777</c:v>
                </c:pt>
                <c:pt idx="19">
                  <c:v>-0.19641015742819334</c:v>
                </c:pt>
                <c:pt idx="20">
                  <c:v>-0.18470775650729543</c:v>
                </c:pt>
                <c:pt idx="21">
                  <c:v>-6.308096797740177</c:v>
                </c:pt>
                <c:pt idx="22">
                  <c:v>-50.996317389002797</c:v>
                </c:pt>
                <c:pt idx="23">
                  <c:v>10.814301670295094</c:v>
                </c:pt>
                <c:pt idx="24">
                  <c:v>0.15857745773411702</c:v>
                </c:pt>
                <c:pt idx="25">
                  <c:v>4.5233314380797585E-3</c:v>
                </c:pt>
                <c:pt idx="26">
                  <c:v>1.5847360040033981E-3</c:v>
                </c:pt>
                <c:pt idx="27">
                  <c:v>0.13161710303128515</c:v>
                </c:pt>
                <c:pt idx="28">
                  <c:v>-1.9952683545588323E-2</c:v>
                </c:pt>
                <c:pt idx="29">
                  <c:v>50.906517555739356</c:v>
                </c:pt>
                <c:pt idx="30">
                  <c:v>-1.7012733616160745</c:v>
                </c:pt>
                <c:pt idx="31">
                  <c:v>5.8517510094361</c:v>
                </c:pt>
                <c:pt idx="32">
                  <c:v>0.4904570645641968</c:v>
                </c:pt>
                <c:pt idx="33">
                  <c:v>1.5901837904521017</c:v>
                </c:pt>
                <c:pt idx="34">
                  <c:v>6.0090404916422813E-2</c:v>
                </c:pt>
                <c:pt idx="35">
                  <c:v>-2.5268803133552176E-2</c:v>
                </c:pt>
                <c:pt idx="36">
                  <c:v>-9.4727236856950725E-2</c:v>
                </c:pt>
                <c:pt idx="37">
                  <c:v>-0.14532533873384113</c:v>
                </c:pt>
                <c:pt idx="38">
                  <c:v>-0.92451173310246659</c:v>
                </c:pt>
                <c:pt idx="39">
                  <c:v>-0.13485592055007789</c:v>
                </c:pt>
                <c:pt idx="40">
                  <c:v>-0.62064535068867421</c:v>
                </c:pt>
                <c:pt idx="41">
                  <c:v>-0.10658659680065607</c:v>
                </c:pt>
                <c:pt idx="42">
                  <c:v>-0.43352495780340305</c:v>
                </c:pt>
                <c:pt idx="43">
                  <c:v>-6.4915636572381974E-2</c:v>
                </c:pt>
                <c:pt idx="44">
                  <c:v>-1.4527084710575338</c:v>
                </c:pt>
                <c:pt idx="45">
                  <c:v>1.2947596978618172</c:v>
                </c:pt>
                <c:pt idx="46">
                  <c:v>1.585333536801393</c:v>
                </c:pt>
                <c:pt idx="47">
                  <c:v>-1.1131672944339043E-4</c:v>
                </c:pt>
                <c:pt idx="48">
                  <c:v>-3.8722410065982898E-3</c:v>
                </c:pt>
                <c:pt idx="49">
                  <c:v>1.9225871624643105</c:v>
                </c:pt>
                <c:pt idx="50">
                  <c:v>2.1722038636312391E-2</c:v>
                </c:pt>
                <c:pt idx="51">
                  <c:v>0.11698296396306418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09C-5041-ADB6-8FEBCCDF8443}"/>
            </c:ext>
          </c:extLst>
        </c:ser>
        <c:ser>
          <c:idx val="1"/>
          <c:order val="1"/>
          <c:spPr>
            <a:ln w="19050" cap="rnd">
              <a:solidFill>
                <a:schemeClr val="tx1"/>
              </a:solidFill>
              <a:prstDash val="sysDash"/>
              <a:round/>
            </a:ln>
            <a:effectLst/>
          </c:spPr>
          <c:marker>
            <c:symbol val="none"/>
          </c:marker>
          <c:cat>
            <c:strRef>
              <c:f>'silicrete - final summary'!$E$1:$BD$1</c:f>
              <c:strCache>
                <c:ptCount val="52"/>
                <c:pt idx="0">
                  <c:v>Li</c:v>
                </c:pt>
                <c:pt idx="1">
                  <c:v>Na</c:v>
                </c:pt>
                <c:pt idx="2">
                  <c:v>Mg</c:v>
                </c:pt>
                <c:pt idx="3">
                  <c:v>Al</c:v>
                </c:pt>
                <c:pt idx="4">
                  <c:v>P </c:v>
                </c:pt>
                <c:pt idx="5">
                  <c:v>K</c:v>
                </c:pt>
                <c:pt idx="6">
                  <c:v>Ca</c:v>
                </c:pt>
                <c:pt idx="7">
                  <c:v>Sc</c:v>
                </c:pt>
                <c:pt idx="8">
                  <c:v>Ti</c:v>
                </c:pt>
                <c:pt idx="9">
                  <c:v>V</c:v>
                </c:pt>
                <c:pt idx="10">
                  <c:v>Cr</c:v>
                </c:pt>
                <c:pt idx="11">
                  <c:v>Mn</c:v>
                </c:pt>
                <c:pt idx="12">
                  <c:v>Fe</c:v>
                </c:pt>
                <c:pt idx="13">
                  <c:v>Co</c:v>
                </c:pt>
                <c:pt idx="14">
                  <c:v>Ni</c:v>
                </c:pt>
                <c:pt idx="15">
                  <c:v>Cu</c:v>
                </c:pt>
                <c:pt idx="16">
                  <c:v>Zn</c:v>
                </c:pt>
                <c:pt idx="17">
                  <c:v>Ga</c:v>
                </c:pt>
                <c:pt idx="18">
                  <c:v>As</c:v>
                </c:pt>
                <c:pt idx="19">
                  <c:v>Se</c:v>
                </c:pt>
                <c:pt idx="20">
                  <c:v>Rb</c:v>
                </c:pt>
                <c:pt idx="21">
                  <c:v>Sr</c:v>
                </c:pt>
                <c:pt idx="22">
                  <c:v>Zr</c:v>
                </c:pt>
                <c:pt idx="23">
                  <c:v>Nb</c:v>
                </c:pt>
                <c:pt idx="24">
                  <c:v>Mo</c:v>
                </c:pt>
                <c:pt idx="25">
                  <c:v>Ag</c:v>
                </c:pt>
                <c:pt idx="26">
                  <c:v>Cd</c:v>
                </c:pt>
                <c:pt idx="27">
                  <c:v>Sb</c:v>
                </c:pt>
                <c:pt idx="28">
                  <c:v>Cs</c:v>
                </c:pt>
                <c:pt idx="29">
                  <c:v>Ba</c:v>
                </c:pt>
                <c:pt idx="30">
                  <c:v>La</c:v>
                </c:pt>
                <c:pt idx="31">
                  <c:v>Ce</c:v>
                </c:pt>
                <c:pt idx="32">
                  <c:v>Pr</c:v>
                </c:pt>
                <c:pt idx="33">
                  <c:v>Nd</c:v>
                </c:pt>
                <c:pt idx="34">
                  <c:v>Sm</c:v>
                </c:pt>
                <c:pt idx="35">
                  <c:v>Eu</c:v>
                </c:pt>
                <c:pt idx="36">
                  <c:v>Gd</c:v>
                </c:pt>
                <c:pt idx="37">
                  <c:v>Tb</c:v>
                </c:pt>
                <c:pt idx="38">
                  <c:v>Dy</c:v>
                </c:pt>
                <c:pt idx="39">
                  <c:v>Ho</c:v>
                </c:pt>
                <c:pt idx="40">
                  <c:v>Er</c:v>
                </c:pt>
                <c:pt idx="41">
                  <c:v>Tm</c:v>
                </c:pt>
                <c:pt idx="42">
                  <c:v>Yb</c:v>
                </c:pt>
                <c:pt idx="43">
                  <c:v>Lu</c:v>
                </c:pt>
                <c:pt idx="44">
                  <c:v>Hf</c:v>
                </c:pt>
                <c:pt idx="45">
                  <c:v>Ta</c:v>
                </c:pt>
                <c:pt idx="46">
                  <c:v>W</c:v>
                </c:pt>
                <c:pt idx="47">
                  <c:v>Re</c:v>
                </c:pt>
                <c:pt idx="48">
                  <c:v>Tl</c:v>
                </c:pt>
                <c:pt idx="49">
                  <c:v>Pb</c:v>
                </c:pt>
                <c:pt idx="50">
                  <c:v>Th</c:v>
                </c:pt>
                <c:pt idx="51">
                  <c:v>U</c:v>
                </c:pt>
              </c:strCache>
            </c:strRef>
          </c:cat>
          <c:val>
            <c:numRef>
              <c:f>'silicrete - final summary'!$E$2:$BD$2</c:f>
              <c:numCache>
                <c:formatCode>General</c:formatCode>
                <c:ptCount val="52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09C-5041-ADB6-8FEBCCDF844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778135999"/>
        <c:axId val="1787559455"/>
      </c:lineChart>
      <c:catAx>
        <c:axId val="177813599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787559455"/>
        <c:crosses val="autoZero"/>
        <c:auto val="1"/>
        <c:lblAlgn val="ctr"/>
        <c:lblOffset val="100"/>
        <c:noMultiLvlLbl val="0"/>
      </c:catAx>
      <c:valAx>
        <c:axId val="178755945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6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dirty="0">
                    <a:solidFill>
                      <a:schemeClr val="tx1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Change in ppm</a:t>
                </a:r>
              </a:p>
            </c:rich>
          </c:tx>
          <c:layout>
            <c:manualLayout>
              <c:xMode val="edge"/>
              <c:yMode val="edge"/>
              <c:x val="1.7991054145456525E-2"/>
              <c:y val="0.3060993627429135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6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77813599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0" i="0" u="none" strike="noStrike" kern="1200" spc="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en-US" sz="1100" dirty="0">
                <a:solidFill>
                  <a:schemeClr val="tx1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D9 Heating</a:t>
            </a:r>
            <a:r>
              <a:rPr lang="en-US" sz="1100" baseline="0" dirty="0">
                <a:solidFill>
                  <a:schemeClr val="tx1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 Changes</a:t>
            </a:r>
            <a:endParaRPr lang="en-US" sz="1100" dirty="0">
              <a:solidFill>
                <a:schemeClr val="tx1"/>
              </a:solidFill>
              <a:latin typeface="Arial" panose="020B0604020202020204" pitchFamily="34" charset="0"/>
              <a:cs typeface="Arial" panose="020B0604020202020204" pitchFamily="34" charset="0"/>
            </a:endParaRPr>
          </a:p>
        </c:rich>
      </c:tx>
      <c:layout>
        <c:manualLayout>
          <c:xMode val="edge"/>
          <c:yMode val="edge"/>
          <c:x val="0.42217170537551152"/>
          <c:y val="2.399366423491067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spc="0" baseline="0">
              <a:solidFill>
                <a:schemeClr val="tx1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3275395380534766"/>
          <c:y val="0.12051390094613415"/>
          <c:w val="0.85561163600994405"/>
          <c:h val="0.80975342298847075"/>
        </c:manualLayout>
      </c:layout>
      <c:lineChart>
        <c:grouping val="standard"/>
        <c:varyColors val="0"/>
        <c:ser>
          <c:idx val="0"/>
          <c:order val="0"/>
          <c:spPr>
            <a:ln w="28575" cap="rnd">
              <a:solidFill>
                <a:srgbClr val="FFB14E"/>
              </a:solidFill>
              <a:round/>
            </a:ln>
            <a:effectLst/>
          </c:spPr>
          <c:marker>
            <c:symbol val="none"/>
          </c:marker>
          <c:cat>
            <c:strRef>
              <c:f>'silicrete - final summary'!$E$1:$BD$1</c:f>
              <c:strCache>
                <c:ptCount val="52"/>
                <c:pt idx="0">
                  <c:v>Li</c:v>
                </c:pt>
                <c:pt idx="1">
                  <c:v>Na</c:v>
                </c:pt>
                <c:pt idx="2">
                  <c:v>Mg</c:v>
                </c:pt>
                <c:pt idx="3">
                  <c:v>Al</c:v>
                </c:pt>
                <c:pt idx="4">
                  <c:v>P </c:v>
                </c:pt>
                <c:pt idx="5">
                  <c:v>K</c:v>
                </c:pt>
                <c:pt idx="6">
                  <c:v>Ca</c:v>
                </c:pt>
                <c:pt idx="7">
                  <c:v>Sc</c:v>
                </c:pt>
                <c:pt idx="8">
                  <c:v>Ti</c:v>
                </c:pt>
                <c:pt idx="9">
                  <c:v>V</c:v>
                </c:pt>
                <c:pt idx="10">
                  <c:v>Cr</c:v>
                </c:pt>
                <c:pt idx="11">
                  <c:v>Mn</c:v>
                </c:pt>
                <c:pt idx="12">
                  <c:v>Fe</c:v>
                </c:pt>
                <c:pt idx="13">
                  <c:v>Co</c:v>
                </c:pt>
                <c:pt idx="14">
                  <c:v>Ni</c:v>
                </c:pt>
                <c:pt idx="15">
                  <c:v>Cu</c:v>
                </c:pt>
                <c:pt idx="16">
                  <c:v>Zn</c:v>
                </c:pt>
                <c:pt idx="17">
                  <c:v>Ga</c:v>
                </c:pt>
                <c:pt idx="18">
                  <c:v>As</c:v>
                </c:pt>
                <c:pt idx="19">
                  <c:v>Se</c:v>
                </c:pt>
                <c:pt idx="20">
                  <c:v>Rb</c:v>
                </c:pt>
                <c:pt idx="21">
                  <c:v>Sr</c:v>
                </c:pt>
                <c:pt idx="22">
                  <c:v>Zr</c:v>
                </c:pt>
                <c:pt idx="23">
                  <c:v>Nb</c:v>
                </c:pt>
                <c:pt idx="24">
                  <c:v>Mo</c:v>
                </c:pt>
                <c:pt idx="25">
                  <c:v>Ag</c:v>
                </c:pt>
                <c:pt idx="26">
                  <c:v>Cd</c:v>
                </c:pt>
                <c:pt idx="27">
                  <c:v>Sb</c:v>
                </c:pt>
                <c:pt idx="28">
                  <c:v>Cs</c:v>
                </c:pt>
                <c:pt idx="29">
                  <c:v>Ba</c:v>
                </c:pt>
                <c:pt idx="30">
                  <c:v>La</c:v>
                </c:pt>
                <c:pt idx="31">
                  <c:v>Ce</c:v>
                </c:pt>
                <c:pt idx="32">
                  <c:v>Pr</c:v>
                </c:pt>
                <c:pt idx="33">
                  <c:v>Nd</c:v>
                </c:pt>
                <c:pt idx="34">
                  <c:v>Sm</c:v>
                </c:pt>
                <c:pt idx="35">
                  <c:v>Eu</c:v>
                </c:pt>
                <c:pt idx="36">
                  <c:v>Gd</c:v>
                </c:pt>
                <c:pt idx="37">
                  <c:v>Tb</c:v>
                </c:pt>
                <c:pt idx="38">
                  <c:v>Dy</c:v>
                </c:pt>
                <c:pt idx="39">
                  <c:v>Ho</c:v>
                </c:pt>
                <c:pt idx="40">
                  <c:v>Er</c:v>
                </c:pt>
                <c:pt idx="41">
                  <c:v>Tm</c:v>
                </c:pt>
                <c:pt idx="42">
                  <c:v>Yb</c:v>
                </c:pt>
                <c:pt idx="43">
                  <c:v>Lu</c:v>
                </c:pt>
                <c:pt idx="44">
                  <c:v>Hf</c:v>
                </c:pt>
                <c:pt idx="45">
                  <c:v>Ta</c:v>
                </c:pt>
                <c:pt idx="46">
                  <c:v>W</c:v>
                </c:pt>
                <c:pt idx="47">
                  <c:v>Re</c:v>
                </c:pt>
                <c:pt idx="48">
                  <c:v>Tl</c:v>
                </c:pt>
                <c:pt idx="49">
                  <c:v>Pb</c:v>
                </c:pt>
                <c:pt idx="50">
                  <c:v>Th</c:v>
                </c:pt>
                <c:pt idx="51">
                  <c:v>U</c:v>
                </c:pt>
              </c:strCache>
            </c:strRef>
          </c:cat>
          <c:val>
            <c:numRef>
              <c:f>'silicrete - final summary'!$E$17:$BD$17</c:f>
              <c:numCache>
                <c:formatCode>0.00</c:formatCode>
                <c:ptCount val="52"/>
                <c:pt idx="0">
                  <c:v>2.2415039490016966</c:v>
                </c:pt>
                <c:pt idx="1">
                  <c:v>37.403996518667554</c:v>
                </c:pt>
                <c:pt idx="2">
                  <c:v>47.568399245268665</c:v>
                </c:pt>
                <c:pt idx="3">
                  <c:v>-3580.4582254223969</c:v>
                </c:pt>
                <c:pt idx="4">
                  <c:v>47.276858910618671</c:v>
                </c:pt>
                <c:pt idx="5">
                  <c:v>-80.361325798091229</c:v>
                </c:pt>
                <c:pt idx="6">
                  <c:v>66.316938195215698</c:v>
                </c:pt>
                <c:pt idx="7">
                  <c:v>9.1130754886822984E-2</c:v>
                </c:pt>
                <c:pt idx="8">
                  <c:v>1871.5771379637445</c:v>
                </c:pt>
                <c:pt idx="9">
                  <c:v>48.247098346210805</c:v>
                </c:pt>
                <c:pt idx="10">
                  <c:v>22.276178243087912</c:v>
                </c:pt>
                <c:pt idx="11">
                  <c:v>-3.2503126185004874</c:v>
                </c:pt>
                <c:pt idx="12">
                  <c:v>12729.749517552955</c:v>
                </c:pt>
                <c:pt idx="13">
                  <c:v>4.3690470992360204</c:v>
                </c:pt>
                <c:pt idx="14">
                  <c:v>8.9195448134655315</c:v>
                </c:pt>
                <c:pt idx="15">
                  <c:v>4.0088611001509733</c:v>
                </c:pt>
                <c:pt idx="16">
                  <c:v>5.8024888324394368</c:v>
                </c:pt>
                <c:pt idx="17">
                  <c:v>0.83712705236772322</c:v>
                </c:pt>
                <c:pt idx="18">
                  <c:v>10.578648261310008</c:v>
                </c:pt>
                <c:pt idx="19">
                  <c:v>1.4130777315015255</c:v>
                </c:pt>
                <c:pt idx="20">
                  <c:v>-0.60985139904439123</c:v>
                </c:pt>
                <c:pt idx="21">
                  <c:v>-25.164016438601379</c:v>
                </c:pt>
                <c:pt idx="22">
                  <c:v>-77.985470339183848</c:v>
                </c:pt>
                <c:pt idx="23">
                  <c:v>3.1620665081145489</c:v>
                </c:pt>
                <c:pt idx="24">
                  <c:v>0.7564271255823023</c:v>
                </c:pt>
                <c:pt idx="25">
                  <c:v>0.34500615390697531</c:v>
                </c:pt>
                <c:pt idx="26">
                  <c:v>-6.504639499182796E-2</c:v>
                </c:pt>
                <c:pt idx="27">
                  <c:v>1.2592134342008787</c:v>
                </c:pt>
                <c:pt idx="28">
                  <c:v>-3.2604048346543513E-2</c:v>
                </c:pt>
                <c:pt idx="29">
                  <c:v>-550.94570883851861</c:v>
                </c:pt>
                <c:pt idx="30">
                  <c:v>4.4497765535719225</c:v>
                </c:pt>
                <c:pt idx="31">
                  <c:v>15.171303312219038</c:v>
                </c:pt>
                <c:pt idx="32">
                  <c:v>1.4274102709672896</c:v>
                </c:pt>
                <c:pt idx="33">
                  <c:v>7.1136748487318187</c:v>
                </c:pt>
                <c:pt idx="34">
                  <c:v>1.7379537907053688</c:v>
                </c:pt>
                <c:pt idx="35">
                  <c:v>0.36845197660027962</c:v>
                </c:pt>
                <c:pt idx="36">
                  <c:v>1.8244172620245926</c:v>
                </c:pt>
                <c:pt idx="37">
                  <c:v>0.21782382184932292</c:v>
                </c:pt>
                <c:pt idx="38">
                  <c:v>1.4459647665117785</c:v>
                </c:pt>
                <c:pt idx="39">
                  <c:v>0.2982219292098387</c:v>
                </c:pt>
                <c:pt idx="40">
                  <c:v>0.81275599221275918</c:v>
                </c:pt>
                <c:pt idx="41">
                  <c:v>0.11065457835034653</c:v>
                </c:pt>
                <c:pt idx="42">
                  <c:v>0.63631747555617579</c:v>
                </c:pt>
                <c:pt idx="43">
                  <c:v>0.10014296650958299</c:v>
                </c:pt>
                <c:pt idx="44">
                  <c:v>-2.2975768380233177</c:v>
                </c:pt>
                <c:pt idx="45">
                  <c:v>0.63775160514068929</c:v>
                </c:pt>
                <c:pt idx="46">
                  <c:v>1.1639104807224641</c:v>
                </c:pt>
                <c:pt idx="47">
                  <c:v>4.75533923518014E-4</c:v>
                </c:pt>
                <c:pt idx="48">
                  <c:v>8.9073176656455644E-3</c:v>
                </c:pt>
                <c:pt idx="49">
                  <c:v>4.375282302078574</c:v>
                </c:pt>
                <c:pt idx="50">
                  <c:v>0.45503647884962106</c:v>
                </c:pt>
                <c:pt idx="51">
                  <c:v>0.21532242738034668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390-3D49-838F-33182E5A61E5}"/>
            </c:ext>
          </c:extLst>
        </c:ser>
        <c:ser>
          <c:idx val="1"/>
          <c:order val="1"/>
          <c:spPr>
            <a:ln w="19050" cap="rnd">
              <a:solidFill>
                <a:schemeClr val="tx1"/>
              </a:solidFill>
              <a:prstDash val="sysDash"/>
              <a:round/>
            </a:ln>
            <a:effectLst/>
          </c:spPr>
          <c:marker>
            <c:symbol val="none"/>
          </c:marker>
          <c:val>
            <c:numRef>
              <c:f>'silicrete - final summary'!$E$2:$BD$2</c:f>
              <c:numCache>
                <c:formatCode>General</c:formatCode>
                <c:ptCount val="52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390-3D49-838F-33182E5A61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765501855"/>
        <c:axId val="1781072591"/>
      </c:lineChart>
      <c:catAx>
        <c:axId val="176550185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781072591"/>
        <c:crosses val="autoZero"/>
        <c:auto val="1"/>
        <c:lblAlgn val="ctr"/>
        <c:lblOffset val="100"/>
        <c:noMultiLvlLbl val="0"/>
      </c:catAx>
      <c:valAx>
        <c:axId val="178107259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dirty="0">
                    <a:solidFill>
                      <a:schemeClr val="tx1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Change in ppm</a:t>
                </a:r>
              </a:p>
            </c:rich>
          </c:tx>
          <c:layout>
            <c:manualLayout>
              <c:xMode val="edge"/>
              <c:yMode val="edge"/>
              <c:x val="1.5764349041904099E-2"/>
              <c:y val="0.3368210501733704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76550185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Jayde</dc:creator>
  <cp:keywords/>
  <dc:description/>
  <cp:lastModifiedBy>Jayde</cp:lastModifiedBy>
  <cp:revision>23</cp:revision>
  <dcterms:created xsi:type="dcterms:W3CDTF">2023-10-11T18:49:00Z</dcterms:created>
  <dcterms:modified xsi:type="dcterms:W3CDTF">2023-11-12T17:21:00Z</dcterms:modified>
</cp:coreProperties>
</file>