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3FDED" w14:textId="016EF36F" w:rsidR="00763495" w:rsidRDefault="00C82EE2">
      <w:pPr>
        <w:jc w:val="center"/>
        <w:rPr>
          <w:b/>
          <w:lang w:val="en-US"/>
        </w:rPr>
      </w:pPr>
      <w:r w:rsidRPr="00180126">
        <w:rPr>
          <w:b/>
          <w:lang w:val="en-US"/>
        </w:rPr>
        <w:t>Supporting inform</w:t>
      </w:r>
      <w:r w:rsidR="0036731A" w:rsidRPr="00180126">
        <w:rPr>
          <w:b/>
          <w:lang w:val="en-US"/>
        </w:rPr>
        <w:t>ation</w:t>
      </w:r>
    </w:p>
    <w:p w14:paraId="152D59F8" w14:textId="77777777" w:rsidR="00E87FF1" w:rsidRDefault="00E87FF1">
      <w:pPr>
        <w:jc w:val="center"/>
        <w:rPr>
          <w:b/>
          <w:lang w:val="en-US"/>
        </w:rPr>
      </w:pPr>
    </w:p>
    <w:p w14:paraId="69490F93" w14:textId="77777777" w:rsidR="00E87FF1" w:rsidRDefault="00E87FF1">
      <w:pPr>
        <w:jc w:val="center"/>
        <w:rPr>
          <w:b/>
          <w:lang w:val="en-US"/>
        </w:rPr>
      </w:pPr>
    </w:p>
    <w:p w14:paraId="43F621B2" w14:textId="77777777" w:rsidR="00E87FF1" w:rsidRDefault="00E87FF1">
      <w:pPr>
        <w:jc w:val="center"/>
        <w:rPr>
          <w:b/>
          <w:lang w:val="en-US"/>
        </w:rPr>
      </w:pPr>
    </w:p>
    <w:p w14:paraId="075EA4A7" w14:textId="77777777" w:rsidR="00E87FF1" w:rsidRPr="00180126" w:rsidRDefault="00E87FF1">
      <w:pPr>
        <w:jc w:val="center"/>
        <w:rPr>
          <w:b/>
          <w:lang w:val="en-US"/>
        </w:rPr>
      </w:pPr>
    </w:p>
    <w:p w14:paraId="566CBE23" w14:textId="65483171" w:rsidR="00526BEE" w:rsidRPr="00180126" w:rsidRDefault="00526BEE" w:rsidP="00526BEE">
      <w:pPr>
        <w:pStyle w:val="Title1"/>
        <w:spacing w:line="240" w:lineRule="atLeast"/>
        <w:jc w:val="both"/>
        <w:rPr>
          <w:lang w:val="en-US"/>
        </w:rPr>
      </w:pPr>
      <w:r w:rsidRPr="00180126">
        <w:rPr>
          <w:lang w:val="en-US"/>
        </w:rPr>
        <w:t xml:space="preserve">Towards a more efficient breast cancer therapy using active human cell membrane-coated </w:t>
      </w:r>
      <w:r w:rsidR="00E87FF1">
        <w:rPr>
          <w:lang w:val="en-US"/>
        </w:rPr>
        <w:t>m</w:t>
      </w:r>
      <w:r w:rsidRPr="00180126">
        <w:rPr>
          <w:lang w:val="en-US"/>
        </w:rPr>
        <w:t>etal-</w:t>
      </w:r>
      <w:r w:rsidR="00E87FF1">
        <w:rPr>
          <w:lang w:val="en-US"/>
        </w:rPr>
        <w:t>o</w:t>
      </w:r>
      <w:r w:rsidRPr="00180126">
        <w:rPr>
          <w:lang w:val="en-US"/>
        </w:rPr>
        <w:t xml:space="preserve">rganic </w:t>
      </w:r>
      <w:r w:rsidR="00E87FF1">
        <w:rPr>
          <w:lang w:val="en-US"/>
        </w:rPr>
        <w:t>f</w:t>
      </w:r>
      <w:r w:rsidRPr="00180126">
        <w:rPr>
          <w:lang w:val="en-US"/>
        </w:rPr>
        <w:t>rameworks</w:t>
      </w:r>
    </w:p>
    <w:p w14:paraId="24C72107" w14:textId="312624AC" w:rsidR="00526BEE" w:rsidRPr="00FB5FE6" w:rsidRDefault="00526BEE" w:rsidP="00526BEE">
      <w:pPr>
        <w:pStyle w:val="Authors"/>
        <w:spacing w:line="240" w:lineRule="atLeast"/>
        <w:rPr>
          <w:lang w:val="es-ES"/>
        </w:rPr>
      </w:pPr>
      <w:r w:rsidRPr="00FB5FE6">
        <w:rPr>
          <w:lang w:val="es-ES"/>
        </w:rPr>
        <w:t xml:space="preserve">Pablo </w:t>
      </w:r>
      <w:proofErr w:type="spellStart"/>
      <w:r w:rsidRPr="00FB5FE6">
        <w:rPr>
          <w:lang w:val="es-ES"/>
        </w:rPr>
        <w:t>Graván,</w:t>
      </w:r>
      <w:r w:rsidRPr="00FB5FE6">
        <w:rPr>
          <w:vertAlign w:val="superscript"/>
          <w:lang w:val="es-ES"/>
        </w:rPr>
        <w:t>a,b,c,d,e,f</w:t>
      </w:r>
      <w:proofErr w:type="spellEnd"/>
      <w:r w:rsidRPr="00FB5FE6">
        <w:rPr>
          <w:lang w:val="es-ES"/>
        </w:rPr>
        <w:t xml:space="preserve"> Sara </w:t>
      </w:r>
      <w:proofErr w:type="spellStart"/>
      <w:r w:rsidRPr="00FB5FE6">
        <w:rPr>
          <w:lang w:val="es-ES"/>
        </w:rPr>
        <w:t>Rojas,</w:t>
      </w:r>
      <w:r w:rsidRPr="00FB5FE6">
        <w:rPr>
          <w:vertAlign w:val="superscript"/>
          <w:lang w:val="es-ES"/>
        </w:rPr>
        <w:t>g</w:t>
      </w:r>
      <w:proofErr w:type="spellEnd"/>
      <w:r w:rsidRPr="00FB5FE6">
        <w:rPr>
          <w:vertAlign w:val="superscript"/>
          <w:lang w:val="es-ES"/>
        </w:rPr>
        <w:t xml:space="preserve"> </w:t>
      </w:r>
      <w:r w:rsidRPr="00FB5FE6">
        <w:rPr>
          <w:lang w:val="es-ES"/>
        </w:rPr>
        <w:t xml:space="preserve">Darina Francesca </w:t>
      </w:r>
      <w:proofErr w:type="spellStart"/>
      <w:r w:rsidRPr="00FB5FE6">
        <w:rPr>
          <w:lang w:val="es-ES"/>
        </w:rPr>
        <w:t>Picchi,</w:t>
      </w:r>
      <w:r w:rsidRPr="00FB5FE6">
        <w:rPr>
          <w:vertAlign w:val="superscript"/>
          <w:lang w:val="es-ES"/>
        </w:rPr>
        <w:t>h</w:t>
      </w:r>
      <w:proofErr w:type="spellEnd"/>
      <w:r w:rsidRPr="00FB5FE6">
        <w:rPr>
          <w:lang w:val="es-ES"/>
        </w:rPr>
        <w:t xml:space="preserve"> Francisco Galisteo-</w:t>
      </w:r>
      <w:proofErr w:type="spellStart"/>
      <w:r w:rsidRPr="00FB5FE6">
        <w:rPr>
          <w:lang w:val="es-ES"/>
        </w:rPr>
        <w:t>González,</w:t>
      </w:r>
      <w:r w:rsidRPr="00FB5FE6">
        <w:rPr>
          <w:vertAlign w:val="superscript"/>
          <w:lang w:val="es-ES"/>
        </w:rPr>
        <w:t>a</w:t>
      </w:r>
      <w:proofErr w:type="spellEnd"/>
      <w:r w:rsidRPr="00FB5FE6">
        <w:rPr>
          <w:lang w:val="es-ES"/>
        </w:rPr>
        <w:t xml:space="preserve"> Patricia </w:t>
      </w:r>
      <w:proofErr w:type="spellStart"/>
      <w:r w:rsidRPr="00FB5FE6">
        <w:rPr>
          <w:lang w:val="es-ES"/>
        </w:rPr>
        <w:t>Horcajada,</w:t>
      </w:r>
      <w:r w:rsidRPr="00FB5FE6">
        <w:rPr>
          <w:vertAlign w:val="superscript"/>
          <w:lang w:val="es-ES"/>
        </w:rPr>
        <w:t>h</w:t>
      </w:r>
      <w:proofErr w:type="spellEnd"/>
      <w:r w:rsidRPr="00FB5FE6">
        <w:rPr>
          <w:vertAlign w:val="superscript"/>
          <w:lang w:val="es-ES"/>
        </w:rPr>
        <w:t>,</w:t>
      </w:r>
      <w:r w:rsidRPr="00FB5FE6">
        <w:rPr>
          <w:lang w:val="es-ES"/>
        </w:rPr>
        <w:t>* and Juan A</w:t>
      </w:r>
      <w:r w:rsidR="00D2662A" w:rsidRPr="00FB5FE6">
        <w:rPr>
          <w:lang w:val="es-ES"/>
        </w:rPr>
        <w:t>ntonio</w:t>
      </w:r>
      <w:r w:rsidRPr="00FB5FE6">
        <w:rPr>
          <w:lang w:val="es-ES"/>
        </w:rPr>
        <w:t xml:space="preserve"> Marchal </w:t>
      </w:r>
      <w:proofErr w:type="spellStart"/>
      <w:r w:rsidRPr="00FB5FE6">
        <w:rPr>
          <w:vertAlign w:val="superscript"/>
          <w:lang w:val="es-ES"/>
        </w:rPr>
        <w:t>b,c,d,e,f</w:t>
      </w:r>
      <w:proofErr w:type="spellEnd"/>
      <w:r w:rsidRPr="00FB5FE6">
        <w:rPr>
          <w:vertAlign w:val="superscript"/>
          <w:lang w:val="es-ES"/>
        </w:rPr>
        <w:t>,</w:t>
      </w:r>
      <w:r w:rsidRPr="00FB5FE6">
        <w:rPr>
          <w:lang w:val="es-ES"/>
        </w:rPr>
        <w:t>*</w:t>
      </w:r>
    </w:p>
    <w:p w14:paraId="00C006C3" w14:textId="77777777" w:rsidR="00526BEE" w:rsidRPr="00180126" w:rsidRDefault="00526BEE" w:rsidP="00526BEE">
      <w:pPr>
        <w:pStyle w:val="Adress"/>
        <w:pBdr>
          <w:top w:val="single" w:sz="4" w:space="1" w:color="000000"/>
        </w:pBdr>
        <w:spacing w:line="240" w:lineRule="atLeast"/>
        <w:rPr>
          <w:lang w:val="en-US"/>
        </w:rPr>
      </w:pPr>
      <w:r w:rsidRPr="00180126">
        <w:rPr>
          <w:lang w:val="en-US"/>
        </w:rPr>
        <w:t>[a]</w:t>
      </w:r>
      <w:r w:rsidRPr="00180126">
        <w:rPr>
          <w:lang w:val="en-US"/>
        </w:rPr>
        <w:tab/>
        <w:t>Department of Applied Physics, Faculty of Science, University of Granada, 18071 Granada, Spain.</w:t>
      </w:r>
    </w:p>
    <w:p w14:paraId="61D01B10" w14:textId="77777777" w:rsidR="00526BEE" w:rsidRPr="00180126" w:rsidRDefault="00526BEE" w:rsidP="00526BEE">
      <w:pPr>
        <w:pStyle w:val="Adress"/>
        <w:spacing w:line="240" w:lineRule="atLeast"/>
        <w:rPr>
          <w:lang w:val="en-US"/>
        </w:rPr>
      </w:pPr>
      <w:r w:rsidRPr="00180126">
        <w:rPr>
          <w:lang w:val="en-US"/>
        </w:rPr>
        <w:t>[b]</w:t>
      </w:r>
      <w:r w:rsidRPr="00180126">
        <w:rPr>
          <w:lang w:val="en-US"/>
        </w:rPr>
        <w:tab/>
        <w:t>Department of Human Anatomy and Embryology, Faculty of Medicine, University of Granada, 18016 Granada, Spain.</w:t>
      </w:r>
    </w:p>
    <w:p w14:paraId="07AB25CF" w14:textId="77777777" w:rsidR="00526BEE" w:rsidRPr="00FB5FE6" w:rsidRDefault="00526BEE" w:rsidP="00526BEE">
      <w:pPr>
        <w:pStyle w:val="Adress"/>
        <w:spacing w:line="240" w:lineRule="atLeast"/>
        <w:rPr>
          <w:lang w:val="es-ES"/>
        </w:rPr>
      </w:pPr>
      <w:r w:rsidRPr="00FB5FE6">
        <w:rPr>
          <w:lang w:val="es-ES"/>
        </w:rPr>
        <w:t>[c]</w:t>
      </w:r>
      <w:r w:rsidRPr="00FB5FE6">
        <w:rPr>
          <w:lang w:val="es-ES"/>
        </w:rPr>
        <w:tab/>
        <w:t>Instituto de Investigación Biosanitaria de Granada (</w:t>
      </w:r>
      <w:proofErr w:type="spellStart"/>
      <w:r w:rsidRPr="00FB5FE6">
        <w:rPr>
          <w:lang w:val="es-ES"/>
        </w:rPr>
        <w:t>ibs.GRANADA</w:t>
      </w:r>
      <w:proofErr w:type="spellEnd"/>
      <w:r w:rsidRPr="00FB5FE6">
        <w:rPr>
          <w:lang w:val="es-ES"/>
        </w:rPr>
        <w:t xml:space="preserve">), 18012 Granada, </w:t>
      </w:r>
      <w:proofErr w:type="spellStart"/>
      <w:r w:rsidRPr="00FB5FE6">
        <w:rPr>
          <w:lang w:val="es-ES"/>
        </w:rPr>
        <w:t>Spain</w:t>
      </w:r>
      <w:proofErr w:type="spellEnd"/>
      <w:r w:rsidRPr="00FB5FE6">
        <w:rPr>
          <w:lang w:val="es-ES"/>
        </w:rPr>
        <w:t>.</w:t>
      </w:r>
    </w:p>
    <w:p w14:paraId="4BD631D7" w14:textId="77777777" w:rsidR="00526BEE" w:rsidRPr="00180126" w:rsidRDefault="00526BEE" w:rsidP="00526BEE">
      <w:pPr>
        <w:pStyle w:val="Adress"/>
        <w:spacing w:line="240" w:lineRule="atLeast"/>
        <w:rPr>
          <w:lang w:val="en-US"/>
        </w:rPr>
      </w:pPr>
      <w:r w:rsidRPr="00180126">
        <w:rPr>
          <w:lang w:val="en-US"/>
        </w:rPr>
        <w:t>[d]</w:t>
      </w:r>
      <w:r w:rsidRPr="00180126">
        <w:rPr>
          <w:lang w:val="en-US"/>
        </w:rPr>
        <w:tab/>
        <w:t>Biopathology and Regenerative Medicine Institute (IBIMER), Centre for Biomedical Research (CIBM), University of Granada, 18016 Granada, Spain.</w:t>
      </w:r>
    </w:p>
    <w:p w14:paraId="7342F56C" w14:textId="77777777" w:rsidR="00526BEE" w:rsidRPr="00180126" w:rsidRDefault="00526BEE" w:rsidP="00526BEE">
      <w:pPr>
        <w:pStyle w:val="Adress"/>
        <w:spacing w:line="240" w:lineRule="atLeast"/>
        <w:rPr>
          <w:lang w:val="en-US"/>
        </w:rPr>
      </w:pPr>
      <w:r w:rsidRPr="00180126">
        <w:rPr>
          <w:lang w:val="en-US"/>
        </w:rPr>
        <w:t>[e]</w:t>
      </w:r>
      <w:r w:rsidRPr="00180126">
        <w:rPr>
          <w:lang w:val="en-US"/>
        </w:rPr>
        <w:tab/>
        <w:t>Excellence Research Unit Modelling Nature (</w:t>
      </w:r>
      <w:proofErr w:type="spellStart"/>
      <w:r w:rsidRPr="00180126">
        <w:rPr>
          <w:lang w:val="en-US"/>
        </w:rPr>
        <w:t>MNat</w:t>
      </w:r>
      <w:proofErr w:type="spellEnd"/>
      <w:r w:rsidRPr="00180126">
        <w:rPr>
          <w:lang w:val="en-US"/>
        </w:rPr>
        <w:t>), University of Granada, 18016 Granada, Spain.</w:t>
      </w:r>
    </w:p>
    <w:p w14:paraId="6ACE14C9" w14:textId="77777777" w:rsidR="00526BEE" w:rsidRPr="00180126" w:rsidRDefault="00526BEE" w:rsidP="00526BEE">
      <w:pPr>
        <w:pStyle w:val="Adress"/>
        <w:spacing w:line="240" w:lineRule="atLeast"/>
        <w:rPr>
          <w:lang w:val="en-US"/>
        </w:rPr>
      </w:pPr>
      <w:r w:rsidRPr="00180126">
        <w:rPr>
          <w:lang w:val="en-US"/>
        </w:rPr>
        <w:t>[f]</w:t>
      </w:r>
      <w:r w:rsidRPr="00180126">
        <w:rPr>
          <w:lang w:val="en-US"/>
        </w:rPr>
        <w:tab/>
      </w:r>
      <w:proofErr w:type="spellStart"/>
      <w:r w:rsidRPr="00180126">
        <w:rPr>
          <w:lang w:val="en-US"/>
        </w:rPr>
        <w:t>BioFab</w:t>
      </w:r>
      <w:proofErr w:type="spellEnd"/>
      <w:r w:rsidRPr="00180126">
        <w:rPr>
          <w:lang w:val="en-US"/>
        </w:rPr>
        <w:t xml:space="preserve"> i3D - </w:t>
      </w:r>
      <w:proofErr w:type="spellStart"/>
      <w:r w:rsidRPr="00180126">
        <w:rPr>
          <w:lang w:val="en-US"/>
        </w:rPr>
        <w:t>Biofabrication</w:t>
      </w:r>
      <w:proofErr w:type="spellEnd"/>
      <w:r w:rsidRPr="00180126">
        <w:rPr>
          <w:lang w:val="en-US"/>
        </w:rPr>
        <w:t xml:space="preserve"> and 3D (bio)printing laboratory, University of Granada, 18100 Granada, Spain.</w:t>
      </w:r>
    </w:p>
    <w:p w14:paraId="7F005A3A" w14:textId="77777777" w:rsidR="00526BEE" w:rsidRPr="00180126" w:rsidRDefault="00526BEE" w:rsidP="00526BEE">
      <w:pPr>
        <w:pStyle w:val="Adress"/>
        <w:spacing w:line="240" w:lineRule="atLeast"/>
        <w:rPr>
          <w:lang w:val="en-US"/>
        </w:rPr>
      </w:pPr>
      <w:r w:rsidRPr="00180126">
        <w:rPr>
          <w:lang w:val="en-US"/>
        </w:rPr>
        <w:t>[g]</w:t>
      </w:r>
      <w:r w:rsidRPr="00180126">
        <w:rPr>
          <w:lang w:val="en-US"/>
        </w:rPr>
        <w:tab/>
        <w:t xml:space="preserve">Department of Inorganic Chemistry, Faculty of Science, University of Granada, Av. </w:t>
      </w:r>
      <w:proofErr w:type="spellStart"/>
      <w:r w:rsidRPr="00180126">
        <w:rPr>
          <w:lang w:val="en-US"/>
        </w:rPr>
        <w:t>Fuentenueva</w:t>
      </w:r>
      <w:proofErr w:type="spellEnd"/>
      <w:r w:rsidRPr="00180126">
        <w:rPr>
          <w:lang w:val="en-US"/>
        </w:rPr>
        <w:t xml:space="preserve"> s/n, 18071 Granada, Spain.</w:t>
      </w:r>
    </w:p>
    <w:p w14:paraId="4B9262F9" w14:textId="77777777" w:rsidR="00526BEE" w:rsidRPr="00FB5FE6" w:rsidRDefault="00526BEE" w:rsidP="00526BEE">
      <w:pPr>
        <w:pStyle w:val="Adress"/>
        <w:spacing w:line="240" w:lineRule="atLeast"/>
        <w:rPr>
          <w:lang w:val="es-ES"/>
        </w:rPr>
      </w:pPr>
      <w:r w:rsidRPr="00180126">
        <w:rPr>
          <w:lang w:val="en-US"/>
        </w:rPr>
        <w:t>[h]</w:t>
      </w:r>
      <w:r w:rsidRPr="00180126">
        <w:rPr>
          <w:lang w:val="en-US"/>
        </w:rPr>
        <w:tab/>
        <w:t xml:space="preserve">Advanced Porous Materials Unit, IMDEA Energy Institute, Av. </w:t>
      </w:r>
      <w:r w:rsidRPr="00FB5FE6">
        <w:rPr>
          <w:lang w:val="es-ES"/>
        </w:rPr>
        <w:t xml:space="preserve">Ramón de la Sagra 3, 28935 Móstoles, </w:t>
      </w:r>
      <w:proofErr w:type="spellStart"/>
      <w:r w:rsidRPr="00FB5FE6">
        <w:rPr>
          <w:lang w:val="es-ES"/>
        </w:rPr>
        <w:t>Spain</w:t>
      </w:r>
      <w:proofErr w:type="spellEnd"/>
      <w:r w:rsidRPr="00FB5FE6">
        <w:rPr>
          <w:lang w:val="es-ES"/>
        </w:rPr>
        <w:t>.</w:t>
      </w:r>
    </w:p>
    <w:p w14:paraId="49EBC6B2" w14:textId="77777777" w:rsidR="00526BEE" w:rsidRPr="00180126" w:rsidRDefault="00526BEE" w:rsidP="00526BEE">
      <w:pPr>
        <w:pStyle w:val="Adress"/>
        <w:spacing w:line="240" w:lineRule="atLeast"/>
        <w:rPr>
          <w:lang w:val="en-US"/>
        </w:rPr>
      </w:pPr>
      <w:r w:rsidRPr="00180126">
        <w:rPr>
          <w:lang w:val="en-US"/>
        </w:rPr>
        <w:t xml:space="preserve">E-mail: </w:t>
      </w:r>
      <w:hyperlink r:id="rId8" w:history="1">
        <w:r w:rsidRPr="00180126">
          <w:rPr>
            <w:rStyle w:val="Hyperlink"/>
            <w:color w:val="auto"/>
            <w:u w:val="none"/>
            <w:lang w:val="en-US"/>
          </w:rPr>
          <w:t>patricia.horcajada@imdea.org</w:t>
        </w:r>
      </w:hyperlink>
      <w:r w:rsidRPr="00180126">
        <w:rPr>
          <w:lang w:val="en-US"/>
        </w:rPr>
        <w:t>;</w:t>
      </w:r>
      <w:r w:rsidRPr="00180126">
        <w:rPr>
          <w:rFonts w:eastAsia="Arial" w:cs="Arial"/>
          <w:sz w:val="22"/>
          <w:szCs w:val="22"/>
          <w:lang w:val="en-US" w:eastAsia="es-ES"/>
        </w:rPr>
        <w:t xml:space="preserve"> </w:t>
      </w:r>
      <w:hyperlink r:id="rId9" w:history="1">
        <w:r w:rsidRPr="00180126">
          <w:rPr>
            <w:rStyle w:val="Hyperlink"/>
            <w:color w:val="auto"/>
            <w:u w:val="none"/>
            <w:lang w:val="en-US"/>
          </w:rPr>
          <w:t>jmarchal@ugr.es</w:t>
        </w:r>
      </w:hyperlink>
    </w:p>
    <w:p w14:paraId="3E6FBA30" w14:textId="19664875" w:rsidR="00526BEE" w:rsidRPr="00180126" w:rsidRDefault="00526BEE" w:rsidP="00526BEE">
      <w:pPr>
        <w:rPr>
          <w:lang w:val="en-US"/>
        </w:rPr>
      </w:pPr>
    </w:p>
    <w:p w14:paraId="50E50D86" w14:textId="49AAF46C" w:rsidR="004346FC" w:rsidRPr="00180126" w:rsidRDefault="004346FC" w:rsidP="00526BEE">
      <w:pPr>
        <w:rPr>
          <w:color w:val="333333"/>
          <w:lang w:val="en-US"/>
        </w:rPr>
      </w:pPr>
      <w:r w:rsidRPr="00180126">
        <w:rPr>
          <w:color w:val="333333"/>
          <w:lang w:val="en-US"/>
        </w:rPr>
        <w:br w:type="page"/>
      </w:r>
    </w:p>
    <w:p w14:paraId="1C50303A" w14:textId="77777777" w:rsidR="00763495" w:rsidRPr="00180126" w:rsidRDefault="00763495">
      <w:pPr>
        <w:jc w:val="both"/>
        <w:rPr>
          <w:b/>
          <w:color w:val="333333"/>
          <w:lang w:val="en-US"/>
        </w:rPr>
      </w:pPr>
    </w:p>
    <w:p w14:paraId="4B56EACD" w14:textId="77777777" w:rsidR="00763495" w:rsidRPr="00180126" w:rsidRDefault="00C82EE2">
      <w:pPr>
        <w:jc w:val="both"/>
        <w:rPr>
          <w:b/>
          <w:color w:val="333333"/>
          <w:lang w:val="en-US"/>
        </w:rPr>
      </w:pPr>
      <w:r w:rsidRPr="00180126">
        <w:rPr>
          <w:b/>
          <w:noProof/>
          <w:color w:val="333333"/>
          <w:lang w:val="en-US" w:eastAsia="es-ES_tradnl"/>
        </w:rPr>
        <w:drawing>
          <wp:inline distT="114300" distB="114300" distL="114300" distR="114300" wp14:anchorId="0AD9FFD8" wp14:editId="6838B29F">
            <wp:extent cx="5731200" cy="34798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731200" cy="3479800"/>
                    </a:xfrm>
                    <a:prstGeom prst="rect">
                      <a:avLst/>
                    </a:prstGeom>
                    <a:ln/>
                  </pic:spPr>
                </pic:pic>
              </a:graphicData>
            </a:graphic>
          </wp:inline>
        </w:drawing>
      </w:r>
    </w:p>
    <w:p w14:paraId="607A8A1F" w14:textId="77777777" w:rsidR="00763495" w:rsidRPr="00180126" w:rsidRDefault="00C82EE2">
      <w:pPr>
        <w:jc w:val="both"/>
        <w:rPr>
          <w:color w:val="333333"/>
          <w:lang w:val="en-US"/>
        </w:rPr>
      </w:pPr>
      <w:r w:rsidRPr="00180126">
        <w:rPr>
          <w:b/>
          <w:color w:val="333333"/>
          <w:lang w:val="en-US"/>
        </w:rPr>
        <w:t xml:space="preserve">Figure S1. </w:t>
      </w:r>
      <w:r w:rsidRPr="00180126">
        <w:rPr>
          <w:color w:val="333333"/>
          <w:lang w:val="en-US"/>
        </w:rPr>
        <w:t>HR-TEM images and EDX-elemental mapping confirming the successful cell membrane coating of MIL-100(Fe) NPs (Fe: red, U: blue, C: yellow).</w:t>
      </w:r>
    </w:p>
    <w:p w14:paraId="5811A452" w14:textId="77777777" w:rsidR="00763495" w:rsidRPr="00180126" w:rsidRDefault="00763495">
      <w:pPr>
        <w:jc w:val="both"/>
        <w:rPr>
          <w:color w:val="333333"/>
          <w:lang w:val="en-US"/>
        </w:rPr>
      </w:pPr>
    </w:p>
    <w:p w14:paraId="37D9CE8F" w14:textId="77777777" w:rsidR="00763495" w:rsidRPr="00180126" w:rsidRDefault="00C82EE2">
      <w:pPr>
        <w:jc w:val="center"/>
        <w:rPr>
          <w:color w:val="333333"/>
          <w:lang w:val="en-US"/>
        </w:rPr>
      </w:pPr>
      <w:r w:rsidRPr="00180126">
        <w:rPr>
          <w:noProof/>
          <w:color w:val="333333"/>
          <w:lang w:val="en-US" w:eastAsia="es-ES_tradnl"/>
        </w:rPr>
        <w:lastRenderedPageBreak/>
        <w:drawing>
          <wp:inline distT="114300" distB="114300" distL="114300" distR="114300" wp14:anchorId="62295D98" wp14:editId="67F87645">
            <wp:extent cx="5072911" cy="7710488"/>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5072911" cy="7710488"/>
                    </a:xfrm>
                    <a:prstGeom prst="rect">
                      <a:avLst/>
                    </a:prstGeom>
                    <a:ln/>
                  </pic:spPr>
                </pic:pic>
              </a:graphicData>
            </a:graphic>
          </wp:inline>
        </w:drawing>
      </w:r>
    </w:p>
    <w:p w14:paraId="39D60596" w14:textId="53D19C7A" w:rsidR="00763495" w:rsidRPr="00180126" w:rsidRDefault="00C82EE2">
      <w:pPr>
        <w:jc w:val="both"/>
        <w:rPr>
          <w:color w:val="333333"/>
          <w:lang w:val="en-US"/>
        </w:rPr>
      </w:pPr>
      <w:r w:rsidRPr="00180126">
        <w:rPr>
          <w:b/>
          <w:color w:val="333333"/>
          <w:lang w:val="en-US"/>
        </w:rPr>
        <w:t>Figure S2.</w:t>
      </w:r>
      <w:r w:rsidRPr="00180126">
        <w:rPr>
          <w:color w:val="333333"/>
          <w:lang w:val="en-US"/>
        </w:rPr>
        <w:t xml:space="preserve"> HR-TEM images and EDX-elemental mapping</w:t>
      </w:r>
      <w:r w:rsidR="00180126" w:rsidRPr="00180126">
        <w:rPr>
          <w:color w:val="333333"/>
          <w:lang w:val="en-US"/>
        </w:rPr>
        <w:t>/counts</w:t>
      </w:r>
      <w:r w:rsidRPr="00180126">
        <w:rPr>
          <w:color w:val="333333"/>
          <w:lang w:val="en-US"/>
        </w:rPr>
        <w:t xml:space="preserve"> of internal and external area of CS_MIL-100(Fe) NPs confirming differences in the </w:t>
      </w:r>
      <w:proofErr w:type="spellStart"/>
      <w:r w:rsidRPr="00180126">
        <w:rPr>
          <w:color w:val="333333"/>
          <w:lang w:val="en-US"/>
        </w:rPr>
        <w:t>Fe:U</w:t>
      </w:r>
      <w:proofErr w:type="spellEnd"/>
      <w:r w:rsidRPr="00180126">
        <w:rPr>
          <w:color w:val="333333"/>
          <w:lang w:val="en-US"/>
        </w:rPr>
        <w:t xml:space="preserve"> ratio (Fe: red, U: blue, C: yellow).</w:t>
      </w:r>
    </w:p>
    <w:p w14:paraId="62A129D3" w14:textId="77777777" w:rsidR="00763495" w:rsidRPr="00180126" w:rsidRDefault="00763495">
      <w:pPr>
        <w:jc w:val="both"/>
        <w:rPr>
          <w:color w:val="333333"/>
          <w:lang w:val="en-US"/>
        </w:rPr>
      </w:pPr>
    </w:p>
    <w:p w14:paraId="5BCE77CA" w14:textId="77777777" w:rsidR="00763495" w:rsidRPr="00180126" w:rsidRDefault="00763495">
      <w:pPr>
        <w:jc w:val="both"/>
        <w:rPr>
          <w:color w:val="333333"/>
          <w:lang w:val="en-US"/>
        </w:rPr>
      </w:pPr>
    </w:p>
    <w:p w14:paraId="1AD66F0E" w14:textId="77777777" w:rsidR="00763495" w:rsidRPr="00180126" w:rsidRDefault="00763495">
      <w:pPr>
        <w:jc w:val="both"/>
        <w:rPr>
          <w:color w:val="333333"/>
          <w:lang w:val="en-US"/>
        </w:rPr>
      </w:pPr>
    </w:p>
    <w:p w14:paraId="2F6F2A6D" w14:textId="77777777" w:rsidR="00763495" w:rsidRPr="00180126" w:rsidRDefault="00763495">
      <w:pPr>
        <w:jc w:val="both"/>
        <w:rPr>
          <w:color w:val="333333"/>
          <w:lang w:val="en-US"/>
        </w:rPr>
      </w:pPr>
    </w:p>
    <w:p w14:paraId="14D75AB2" w14:textId="2B5B0F53" w:rsidR="005A0824" w:rsidRPr="00180126" w:rsidRDefault="00033ED2" w:rsidP="005A0824">
      <w:pPr>
        <w:jc w:val="center"/>
        <w:rPr>
          <w:color w:val="333333"/>
          <w:lang w:val="en-US"/>
        </w:rPr>
      </w:pPr>
      <w:r w:rsidRPr="005A0824">
        <w:rPr>
          <w:noProof/>
          <w:color w:val="333333"/>
          <w:lang w:val="en-US"/>
        </w:rPr>
        <w:object w:dxaOrig="6576" w:dyaOrig="5039" w14:anchorId="20CA1B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54.5pt;height:194.25pt;mso-width-percent:0;mso-height-percent:0;mso-width-percent:0;mso-height-percent:0" o:ole="">
            <v:imagedata r:id="rId12" o:title=""/>
          </v:shape>
          <o:OLEObject Type="Embed" ProgID="Origin95.Graph" ShapeID="_x0000_i1025" DrawAspect="Content" ObjectID="_1756108516" r:id="rId13"/>
        </w:object>
      </w:r>
    </w:p>
    <w:p w14:paraId="03A7B771" w14:textId="77777777" w:rsidR="005A0824" w:rsidRPr="00180126" w:rsidRDefault="005A0824" w:rsidP="005A0824">
      <w:pPr>
        <w:jc w:val="both"/>
        <w:rPr>
          <w:color w:val="333333"/>
          <w:lang w:val="en-US"/>
        </w:rPr>
      </w:pPr>
    </w:p>
    <w:p w14:paraId="54352ADD" w14:textId="1B62D08D" w:rsidR="005A0824" w:rsidRPr="00180126" w:rsidRDefault="005A0824" w:rsidP="005A0824">
      <w:pPr>
        <w:jc w:val="both"/>
        <w:rPr>
          <w:color w:val="333333"/>
          <w:lang w:val="en-US"/>
        </w:rPr>
      </w:pPr>
      <w:r w:rsidRPr="00180126">
        <w:rPr>
          <w:b/>
          <w:color w:val="333333"/>
          <w:lang w:val="en-US"/>
        </w:rPr>
        <w:t xml:space="preserve">Figure S3. </w:t>
      </w:r>
      <w:r w:rsidRPr="00180126">
        <w:rPr>
          <w:color w:val="333333"/>
          <w:lang w:val="en-US"/>
        </w:rPr>
        <w:t>TG</w:t>
      </w:r>
      <w:r w:rsidR="00180126" w:rsidRPr="00180126">
        <w:rPr>
          <w:color w:val="333333"/>
          <w:lang w:val="en-US"/>
        </w:rPr>
        <w:t>A trace for</w:t>
      </w:r>
      <w:r w:rsidRPr="00180126">
        <w:rPr>
          <w:color w:val="333333"/>
          <w:lang w:val="en-US"/>
        </w:rPr>
        <w:t xml:space="preserve"> MIL-100(Fe) (black) and CM</w:t>
      </w:r>
      <w:r w:rsidR="00180126" w:rsidRPr="00180126">
        <w:rPr>
          <w:color w:val="333333"/>
          <w:lang w:val="en-US"/>
        </w:rPr>
        <w:t>s</w:t>
      </w:r>
      <w:r w:rsidRPr="00180126">
        <w:rPr>
          <w:color w:val="333333"/>
          <w:lang w:val="en-US"/>
        </w:rPr>
        <w:t>_MIL-100(Fe) NPs (red).</w:t>
      </w:r>
    </w:p>
    <w:p w14:paraId="7855D1D5" w14:textId="77777777" w:rsidR="005A0824" w:rsidRPr="00180126" w:rsidRDefault="005A0824">
      <w:pPr>
        <w:rPr>
          <w:color w:val="333333"/>
          <w:lang w:val="en-US"/>
        </w:rPr>
      </w:pPr>
      <w:r w:rsidRPr="00180126">
        <w:rPr>
          <w:color w:val="333333"/>
          <w:lang w:val="en-US"/>
        </w:rPr>
        <w:br w:type="page"/>
      </w:r>
    </w:p>
    <w:p w14:paraId="56BB763B" w14:textId="77777777" w:rsidR="00763495" w:rsidRPr="00180126" w:rsidRDefault="00C82EE2" w:rsidP="005A0824">
      <w:pPr>
        <w:widowControl w:val="0"/>
        <w:spacing w:line="240" w:lineRule="auto"/>
        <w:rPr>
          <w:rFonts w:ascii="Calibri" w:eastAsia="Calibri" w:hAnsi="Calibri" w:cs="Calibri"/>
          <w:sz w:val="20"/>
          <w:szCs w:val="20"/>
          <w:lang w:val="en-US"/>
        </w:rPr>
      </w:pPr>
      <w:r w:rsidRPr="00180126">
        <w:rPr>
          <w:rFonts w:ascii="Calibri" w:eastAsia="Calibri" w:hAnsi="Calibri" w:cs="Calibri"/>
          <w:noProof/>
          <w:sz w:val="20"/>
          <w:szCs w:val="20"/>
          <w:lang w:val="en-US" w:eastAsia="es-ES_tradnl"/>
        </w:rPr>
        <w:lastRenderedPageBreak/>
        <w:drawing>
          <wp:inline distT="114300" distB="114300" distL="114300" distR="114300" wp14:anchorId="41DE1E0B" wp14:editId="33E597AE">
            <wp:extent cx="5819775" cy="2734794"/>
            <wp:effectExtent l="0" t="0" r="0" b="889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rotWithShape="1">
                    <a:blip r:embed="rId14" cstate="print">
                      <a:extLst>
                        <a:ext uri="{28A0092B-C50C-407E-A947-70E740481C1C}">
                          <a14:useLocalDpi xmlns:a14="http://schemas.microsoft.com/office/drawing/2010/main" val="0"/>
                        </a:ext>
                      </a:extLst>
                    </a:blip>
                    <a:srcRect b="73577"/>
                    <a:stretch/>
                  </pic:blipFill>
                  <pic:spPr bwMode="auto">
                    <a:xfrm>
                      <a:off x="0" y="0"/>
                      <a:ext cx="5838841" cy="2743754"/>
                    </a:xfrm>
                    <a:prstGeom prst="rect">
                      <a:avLst/>
                    </a:prstGeom>
                    <a:ln>
                      <a:noFill/>
                    </a:ln>
                    <a:extLst>
                      <a:ext uri="{53640926-AAD7-44D8-BBD7-CCE9431645EC}">
                        <a14:shadowObscured xmlns:a14="http://schemas.microsoft.com/office/drawing/2010/main"/>
                      </a:ext>
                    </a:extLst>
                  </pic:spPr>
                </pic:pic>
              </a:graphicData>
            </a:graphic>
          </wp:inline>
        </w:drawing>
      </w:r>
    </w:p>
    <w:p w14:paraId="70B39F14" w14:textId="77777777" w:rsidR="00763495" w:rsidRPr="00180126" w:rsidRDefault="00763495">
      <w:pPr>
        <w:jc w:val="both"/>
        <w:rPr>
          <w:color w:val="333333"/>
          <w:lang w:val="en-US"/>
        </w:rPr>
      </w:pPr>
    </w:p>
    <w:p w14:paraId="35EAC6D1" w14:textId="14E77AD5" w:rsidR="00763495" w:rsidRPr="00180126" w:rsidRDefault="00C82EE2">
      <w:pPr>
        <w:jc w:val="both"/>
        <w:rPr>
          <w:color w:val="333333"/>
          <w:lang w:val="en-US"/>
        </w:rPr>
      </w:pPr>
      <w:r w:rsidRPr="00180126">
        <w:rPr>
          <w:b/>
          <w:color w:val="333333"/>
          <w:lang w:val="en-US"/>
        </w:rPr>
        <w:t xml:space="preserve">Figure </w:t>
      </w:r>
      <w:r w:rsidR="0036731A" w:rsidRPr="00180126">
        <w:rPr>
          <w:b/>
          <w:color w:val="333333"/>
          <w:lang w:val="en-US"/>
        </w:rPr>
        <w:t>S4</w:t>
      </w:r>
      <w:r w:rsidRPr="00180126">
        <w:rPr>
          <w:b/>
          <w:color w:val="333333"/>
          <w:lang w:val="en-US"/>
        </w:rPr>
        <w:t xml:space="preserve">. </w:t>
      </w:r>
      <w:r w:rsidRPr="00180126">
        <w:rPr>
          <w:color w:val="333333"/>
          <w:lang w:val="en-US"/>
        </w:rPr>
        <w:t>Released DOX</w:t>
      </w:r>
      <w:r w:rsidR="007559BE" w:rsidRPr="00180126">
        <w:rPr>
          <w:color w:val="333333"/>
          <w:lang w:val="en-US"/>
        </w:rPr>
        <w:t xml:space="preserve"> (A) and </w:t>
      </w:r>
      <w:r w:rsidR="00180126" w:rsidRPr="00180126">
        <w:rPr>
          <w:color w:val="333333"/>
          <w:lang w:val="en-US"/>
        </w:rPr>
        <w:t>H</w:t>
      </w:r>
      <w:r w:rsidR="00180126" w:rsidRPr="00180126">
        <w:rPr>
          <w:color w:val="333333"/>
          <w:vertAlign w:val="subscript"/>
          <w:lang w:val="en-US"/>
        </w:rPr>
        <w:t>3</w:t>
      </w:r>
      <w:r w:rsidR="007559BE" w:rsidRPr="00180126">
        <w:rPr>
          <w:color w:val="333333"/>
          <w:lang w:val="en-US"/>
        </w:rPr>
        <w:t>BTC ligand (B; representing MOF degradation)</w:t>
      </w:r>
      <w:r w:rsidRPr="00180126">
        <w:rPr>
          <w:color w:val="333333"/>
          <w:lang w:val="en-US"/>
        </w:rPr>
        <w:t xml:space="preserve"> over 5 days from MIL-100(Fe) (black) and CM</w:t>
      </w:r>
      <w:r w:rsidR="00180126" w:rsidRPr="00180126">
        <w:rPr>
          <w:color w:val="333333"/>
          <w:lang w:val="en-US"/>
        </w:rPr>
        <w:t>s</w:t>
      </w:r>
      <w:r w:rsidRPr="00180126">
        <w:rPr>
          <w:color w:val="333333"/>
          <w:lang w:val="en-US"/>
        </w:rPr>
        <w:t xml:space="preserve">_MIL-100(Fe) NPs </w:t>
      </w:r>
      <w:r w:rsidR="00EC61F1" w:rsidRPr="00180126">
        <w:rPr>
          <w:color w:val="333333"/>
          <w:lang w:val="en-US"/>
        </w:rPr>
        <w:t xml:space="preserve">(red) </w:t>
      </w:r>
      <w:r w:rsidRPr="00180126">
        <w:rPr>
          <w:color w:val="333333"/>
          <w:lang w:val="en-US"/>
        </w:rPr>
        <w:t>under simulated biological conditions. Note that lines are only visual guides.</w:t>
      </w:r>
    </w:p>
    <w:sectPr w:rsidR="00763495" w:rsidRPr="00180126">
      <w:footerReference w:type="even" r:id="rId15"/>
      <w:footerReference w:type="default" r:id="rId16"/>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152E4" w14:textId="77777777" w:rsidR="0037491A" w:rsidRDefault="0037491A" w:rsidP="00180126">
      <w:pPr>
        <w:spacing w:line="240" w:lineRule="auto"/>
      </w:pPr>
      <w:r>
        <w:separator/>
      </w:r>
    </w:p>
  </w:endnote>
  <w:endnote w:type="continuationSeparator" w:id="0">
    <w:p w14:paraId="65371B31" w14:textId="77777777" w:rsidR="0037491A" w:rsidRDefault="0037491A" w:rsidP="001801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13080422"/>
      <w:docPartObj>
        <w:docPartGallery w:val="Page Numbers (Bottom of Page)"/>
        <w:docPartUnique/>
      </w:docPartObj>
    </w:sdtPr>
    <w:sdtContent>
      <w:p w14:paraId="5FAF760A" w14:textId="4744596B" w:rsidR="00180126" w:rsidRDefault="00180126" w:rsidP="001D17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0A183E" w14:textId="77777777" w:rsidR="00180126" w:rsidRDefault="00180126" w:rsidP="001801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63812673"/>
      <w:docPartObj>
        <w:docPartGallery w:val="Page Numbers (Bottom of Page)"/>
        <w:docPartUnique/>
      </w:docPartObj>
    </w:sdtPr>
    <w:sdtContent>
      <w:p w14:paraId="23CD4000" w14:textId="5AC75443" w:rsidR="00180126" w:rsidRDefault="00180126" w:rsidP="001D1788">
        <w:pPr>
          <w:pStyle w:val="Footer"/>
          <w:framePr w:wrap="none" w:vAnchor="text" w:hAnchor="margin" w:xAlign="right" w:y="1"/>
          <w:rPr>
            <w:rStyle w:val="PageNumber"/>
          </w:rPr>
        </w:pPr>
        <w:r>
          <w:rPr>
            <w:rStyle w:val="PageNumber"/>
          </w:rPr>
          <w:t>S</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63C55FD" w14:textId="38FA6113" w:rsidR="00180126" w:rsidRPr="00180126" w:rsidRDefault="00180126" w:rsidP="00180126">
    <w:pPr>
      <w:pStyle w:val="Footer"/>
      <w:ind w:right="360"/>
      <w:jc w:val="right"/>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6086E" w14:textId="77777777" w:rsidR="0037491A" w:rsidRDefault="0037491A" w:rsidP="00180126">
      <w:pPr>
        <w:spacing w:line="240" w:lineRule="auto"/>
      </w:pPr>
      <w:r>
        <w:separator/>
      </w:r>
    </w:p>
  </w:footnote>
  <w:footnote w:type="continuationSeparator" w:id="0">
    <w:p w14:paraId="488F0B33" w14:textId="77777777" w:rsidR="0037491A" w:rsidRDefault="0037491A" w:rsidP="0018012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783AE1"/>
    <w:multiLevelType w:val="multilevel"/>
    <w:tmpl w:val="1A30FC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697080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495"/>
    <w:rsid w:val="00033ED2"/>
    <w:rsid w:val="00180126"/>
    <w:rsid w:val="001820C2"/>
    <w:rsid w:val="0036731A"/>
    <w:rsid w:val="0037491A"/>
    <w:rsid w:val="003F0AC9"/>
    <w:rsid w:val="004346FC"/>
    <w:rsid w:val="00526BEE"/>
    <w:rsid w:val="005A0824"/>
    <w:rsid w:val="006544A5"/>
    <w:rsid w:val="007559BE"/>
    <w:rsid w:val="00763495"/>
    <w:rsid w:val="007D4FC8"/>
    <w:rsid w:val="00810203"/>
    <w:rsid w:val="009A4631"/>
    <w:rsid w:val="00A60244"/>
    <w:rsid w:val="00C82EE2"/>
    <w:rsid w:val="00CD1936"/>
    <w:rsid w:val="00D2662A"/>
    <w:rsid w:val="00D91BAB"/>
    <w:rsid w:val="00E87FF1"/>
    <w:rsid w:val="00EC61F1"/>
    <w:rsid w:val="00ED7221"/>
    <w:rsid w:val="00F43668"/>
    <w:rsid w:val="00FB5FE6"/>
    <w:rsid w:val="00FB76D4"/>
    <w:rsid w:val="00FE2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80F17"/>
  <w15:docId w15:val="{E80A2B38-992A-47A5-96D5-E63AF860C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PlaceholderText">
    <w:name w:val="Placeholder Text"/>
    <w:basedOn w:val="DefaultParagraphFont"/>
    <w:uiPriority w:val="99"/>
    <w:semiHidden/>
    <w:rsid w:val="004346FC"/>
    <w:rPr>
      <w:color w:val="808080"/>
    </w:rPr>
  </w:style>
  <w:style w:type="character" w:styleId="Hyperlink">
    <w:name w:val="Hyperlink"/>
    <w:basedOn w:val="DefaultParagraphFont"/>
    <w:uiPriority w:val="99"/>
    <w:unhideWhenUsed/>
    <w:rsid w:val="00526BEE"/>
    <w:rPr>
      <w:color w:val="0000FF" w:themeColor="hyperlink"/>
      <w:u w:val="single"/>
    </w:rPr>
  </w:style>
  <w:style w:type="paragraph" w:customStyle="1" w:styleId="Title1">
    <w:name w:val="Title1"/>
    <w:basedOn w:val="Normal"/>
    <w:next w:val="Normal"/>
    <w:qFormat/>
    <w:rsid w:val="00526BEE"/>
    <w:pPr>
      <w:spacing w:before="120" w:line="480" w:lineRule="exact"/>
    </w:pPr>
    <w:rPr>
      <w:rFonts w:eastAsia="MS Mincho" w:cs="Times New Roman"/>
      <w:b/>
      <w:sz w:val="32"/>
      <w:szCs w:val="28"/>
      <w:lang w:val="de-DE" w:eastAsia="ja-JP"/>
    </w:rPr>
  </w:style>
  <w:style w:type="paragraph" w:customStyle="1" w:styleId="Authors">
    <w:name w:val="Authors"/>
    <w:basedOn w:val="Normal"/>
    <w:qFormat/>
    <w:rsid w:val="00526BEE"/>
    <w:pPr>
      <w:spacing w:before="120" w:after="120" w:line="320" w:lineRule="exact"/>
    </w:pPr>
    <w:rPr>
      <w:rFonts w:eastAsia="MS Mincho" w:cs="Times New Roman"/>
      <w:szCs w:val="24"/>
      <w:lang w:val="en-GB" w:eastAsia="ja-JP"/>
    </w:rPr>
  </w:style>
  <w:style w:type="paragraph" w:customStyle="1" w:styleId="Dedication">
    <w:name w:val="Dedication"/>
    <w:basedOn w:val="Normal"/>
    <w:qFormat/>
    <w:rsid w:val="00526BEE"/>
    <w:pPr>
      <w:spacing w:before="230" w:after="360" w:line="230" w:lineRule="exact"/>
    </w:pPr>
    <w:rPr>
      <w:rFonts w:eastAsia="MS Mincho" w:cs="Times New Roman"/>
      <w:sz w:val="17"/>
      <w:szCs w:val="24"/>
      <w:lang w:val="de-DE" w:eastAsia="ja-JP"/>
    </w:rPr>
  </w:style>
  <w:style w:type="paragraph" w:customStyle="1" w:styleId="Adress">
    <w:name w:val="Adress"/>
    <w:basedOn w:val="Normal"/>
    <w:qFormat/>
    <w:rsid w:val="00526BEE"/>
    <w:pPr>
      <w:spacing w:line="180" w:lineRule="exact"/>
      <w:ind w:left="425" w:hanging="425"/>
    </w:pPr>
    <w:rPr>
      <w:rFonts w:eastAsia="MS Mincho" w:cs="Times New Roman"/>
      <w:sz w:val="14"/>
      <w:szCs w:val="20"/>
      <w:lang w:val="de-DE" w:eastAsia="ja-JP"/>
    </w:rPr>
  </w:style>
  <w:style w:type="character" w:styleId="CommentReference">
    <w:name w:val="annotation reference"/>
    <w:basedOn w:val="DefaultParagraphFont"/>
    <w:uiPriority w:val="99"/>
    <w:semiHidden/>
    <w:unhideWhenUsed/>
    <w:rsid w:val="00A60244"/>
    <w:rPr>
      <w:sz w:val="18"/>
      <w:szCs w:val="18"/>
    </w:rPr>
  </w:style>
  <w:style w:type="paragraph" w:styleId="CommentText">
    <w:name w:val="annotation text"/>
    <w:basedOn w:val="Normal"/>
    <w:link w:val="CommentTextChar"/>
    <w:uiPriority w:val="99"/>
    <w:unhideWhenUsed/>
    <w:rsid w:val="00A60244"/>
    <w:pPr>
      <w:spacing w:line="240" w:lineRule="auto"/>
    </w:pPr>
    <w:rPr>
      <w:sz w:val="24"/>
      <w:szCs w:val="24"/>
    </w:rPr>
  </w:style>
  <w:style w:type="character" w:customStyle="1" w:styleId="CommentTextChar">
    <w:name w:val="Comment Text Char"/>
    <w:basedOn w:val="DefaultParagraphFont"/>
    <w:link w:val="CommentText"/>
    <w:uiPriority w:val="99"/>
    <w:rsid w:val="00A60244"/>
    <w:rPr>
      <w:sz w:val="24"/>
      <w:szCs w:val="24"/>
    </w:rPr>
  </w:style>
  <w:style w:type="paragraph" w:styleId="CommentSubject">
    <w:name w:val="annotation subject"/>
    <w:basedOn w:val="CommentText"/>
    <w:next w:val="CommentText"/>
    <w:link w:val="CommentSubjectChar"/>
    <w:uiPriority w:val="99"/>
    <w:semiHidden/>
    <w:unhideWhenUsed/>
    <w:rsid w:val="00A60244"/>
    <w:rPr>
      <w:b/>
      <w:bCs/>
      <w:sz w:val="20"/>
      <w:szCs w:val="20"/>
    </w:rPr>
  </w:style>
  <w:style w:type="character" w:customStyle="1" w:styleId="CommentSubjectChar">
    <w:name w:val="Comment Subject Char"/>
    <w:basedOn w:val="CommentTextChar"/>
    <w:link w:val="CommentSubject"/>
    <w:uiPriority w:val="99"/>
    <w:semiHidden/>
    <w:rsid w:val="00A60244"/>
    <w:rPr>
      <w:b/>
      <w:bCs/>
      <w:sz w:val="20"/>
      <w:szCs w:val="20"/>
    </w:rPr>
  </w:style>
  <w:style w:type="paragraph" w:styleId="BalloonText">
    <w:name w:val="Balloon Text"/>
    <w:basedOn w:val="Normal"/>
    <w:link w:val="BalloonTextChar"/>
    <w:uiPriority w:val="99"/>
    <w:semiHidden/>
    <w:unhideWhenUsed/>
    <w:rsid w:val="00A60244"/>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60244"/>
    <w:rPr>
      <w:rFonts w:ascii="Times New Roman" w:hAnsi="Times New Roman" w:cs="Times New Roman"/>
      <w:sz w:val="18"/>
      <w:szCs w:val="18"/>
    </w:rPr>
  </w:style>
  <w:style w:type="paragraph" w:styleId="Revision">
    <w:name w:val="Revision"/>
    <w:hidden/>
    <w:uiPriority w:val="99"/>
    <w:semiHidden/>
    <w:rsid w:val="00D2662A"/>
    <w:pPr>
      <w:spacing w:line="240" w:lineRule="auto"/>
    </w:pPr>
  </w:style>
  <w:style w:type="paragraph" w:styleId="Header">
    <w:name w:val="header"/>
    <w:basedOn w:val="Normal"/>
    <w:link w:val="HeaderChar"/>
    <w:uiPriority w:val="99"/>
    <w:unhideWhenUsed/>
    <w:rsid w:val="00180126"/>
    <w:pPr>
      <w:tabs>
        <w:tab w:val="center" w:pos="4252"/>
        <w:tab w:val="right" w:pos="8504"/>
      </w:tabs>
      <w:spacing w:line="240" w:lineRule="auto"/>
    </w:pPr>
  </w:style>
  <w:style w:type="character" w:customStyle="1" w:styleId="HeaderChar">
    <w:name w:val="Header Char"/>
    <w:basedOn w:val="DefaultParagraphFont"/>
    <w:link w:val="Header"/>
    <w:uiPriority w:val="99"/>
    <w:rsid w:val="00180126"/>
  </w:style>
  <w:style w:type="paragraph" w:styleId="Footer">
    <w:name w:val="footer"/>
    <w:basedOn w:val="Normal"/>
    <w:link w:val="FooterChar"/>
    <w:uiPriority w:val="99"/>
    <w:unhideWhenUsed/>
    <w:rsid w:val="00180126"/>
    <w:pPr>
      <w:tabs>
        <w:tab w:val="center" w:pos="4252"/>
        <w:tab w:val="right" w:pos="8504"/>
      </w:tabs>
      <w:spacing w:line="240" w:lineRule="auto"/>
    </w:pPr>
  </w:style>
  <w:style w:type="character" w:customStyle="1" w:styleId="FooterChar">
    <w:name w:val="Footer Char"/>
    <w:basedOn w:val="DefaultParagraphFont"/>
    <w:link w:val="Footer"/>
    <w:uiPriority w:val="99"/>
    <w:rsid w:val="00180126"/>
  </w:style>
  <w:style w:type="character" w:styleId="PageNumber">
    <w:name w:val="page number"/>
    <w:basedOn w:val="DefaultParagraphFont"/>
    <w:uiPriority w:val="99"/>
    <w:semiHidden/>
    <w:unhideWhenUsed/>
    <w:rsid w:val="001801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157493">
      <w:bodyDiv w:val="1"/>
      <w:marLeft w:val="0"/>
      <w:marRight w:val="0"/>
      <w:marTop w:val="0"/>
      <w:marBottom w:val="0"/>
      <w:divBdr>
        <w:top w:val="none" w:sz="0" w:space="0" w:color="auto"/>
        <w:left w:val="none" w:sz="0" w:space="0" w:color="auto"/>
        <w:bottom w:val="none" w:sz="0" w:space="0" w:color="auto"/>
        <w:right w:val="none" w:sz="0" w:space="0" w:color="auto"/>
      </w:divBdr>
      <w:divsChild>
        <w:div w:id="1780098615">
          <w:marLeft w:val="640"/>
          <w:marRight w:val="0"/>
          <w:marTop w:val="0"/>
          <w:marBottom w:val="0"/>
          <w:divBdr>
            <w:top w:val="none" w:sz="0" w:space="0" w:color="auto"/>
            <w:left w:val="none" w:sz="0" w:space="0" w:color="auto"/>
            <w:bottom w:val="none" w:sz="0" w:space="0" w:color="auto"/>
            <w:right w:val="none" w:sz="0" w:space="0" w:color="auto"/>
          </w:divBdr>
        </w:div>
        <w:div w:id="554588085">
          <w:marLeft w:val="640"/>
          <w:marRight w:val="0"/>
          <w:marTop w:val="0"/>
          <w:marBottom w:val="0"/>
          <w:divBdr>
            <w:top w:val="none" w:sz="0" w:space="0" w:color="auto"/>
            <w:left w:val="none" w:sz="0" w:space="0" w:color="auto"/>
            <w:bottom w:val="none" w:sz="0" w:space="0" w:color="auto"/>
            <w:right w:val="none" w:sz="0" w:space="0" w:color="auto"/>
          </w:divBdr>
        </w:div>
        <w:div w:id="1697189983">
          <w:marLeft w:val="640"/>
          <w:marRight w:val="0"/>
          <w:marTop w:val="0"/>
          <w:marBottom w:val="0"/>
          <w:divBdr>
            <w:top w:val="none" w:sz="0" w:space="0" w:color="auto"/>
            <w:left w:val="none" w:sz="0" w:space="0" w:color="auto"/>
            <w:bottom w:val="none" w:sz="0" w:space="0" w:color="auto"/>
            <w:right w:val="none" w:sz="0" w:space="0" w:color="auto"/>
          </w:divBdr>
        </w:div>
        <w:div w:id="542401049">
          <w:marLeft w:val="640"/>
          <w:marRight w:val="0"/>
          <w:marTop w:val="0"/>
          <w:marBottom w:val="0"/>
          <w:divBdr>
            <w:top w:val="none" w:sz="0" w:space="0" w:color="auto"/>
            <w:left w:val="none" w:sz="0" w:space="0" w:color="auto"/>
            <w:bottom w:val="none" w:sz="0" w:space="0" w:color="auto"/>
            <w:right w:val="none" w:sz="0" w:space="0" w:color="auto"/>
          </w:divBdr>
        </w:div>
      </w:divsChild>
    </w:div>
    <w:div w:id="256526685">
      <w:bodyDiv w:val="1"/>
      <w:marLeft w:val="0"/>
      <w:marRight w:val="0"/>
      <w:marTop w:val="0"/>
      <w:marBottom w:val="0"/>
      <w:divBdr>
        <w:top w:val="none" w:sz="0" w:space="0" w:color="auto"/>
        <w:left w:val="none" w:sz="0" w:space="0" w:color="auto"/>
        <w:bottom w:val="none" w:sz="0" w:space="0" w:color="auto"/>
        <w:right w:val="none" w:sz="0" w:space="0" w:color="auto"/>
      </w:divBdr>
      <w:divsChild>
        <w:div w:id="1851988826">
          <w:marLeft w:val="640"/>
          <w:marRight w:val="0"/>
          <w:marTop w:val="0"/>
          <w:marBottom w:val="0"/>
          <w:divBdr>
            <w:top w:val="none" w:sz="0" w:space="0" w:color="auto"/>
            <w:left w:val="none" w:sz="0" w:space="0" w:color="auto"/>
            <w:bottom w:val="none" w:sz="0" w:space="0" w:color="auto"/>
            <w:right w:val="none" w:sz="0" w:space="0" w:color="auto"/>
          </w:divBdr>
        </w:div>
        <w:div w:id="1813473914">
          <w:marLeft w:val="640"/>
          <w:marRight w:val="0"/>
          <w:marTop w:val="0"/>
          <w:marBottom w:val="0"/>
          <w:divBdr>
            <w:top w:val="none" w:sz="0" w:space="0" w:color="auto"/>
            <w:left w:val="none" w:sz="0" w:space="0" w:color="auto"/>
            <w:bottom w:val="none" w:sz="0" w:space="0" w:color="auto"/>
            <w:right w:val="none" w:sz="0" w:space="0" w:color="auto"/>
          </w:divBdr>
        </w:div>
        <w:div w:id="1998879463">
          <w:marLeft w:val="640"/>
          <w:marRight w:val="0"/>
          <w:marTop w:val="0"/>
          <w:marBottom w:val="0"/>
          <w:divBdr>
            <w:top w:val="none" w:sz="0" w:space="0" w:color="auto"/>
            <w:left w:val="none" w:sz="0" w:space="0" w:color="auto"/>
            <w:bottom w:val="none" w:sz="0" w:space="0" w:color="auto"/>
            <w:right w:val="none" w:sz="0" w:space="0" w:color="auto"/>
          </w:divBdr>
        </w:div>
        <w:div w:id="306933290">
          <w:marLeft w:val="640"/>
          <w:marRight w:val="0"/>
          <w:marTop w:val="0"/>
          <w:marBottom w:val="0"/>
          <w:divBdr>
            <w:top w:val="none" w:sz="0" w:space="0" w:color="auto"/>
            <w:left w:val="none" w:sz="0" w:space="0" w:color="auto"/>
            <w:bottom w:val="none" w:sz="0" w:space="0" w:color="auto"/>
            <w:right w:val="none" w:sz="0" w:space="0" w:color="auto"/>
          </w:divBdr>
        </w:div>
        <w:div w:id="1766149879">
          <w:marLeft w:val="640"/>
          <w:marRight w:val="0"/>
          <w:marTop w:val="0"/>
          <w:marBottom w:val="0"/>
          <w:divBdr>
            <w:top w:val="none" w:sz="0" w:space="0" w:color="auto"/>
            <w:left w:val="none" w:sz="0" w:space="0" w:color="auto"/>
            <w:bottom w:val="none" w:sz="0" w:space="0" w:color="auto"/>
            <w:right w:val="none" w:sz="0" w:space="0" w:color="auto"/>
          </w:divBdr>
        </w:div>
        <w:div w:id="1877698961">
          <w:marLeft w:val="640"/>
          <w:marRight w:val="0"/>
          <w:marTop w:val="0"/>
          <w:marBottom w:val="0"/>
          <w:divBdr>
            <w:top w:val="none" w:sz="0" w:space="0" w:color="auto"/>
            <w:left w:val="none" w:sz="0" w:space="0" w:color="auto"/>
            <w:bottom w:val="none" w:sz="0" w:space="0" w:color="auto"/>
            <w:right w:val="none" w:sz="0" w:space="0" w:color="auto"/>
          </w:divBdr>
        </w:div>
      </w:divsChild>
    </w:div>
    <w:div w:id="314724152">
      <w:bodyDiv w:val="1"/>
      <w:marLeft w:val="0"/>
      <w:marRight w:val="0"/>
      <w:marTop w:val="0"/>
      <w:marBottom w:val="0"/>
      <w:divBdr>
        <w:top w:val="none" w:sz="0" w:space="0" w:color="auto"/>
        <w:left w:val="none" w:sz="0" w:space="0" w:color="auto"/>
        <w:bottom w:val="none" w:sz="0" w:space="0" w:color="auto"/>
        <w:right w:val="none" w:sz="0" w:space="0" w:color="auto"/>
      </w:divBdr>
      <w:divsChild>
        <w:div w:id="1690984128">
          <w:marLeft w:val="640"/>
          <w:marRight w:val="0"/>
          <w:marTop w:val="0"/>
          <w:marBottom w:val="0"/>
          <w:divBdr>
            <w:top w:val="none" w:sz="0" w:space="0" w:color="auto"/>
            <w:left w:val="none" w:sz="0" w:space="0" w:color="auto"/>
            <w:bottom w:val="none" w:sz="0" w:space="0" w:color="auto"/>
            <w:right w:val="none" w:sz="0" w:space="0" w:color="auto"/>
          </w:divBdr>
        </w:div>
      </w:divsChild>
    </w:div>
    <w:div w:id="437454362">
      <w:bodyDiv w:val="1"/>
      <w:marLeft w:val="0"/>
      <w:marRight w:val="0"/>
      <w:marTop w:val="0"/>
      <w:marBottom w:val="0"/>
      <w:divBdr>
        <w:top w:val="none" w:sz="0" w:space="0" w:color="auto"/>
        <w:left w:val="none" w:sz="0" w:space="0" w:color="auto"/>
        <w:bottom w:val="none" w:sz="0" w:space="0" w:color="auto"/>
        <w:right w:val="none" w:sz="0" w:space="0" w:color="auto"/>
      </w:divBdr>
      <w:divsChild>
        <w:div w:id="1247109874">
          <w:marLeft w:val="640"/>
          <w:marRight w:val="0"/>
          <w:marTop w:val="0"/>
          <w:marBottom w:val="0"/>
          <w:divBdr>
            <w:top w:val="none" w:sz="0" w:space="0" w:color="auto"/>
            <w:left w:val="none" w:sz="0" w:space="0" w:color="auto"/>
            <w:bottom w:val="none" w:sz="0" w:space="0" w:color="auto"/>
            <w:right w:val="none" w:sz="0" w:space="0" w:color="auto"/>
          </w:divBdr>
        </w:div>
        <w:div w:id="184485361">
          <w:marLeft w:val="640"/>
          <w:marRight w:val="0"/>
          <w:marTop w:val="0"/>
          <w:marBottom w:val="0"/>
          <w:divBdr>
            <w:top w:val="none" w:sz="0" w:space="0" w:color="auto"/>
            <w:left w:val="none" w:sz="0" w:space="0" w:color="auto"/>
            <w:bottom w:val="none" w:sz="0" w:space="0" w:color="auto"/>
            <w:right w:val="none" w:sz="0" w:space="0" w:color="auto"/>
          </w:divBdr>
        </w:div>
        <w:div w:id="1888449538">
          <w:marLeft w:val="640"/>
          <w:marRight w:val="0"/>
          <w:marTop w:val="0"/>
          <w:marBottom w:val="0"/>
          <w:divBdr>
            <w:top w:val="none" w:sz="0" w:space="0" w:color="auto"/>
            <w:left w:val="none" w:sz="0" w:space="0" w:color="auto"/>
            <w:bottom w:val="none" w:sz="0" w:space="0" w:color="auto"/>
            <w:right w:val="none" w:sz="0" w:space="0" w:color="auto"/>
          </w:divBdr>
        </w:div>
        <w:div w:id="721439553">
          <w:marLeft w:val="640"/>
          <w:marRight w:val="0"/>
          <w:marTop w:val="0"/>
          <w:marBottom w:val="0"/>
          <w:divBdr>
            <w:top w:val="none" w:sz="0" w:space="0" w:color="auto"/>
            <w:left w:val="none" w:sz="0" w:space="0" w:color="auto"/>
            <w:bottom w:val="none" w:sz="0" w:space="0" w:color="auto"/>
            <w:right w:val="none" w:sz="0" w:space="0" w:color="auto"/>
          </w:divBdr>
        </w:div>
        <w:div w:id="370349188">
          <w:marLeft w:val="640"/>
          <w:marRight w:val="0"/>
          <w:marTop w:val="0"/>
          <w:marBottom w:val="0"/>
          <w:divBdr>
            <w:top w:val="none" w:sz="0" w:space="0" w:color="auto"/>
            <w:left w:val="none" w:sz="0" w:space="0" w:color="auto"/>
            <w:bottom w:val="none" w:sz="0" w:space="0" w:color="auto"/>
            <w:right w:val="none" w:sz="0" w:space="0" w:color="auto"/>
          </w:divBdr>
        </w:div>
      </w:divsChild>
    </w:div>
    <w:div w:id="463083500">
      <w:bodyDiv w:val="1"/>
      <w:marLeft w:val="0"/>
      <w:marRight w:val="0"/>
      <w:marTop w:val="0"/>
      <w:marBottom w:val="0"/>
      <w:divBdr>
        <w:top w:val="none" w:sz="0" w:space="0" w:color="auto"/>
        <w:left w:val="none" w:sz="0" w:space="0" w:color="auto"/>
        <w:bottom w:val="none" w:sz="0" w:space="0" w:color="auto"/>
        <w:right w:val="none" w:sz="0" w:space="0" w:color="auto"/>
      </w:divBdr>
      <w:divsChild>
        <w:div w:id="1662269992">
          <w:marLeft w:val="640"/>
          <w:marRight w:val="0"/>
          <w:marTop w:val="0"/>
          <w:marBottom w:val="0"/>
          <w:divBdr>
            <w:top w:val="none" w:sz="0" w:space="0" w:color="auto"/>
            <w:left w:val="none" w:sz="0" w:space="0" w:color="auto"/>
            <w:bottom w:val="none" w:sz="0" w:space="0" w:color="auto"/>
            <w:right w:val="none" w:sz="0" w:space="0" w:color="auto"/>
          </w:divBdr>
        </w:div>
      </w:divsChild>
    </w:div>
    <w:div w:id="870798516">
      <w:bodyDiv w:val="1"/>
      <w:marLeft w:val="0"/>
      <w:marRight w:val="0"/>
      <w:marTop w:val="0"/>
      <w:marBottom w:val="0"/>
      <w:divBdr>
        <w:top w:val="none" w:sz="0" w:space="0" w:color="auto"/>
        <w:left w:val="none" w:sz="0" w:space="0" w:color="auto"/>
        <w:bottom w:val="none" w:sz="0" w:space="0" w:color="auto"/>
        <w:right w:val="none" w:sz="0" w:space="0" w:color="auto"/>
      </w:divBdr>
      <w:divsChild>
        <w:div w:id="2012833810">
          <w:marLeft w:val="640"/>
          <w:marRight w:val="0"/>
          <w:marTop w:val="0"/>
          <w:marBottom w:val="0"/>
          <w:divBdr>
            <w:top w:val="none" w:sz="0" w:space="0" w:color="auto"/>
            <w:left w:val="none" w:sz="0" w:space="0" w:color="auto"/>
            <w:bottom w:val="none" w:sz="0" w:space="0" w:color="auto"/>
            <w:right w:val="none" w:sz="0" w:space="0" w:color="auto"/>
          </w:divBdr>
        </w:div>
        <w:div w:id="416905450">
          <w:marLeft w:val="640"/>
          <w:marRight w:val="0"/>
          <w:marTop w:val="0"/>
          <w:marBottom w:val="0"/>
          <w:divBdr>
            <w:top w:val="none" w:sz="0" w:space="0" w:color="auto"/>
            <w:left w:val="none" w:sz="0" w:space="0" w:color="auto"/>
            <w:bottom w:val="none" w:sz="0" w:space="0" w:color="auto"/>
            <w:right w:val="none" w:sz="0" w:space="0" w:color="auto"/>
          </w:divBdr>
        </w:div>
        <w:div w:id="1557932386">
          <w:marLeft w:val="640"/>
          <w:marRight w:val="0"/>
          <w:marTop w:val="0"/>
          <w:marBottom w:val="0"/>
          <w:divBdr>
            <w:top w:val="none" w:sz="0" w:space="0" w:color="auto"/>
            <w:left w:val="none" w:sz="0" w:space="0" w:color="auto"/>
            <w:bottom w:val="none" w:sz="0" w:space="0" w:color="auto"/>
            <w:right w:val="none" w:sz="0" w:space="0" w:color="auto"/>
          </w:divBdr>
        </w:div>
      </w:divsChild>
    </w:div>
    <w:div w:id="1905681145">
      <w:bodyDiv w:val="1"/>
      <w:marLeft w:val="0"/>
      <w:marRight w:val="0"/>
      <w:marTop w:val="0"/>
      <w:marBottom w:val="0"/>
      <w:divBdr>
        <w:top w:val="none" w:sz="0" w:space="0" w:color="auto"/>
        <w:left w:val="none" w:sz="0" w:space="0" w:color="auto"/>
        <w:bottom w:val="none" w:sz="0" w:space="0" w:color="auto"/>
        <w:right w:val="none" w:sz="0" w:space="0" w:color="auto"/>
      </w:divBdr>
      <w:divsChild>
        <w:div w:id="1594239006">
          <w:marLeft w:val="640"/>
          <w:marRight w:val="0"/>
          <w:marTop w:val="0"/>
          <w:marBottom w:val="0"/>
          <w:divBdr>
            <w:top w:val="none" w:sz="0" w:space="0" w:color="auto"/>
            <w:left w:val="none" w:sz="0" w:space="0" w:color="auto"/>
            <w:bottom w:val="none" w:sz="0" w:space="0" w:color="auto"/>
            <w:right w:val="none" w:sz="0" w:space="0" w:color="auto"/>
          </w:divBdr>
        </w:div>
        <w:div w:id="735710827">
          <w:marLeft w:val="640"/>
          <w:marRight w:val="0"/>
          <w:marTop w:val="0"/>
          <w:marBottom w:val="0"/>
          <w:divBdr>
            <w:top w:val="none" w:sz="0" w:space="0" w:color="auto"/>
            <w:left w:val="none" w:sz="0" w:space="0" w:color="auto"/>
            <w:bottom w:val="none" w:sz="0" w:space="0" w:color="auto"/>
            <w:right w:val="none" w:sz="0" w:space="0" w:color="auto"/>
          </w:divBdr>
        </w:div>
        <w:div w:id="1044059981">
          <w:marLeft w:val="640"/>
          <w:marRight w:val="0"/>
          <w:marTop w:val="0"/>
          <w:marBottom w:val="0"/>
          <w:divBdr>
            <w:top w:val="none" w:sz="0" w:space="0" w:color="auto"/>
            <w:left w:val="none" w:sz="0" w:space="0" w:color="auto"/>
            <w:bottom w:val="none" w:sz="0" w:space="0" w:color="auto"/>
            <w:right w:val="none" w:sz="0" w:space="0" w:color="auto"/>
          </w:divBdr>
        </w:div>
        <w:div w:id="2117942397">
          <w:marLeft w:val="640"/>
          <w:marRight w:val="0"/>
          <w:marTop w:val="0"/>
          <w:marBottom w:val="0"/>
          <w:divBdr>
            <w:top w:val="none" w:sz="0" w:space="0" w:color="auto"/>
            <w:left w:val="none" w:sz="0" w:space="0" w:color="auto"/>
            <w:bottom w:val="none" w:sz="0" w:space="0" w:color="auto"/>
            <w:right w:val="none" w:sz="0" w:space="0" w:color="auto"/>
          </w:divBdr>
        </w:div>
        <w:div w:id="678387371">
          <w:marLeft w:val="640"/>
          <w:marRight w:val="0"/>
          <w:marTop w:val="0"/>
          <w:marBottom w:val="0"/>
          <w:divBdr>
            <w:top w:val="none" w:sz="0" w:space="0" w:color="auto"/>
            <w:left w:val="none" w:sz="0" w:space="0" w:color="auto"/>
            <w:bottom w:val="none" w:sz="0" w:space="0" w:color="auto"/>
            <w:right w:val="none" w:sz="0" w:space="0" w:color="auto"/>
          </w:divBdr>
        </w:div>
      </w:divsChild>
    </w:div>
    <w:div w:id="2064744341">
      <w:bodyDiv w:val="1"/>
      <w:marLeft w:val="0"/>
      <w:marRight w:val="0"/>
      <w:marTop w:val="0"/>
      <w:marBottom w:val="0"/>
      <w:divBdr>
        <w:top w:val="none" w:sz="0" w:space="0" w:color="auto"/>
        <w:left w:val="none" w:sz="0" w:space="0" w:color="auto"/>
        <w:bottom w:val="none" w:sz="0" w:space="0" w:color="auto"/>
        <w:right w:val="none" w:sz="0" w:space="0" w:color="auto"/>
      </w:divBdr>
      <w:divsChild>
        <w:div w:id="807018817">
          <w:marLeft w:val="640"/>
          <w:marRight w:val="0"/>
          <w:marTop w:val="0"/>
          <w:marBottom w:val="0"/>
          <w:divBdr>
            <w:top w:val="none" w:sz="0" w:space="0" w:color="auto"/>
            <w:left w:val="none" w:sz="0" w:space="0" w:color="auto"/>
            <w:bottom w:val="none" w:sz="0" w:space="0" w:color="auto"/>
            <w:right w:val="none" w:sz="0" w:space="0" w:color="auto"/>
          </w:divBdr>
        </w:div>
        <w:div w:id="1427733000">
          <w:marLeft w:val="640"/>
          <w:marRight w:val="0"/>
          <w:marTop w:val="0"/>
          <w:marBottom w:val="0"/>
          <w:divBdr>
            <w:top w:val="none" w:sz="0" w:space="0" w:color="auto"/>
            <w:left w:val="none" w:sz="0" w:space="0" w:color="auto"/>
            <w:bottom w:val="none" w:sz="0" w:space="0" w:color="auto"/>
            <w:right w:val="none" w:sz="0" w:space="0" w:color="auto"/>
          </w:divBdr>
        </w:div>
        <w:div w:id="569778775">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patricia.horcajada@imdea.org" TargetMode="External"/><Relationship Id="rId13" Type="http://schemas.openxmlformats.org/officeDocument/2006/relationships/oleObject" Target="embeddings/oleObject1.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jmarchal@ugr.es" TargetMode="External"/><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E252556-1E11-4963-8D8E-051E0E72FB13}">
  <we:reference id="wa104382081" version="1.55.1.0" store="es-ES" storeType="OMEX"/>
  <we:alternateReferences>
    <we:reference id="wa104382081" version="1.55.1.0" store="es-ES" storeType="OMEX"/>
  </we:alternateReferences>
  <we:properties>
    <we:property name="MENDELEY_CITATIONS" value="[{&quot;citationID&quot;:&quot;MENDELEY_CITATION_02c14d1e-bd0b-4cdc-a74d-68262935a437&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&quot;,&quot;citationItems&quot;:[{&quot;id&quot;:&quot;29767ac8-b3ea-3273-879d-7cd84c89488c&quot;,&quot;itemData&quot;:{&quot;type&quot;:&quot;article-journal&quot;,&quot;id&quot;:&quot;29767ac8-b3ea-3273-879d-7cd84c89488c&quot;,&quot;title&quot;:&quot;Green Microwave Synthesis of MIL-100(Al, Cr, Fe) Nanoparticles for Thin-Film Elaboration&quot;,&quot;author&quot;:[{&quot;family&quot;:&quot;García Márquez&quot;,&quot;given&quot;:&quot;Alfonso&quot;,&quot;parse-names&quot;:false,&quot;dropping-particle&quot;:&quot;&quot;,&quot;non-dropping-particle&quot;:&quot;&quot;},{&quot;family&quot;:&quot;Demessence&quot;,&quot;given&quot;:&quot;Aude&quot;,&quot;parse-names&quot;:false,&quot;dropping-particle&quot;:&quot;&quot;,&quot;non-dropping-particle&quot;:&quot;&quot;},{&quot;family&quot;:&quot;Platero-Prats&quot;,&quot;given&quot;:&quot;Ana Eva&quot;,&quot;parse-names&quot;:false,&quot;dropping-particle&quot;:&quot;&quot;,&quot;non-dropping-particle&quot;:&quot;&quot;},{&quot;family&quot;:&quot;Heurtaux&quot;,&quot;given&quot;:&quot;Daniela&quot;,&quot;parse-names&quot;:false,&quot;dropping-particle&quot;:&quot;&quot;,&quot;non-dropping-particle&quot;:&quot;&quot;},{&quot;family&quot;:&quot;Horcajada&quot;,&quot;given&quot;:&quot;Patricia&quot;,&quot;parse-names&quot;:false,&quot;dropping-particle&quot;:&quot;&quot;,&quot;non-dropping-particle&quot;:&quot;&quot;},{&quot;family&quot;:&quot;Serre&quot;,&quot;given&quot;:&quot;Christian&quot;,&quot;parse-names&quot;:false,&quot;dropping-particle&quot;:&quot;&quot;,&quot;non-dropping-particle&quot;:&quot;&quot;},{&quot;family&quot;:&quot;Chang&quot;,&quot;given&quot;:&quot;Jong San&quot;,&quot;parse-names&quot;:false,&quot;dropping-particle&quot;:&quot;&quot;,&quot;non-dropping-particle&quot;:&quot;&quot;},{&quot;family&quot;:&quot;Férey&quot;,&quot;given&quot;:&quot;Gérard&quot;,&quot;parse-names&quot;:false,&quot;dropping-particle&quot;:&quot;&quot;,&quot;non-dropping-particle&quot;:&quot;&quot;},{&quot;family&quot;:&quot;La Peña-O'Shea&quot;,&quot;given&quot;:&quot;Victor Antonio&quot;,&quot;parse-names&quot;:false,&quot;dropping-particle&quot;:&quot;&quot;,&quot;non-dropping-particle&quot;:&quot;De&quot;},{&quot;family&quot;:&quot;Boissière&quot;,&quot;given&quot;:&quot;Cédric&quot;,&quot;parse-names&quot;:false,&quot;dropping-particle&quot;:&quot;&quot;,&quot;non-dropping-particle&quot;:&quot;&quot;},{&quot;family&quot;:&quot;Grosso&quot;,&quot;given&quot;:&quot;David&quot;,&quot;parse-names&quot;:false,&quot;dropping-particle&quot;:&quot;&quot;,&quot;non-dropping-particle&quot;:&quot;&quot;},{&quot;family&quot;:&quot;Sanchez&quot;,&quot;given&quot;:&quot;Clément&quot;,&quot;parse-names&quot;:false,&quot;dropping-particle&quot;:&quot;&quot;,&quot;non-dropping-particle&quot;:&quot;&quot;}],&quot;container-title&quot;:&quot;European Journal of Inorganic Chemistry&quot;,&quot;container-title-short&quot;:&quot;Eur J Inorg Chem&quot;,&quot;accessed&quot;:{&quot;date-parts&quot;:[[2023,7,26]]},&quot;DOI&quot;:&quot;10.1002/EJIC.201200710&quot;,&quot;ISSN&quot;:&quot;1099-0682&quot;,&quot;URL&quot;:&quot;https://onlinelibrary.wiley.com/doi/full/10.1002/ejic.201200710&quot;,&quot;issued&quot;:{&quot;date-parts&quot;:[[2012,11,1]]},&quot;page&quot;:&quot;5165-5174&quot;,&quot;abstract&quot;:&quot;Nanoparticles of mesoporous MIL-100(Al, Cr or Fe) metal-organic frameworks were synthesized by a microwave-assisted solvothermal route with green solvents. The optimization of yield, crystallinity, and particle size was achieved through the control of synthetic parameters such as temperature, heating rate, and dwelling time. The particle size strongly depends on the metallic cation and the metal and linker precursors; nanoparticles smaller than 100 nm were obtained for iron and chromium based MIL-100. Finally, stable colloidal solutions of iron and chromium MIL-100 nanoparticles were used for thin layer dip-coating deposition, which resulted in high optical quality thin films, the porosity of which was investigated by environmental ellipsometric porosimetry. The syntheses of nanoparticles of mesoporous MIL-100(Al, Cr, or Fe) metal-organic frameworks were performed by a microwave-assisted solvothermal route with green solvents. Stable colloidal solutions of iron and chromium MIL-100 nanoparticles were obtained and used to prepare high optical quality thin films by dip coating. Their porosity was investigated by environmental ellipsometric porosimetry. Copyright © 2012 WILEY-VCH Verlag GmbH &amp; Co. KGaA, Weinheim.&quot;,&quot;publisher&quot;:&quot;John Wiley &amp; Sons, Ltd&quot;,&quot;issue&quot;:&quot;32&quot;,&quot;volume&quot;:&quot;2012&quot;},&quot;isTemporary&quot;:false}]},{&quot;citationID&quot;:&quot;MENDELEY_CITATION_45b0a4cd-5041-4c8b-b5e6-13ef2e690487&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&quot;,&quot;citationItems&quot;:[{&quot;id&quot;:&quot;a8a1be82-7f6c-3dab-b78b-04af20524e3a&quot;,&quot;itemData&quot;:{&quot;type&quot;:&quot;article-journal&quot;,&quot;id&quot;:&quot;a8a1be82-7f6c-3dab-b78b-04af20524e3a&quot;,&quot;title&quot;:&quot;NIR-responsive cancer cytomembrane-cloaked carrier-free nanosystems for highly efficient and self-targeted tumor drug delivery&quot;,&quot;author&quot;:[{&quot;family&quot;:&quot;Zhang&quot;,&quot;given&quot;:&quot;Ning&quot;,&quot;parse-names&quot;:false,&quot;dropping-particle&quot;:&quot;&quot;,&quot;non-dropping-particle&quot;:&quot;&quot;},{&quot;family&quot;:&quot;Li&quot;,&quot;given&quot;:&quot;Minghui&quot;,&quot;parse-names&quot;:false,&quot;dropping-particle&quot;:&quot;&quot;,&quot;non-dropping-particle&quot;:&quot;&quot;},{&quot;family&quot;:&quot;Sun&quot;,&quot;given&quot;:&quot;Xuetan&quot;,&quot;parse-names&quot;:false,&quot;dropping-particle&quot;:&quot;&quot;,&quot;non-dropping-particle&quot;:&quot;&quot;},{&quot;family&quot;:&quot;Jia&quot;,&quot;given&quot;:&quot;Huizhen&quot;,&quot;parse-names&quot;:false,&quot;dropping-particle&quot;:&quot;&quot;,&quot;non-dropping-particle&quot;:&quot;&quot;},{&quot;family&quot;:&quot;Liu&quot;,&quot;given&quot;:&quot;Wenguang&quot;,&quot;parse-names&quot;:false,&quot;dropping-particle&quot;:&quot;&quot;,&quot;non-dropping-particle&quot;:&quot;&quot;}],&quot;container-title&quot;:&quot;Biomaterials&quot;,&quot;container-title-short&quot;:&quot;Biomaterials&quot;,&quot;accessed&quot;:{&quot;date-parts&quot;:[[2023,7,26]]},&quot;DOI&quot;:&quot;10.1016/J.BIOMATERIALS.2018.01.007&quot;,&quot;ISSN&quot;:&quot;0142-9612&quot;,&quot;PMID&quot;:&quot;29309991&quot;,&quot;issued&quot;:{&quot;date-parts&quot;:[[2018,3,1]]},&quot;page&quot;:&quot;25-36&quot;,&quot;abstract&quot;:&quot;Cell membrane-camouflaged nanoparticles for cancer therapy have received a burgeoning interest over the past years. However, the low drug loading and intratumoral release efficiency, and lack of precise targeting remains a big challenge; in addition, foreign carriers used may pose an expected burden in the course of metabolism. In this study, we designed and fabricated a novel NIR-responsive highly targeted carrier-free nanosystem by coating the exactly identical source of cracked cancer cell membranes (CCCMs) specifically derived from the homologous tumors onto the surface of the co-assembly nanoparticles of doxorubicin (DOX) and FDA-approved photothermal agent, indocyanine green (ICG). The nanosystems exhibited a high drug loading capacity (89.8%), cancer cell self-recognized ability and immune escape function. Further, the nanodrugs could be efficiently released for the membrane disturbance triggered by photothermal effect of ICG under NIR irradiation. The tumor-bearing mice model demonstrated that the self-carried DOX NPs@ICG@CCCM nanoparticles possessed a strong synergistic chemo-/photothermal therapeutic efficacy against tumors in vivo. The present strategy could be developed as a universal approach for designing and constructing carrier-free theranostic nanovehicles by intentionally selecting specific cancer cell membrane and the inner loading cargoes.&quot;,&quot;publisher&quot;:&quot;Elsevier&quot;,&quot;volume&quot;:&quot;159&quot;},&quot;isTemporary&quot;:false},{&quot;id&quot;:&quot;49178ae1-d11e-3d8d-8d94-ee8849327415&quot;,&quot;itemData&quot;:{&quot;type&quot;:&quot;article-journal&quot;,&quot;id&quot;:&quot;49178ae1-d11e-3d8d-8d94-ee8849327415&quot;,&quot;title&quot;:&quot;Cell membrane-coated oil in water nano-emulsions as biomimetic nanocarriers for lipophilic compounds conveyance&quot;,&quot;author&quot;:[{&quot;family&quot;:&quot;Profeta&quot;,&quot;given&quot;:&quot;Martina&quot;,&quot;parse-names&quot;:false,&quot;dropping-particle&quot;:&quot;&quot;,&quot;non-dropping-particle&quot;:&quot;&quot;},{&quot;family&quot;:&quot;Natale&quot;,&quot;given&quot;:&quot;Concetta&quot;,&quot;parse-names&quot;:false,&quot;dropping-particle&quot;:&quot;&quot;,&quot;non-dropping-particle&quot;:&quot;Di&quot;},{&quot;family&quot;:&quot;Lagreca&quot;,&quot;given&quot;:&quot;Elena&quot;,&quot;parse-names&quot;:false,&quot;dropping-particle&quot;:&quot;&quot;,&quot;non-dropping-particle&quot;:&quot;&quot;},{&quot;family&quot;:&quot;Mollo&quot;,&quot;given&quot;:&quot;Valentina&quot;,&quot;parse-names&quot;:false,&quot;dropping-particle&quot;:&quot;&quot;,&quot;non-dropping-particle&quot;:&quot;&quot;},{&quot;family&quot;:&quot;Netti&quot;,&quot;given&quot;:&quot;Paolo Antonio&quot;,&quot;parse-names&quot;:false,&quot;dropping-particle&quot;:&quot;&quot;,&quot;non-dropping-particle&quot;:&quot;&quot;},{&quot;family&quot;:&quot;Vecchione&quot;,&quot;given&quot;:&quot;Raffaele&quot;,&quot;parse-names&quot;:false,&quot;dropping-particle&quot;:&quot;&quot;,&quot;non-dropping-particle&quot;:&quot;&quot;}],&quot;container-title&quot;:&quot;Pharmaceutics&quot;,&quot;container-title-short&quot;:&quot;Pharmaceutics&quot;,&quot;accessed&quot;:{&quot;date-parts&quot;:[[2023,7,26]]},&quot;DOI&quot;:&quot;10.3390/PHARMACEUTICS13071069/S1&quot;,&quot;ISSN&quot;:&quot;19994923&quot;,&quot;URL&quot;:&quot;https://www.mdpi.com/1999-4923/13/7/1069/htm&quot;,&quot;issued&quot;:{&quot;date-parts&quot;:[[2021,7,1]]},&quot;page&quot;:&quot;1069&quot;,&quot;abstract&quot;:&quot;Recently, we developed ultra-stable oil in water nano-emulsions (O/W NEs), able to carry both internal and external cargos (Somes), such as lipophilic compounds and hydrophilic coatings, respectively, that we call here NEsoSomes. O/W NEs are an excellent bioengineering tool for drug and molecules delivery, due to their ability to dissolve a large number of hydrophobic compounds and protect them from hydrolysis and degradation under biological conditions. At present, no report is available on the combination of cell membrane coatings with such nanocarriers, probably due to their typical instability feature. Since then, we have reported, for the first time, a new cell membrane (CM)-coated nanomaterial composed of membranes extracted from glioblastoma cancer cells (U87-MG) deposited on NEsoSomes, through a liquid–liquid interface method, to produce highly controllable membrane caked nano-capsules, namely CM-NEsoSomes. CM-NEsoSomes were physically characterized by dynamic light scattering (DLS) over time and their correct morphology was analyzed by confocal and transmission electron microscopy (TEM) microscopy. Moreover, CM-NEsoSomes biocompatibility was tested on the healthy model cell line, performing cell cytotoxicity and uptake assay, showing nanocarriers uptake by cells with no induced cytotoxicity.&quot;,&quot;publisher&quot;:&quot;MDPI&quot;,&quot;issue&quot;:&quot;7&quot;,&quot;volume&quot;:&quot;13&quot;},&quot;isTemporary&quot;:false}]},{&quot;citationID&quot;:&quot;MENDELEY_CITATION_e5fe51c8-2ce1-488a-b811-2691acfa2a77&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&quot;,&quot;citationItems&quot;:[{&quot;id&quot;:&quot;221433bb-19ce-3de9-81e4-4187f0e50f4e&quot;,&quot;itemData&quot;:{&quot;type&quot;:&quot;article-journal&quot;,&quot;id&quot;:&quot;221433bb-19ce-3de9-81e4-4187f0e50f4e&quot;,&quot;title&quot;:&quot;Engineered Cell-Membrane-Coated Nanoparticles Directly Present Tumor Antigens to Promote Anticancer Immunity&quot;,&quot;author&quot;:[{&quot;family&quot;:&quot;Jiang&quot;,&quot;given&quot;:&quot;Yao&quot;,&quot;parse-names&quot;:false,&quot;dropping-particle&quot;:&quot;&quot;,&quot;non-dropping-particle&quot;:&quot;&quot;},{&quot;family&quot;:&quot;Krishnan&quot;,&quot;given&quot;:&quot;Nishta&quot;,&quot;parse-names&quot;:false,&quot;dropping-particle&quot;:&quot;&quot;,&quot;non-dropping-particle&quot;:&quot;&quot;},{&quot;family&quot;:&quot;Zhou&quot;,&quot;given&quot;:&quot;Jiarong&quot;,&quot;parse-names&quot;:false,&quot;dropping-particle&quot;:&quot;&quot;,&quot;non-dropping-particle&quot;:&quot;&quot;},{&quot;family&quot;:&quot;Chekuri&quot;,&quot;given&quot;:&quot;Sanam&quot;,&quot;parse-names&quot;:false,&quot;dropping-particle&quot;:&quot;&quot;,&quot;non-dropping-particle&quot;:&quot;&quot;},{&quot;family&quot;:&quot;Wei&quot;,&quot;given&quot;:&quot;Xiaoli&quot;,&quot;parse-names&quot;:false,&quot;dropping-particle&quot;:&quot;&quot;,&quot;non-dropping-particle&quot;:&quot;&quot;},{&quot;family&quot;:&quot;Kroll&quot;,&quot;given&quot;:&quot;Ashley&quot;,&quot;parse-names&quot;:false,&quot;dropping-particle&quot;:&quot;V&quot;,&quot;non-dropping-particle&quot;:&quot;&quot;},{&quot;family&quot;:&quot;Lai Yu&quot;,&quot;given&quot;:&quot;Chun&quot;,&quot;parse-names&quot;:false,&quot;dropping-particle&quot;:&quot;&quot;,&quot;non-dropping-particle&quot;:&quot;&quot;},{&quot;family&quot;:&quot;Duan&quot;,&quot;given&quot;:&quot;Yaou&quot;,&quot;parse-names&quot;:false,&quot;dropping-particle&quot;:&quot;&quot;,&quot;non-dropping-particle&quot;:&quot;&quot;},{&quot;family&quot;:&quot;Gao&quot;,&quot;given&quot;:&quot;Weiwei&quot;,&quot;parse-names&quot;:false,&quot;dropping-particle&quot;:&quot;&quot;,&quot;non-dropping-particle&quot;:&quot;&quot;},{&quot;family&quot;:&quot;Fang&quot;,&quot;given&quot;:&quot;Ronnie H&quot;,&quot;parse-names&quot;:false,&quot;dropping-particle&quot;:&quot;&quot;,&quot;non-dropping-particle&quot;:&quot;&quot;},{&quot;family&quot;:&quot;Zhang&quot;,&quot;given&quot;:&quot;Liangfang&quot;,&quot;parse-names&quot;:false,&quot;dropping-particle&quot;:&quot;&quot;,&quot;non-dropping-particle&quot;:&quot;&quot;},{&quot;family&quot;:&quot;Jiang&quot;,&quot;given&quot;:&quot;Y&quot;,&quot;parse-names&quot;:false,&quot;dropping-particle&quot;:&quot;&quot;,&quot;non-dropping-particle&quot;:&quot;&quot;},{&quot;family&quot;:&quot;Krishnan&quot;,&quot;given&quot;:&quot;N&quot;,&quot;parse-names&quot;:false,&quot;dropping-particle&quot;:&quot;&quot;,&quot;non-dropping-particle&quot;:&quot;&quot;},{&quot;family&quot;:&quot;Zhou&quot;,&quot;given&quot;:&quot;J&quot;,&quot;parse-names&quot;:false,&quot;dropping-particle&quot;:&quot;&quot;,&quot;non-dropping-particle&quot;:&quot;&quot;},{&quot;family&quot;:&quot;Chekuri&quot;,&quot;given&quot;:&quot;S&quot;,&quot;parse-names&quot;:false,&quot;dropping-particle&quot;:&quot;&quot;,&quot;non-dropping-particle&quot;:&quot;&quot;},{&quot;family&quot;:&quot;Wei&quot;,&quot;given&quot;:&quot;X&quot;,&quot;parse-names&quot;:false,&quot;dropping-particle&quot;:&quot;&quot;,&quot;non-dropping-particle&quot;:&quot;&quot;},{&quot;family&quot;:&quot;Kroll&quot;,&quot;given&quot;:&quot;A&quot;,&quot;parse-names&quot;:false,&quot;dropping-particle&quot;:&quot;V&quot;,&quot;non-dropping-particle&quot;:&quot;&quot;},{&quot;family&quot;:&quot;Yu&quot;,&quot;given&quot;:&quot;C L&quot;,&quot;parse-names&quot;:false,&quot;dropping-particle&quot;:&quot;&quot;,&quot;non-dropping-particle&quot;:&quot;&quot;},{&quot;family&quot;:&quot;Duan&quot;,&quot;given&quot;:&quot;Y&quot;,&quot;parse-names&quot;:false,&quot;dropping-particle&quot;:&quot;&quot;,&quot;non-dropping-particle&quot;:&quot;&quot;},{&quot;family&quot;:&quot;Gao&quot;,&quot;given&quot;:&quot;W&quot;,&quot;parse-names&quot;:false,&quot;dropping-particle&quot;:&quot;&quot;,&quot;non-dropping-particle&quot;:&quot;&quot;},{&quot;family&quot;:&quot;Fang&quot;,&quot;given&quot;:&quot;R H&quot;,&quot;parse-names&quot;:false,&quot;dropping-particle&quot;:&quot;&quot;,&quot;non-dropping-particle&quot;:&quot;&quot;},{&quot;family&quot;:&quot;Zhang&quot;,&quot;given&quot;:&quot;L&quot;,&quot;parse-names&quot;:false,&quot;dropping-particle&quot;:&quot;&quot;,&quot;non-dropping-particle&quot;:&quot;&quot;}],&quot;container-title&quot;:&quot;Advanced Materials&quot;,&quot;accessed&quot;:{&quot;date-parts&quot;:[[2023,7,26]]},&quot;DOI&quot;:&quot;10.1002/ADMA.202001808&quot;,&quot;ISSN&quot;:&quot;1521-4095&quot;,&quot;PMID&quot;:&quot;32538494&quot;,&quot;URL&quot;:&quot;https://onlinelibrary.wiley.com/doi/full/10.1002/adma.202001808&quot;,&quot;issued&quot;:{&quot;date-parts&quot;:[[2020,7,1]]},&quot;page&quot;:&quot;2001808&quot;,&quot;abstract&quot;:&quot;The recent success of immunotherapies has highlighted the power of leveraging the immune system in the fight against cancer. In order for most immune-based therapies to succeed, T cell subsets with the correct tumor-targeting specificities must be mobilized. When such specificities are lacking, providing the immune system with tumor antigen material for processing and presentation is a common strategy for stimulating antigen-specific T cell populations. While straightforward in principle, experience has shown that manipulation of the antigen presentation process can be incredibly complex, necessitating sophisticated strategies that are difficult to translate. Herein, the design of a biomimetic nanoparticle platform is reported that can be used to directly stimulate T cells without the need for professional antigen-presenting cells. The nanoparticles are fabricated using a cell membrane coating derived from cancer cells engineered to express a co-stimulatory marker. Combined with the peptide epitopes naturally presented on the membrane surface, the final formulation contains the necessary signals to promote tumor antigen-specific immune responses, priming T cells that can be used to control tumor growth. The reported approach represents an emerging strategy that can be used to develop multiantigenic, personalized cancer immunotherapies.&quot;,&quot;publisher&quot;:&quot;John Wiley &amp; Sons, Ltd&quot;,&quot;issue&quot;:&quot;30&quot;,&quot;volume&quot;:&quot;32&quot;,&quot;container-title-short&quot;:&quot;&quot;},&quot;isTemporary&quot;:false}]},{&quot;citationID&quot;:&quot;MENDELEY_CITATION_dac68525-d55e-4442-9230-ac9c378fbb7d&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&quot;,&quot;citationItems&quot;:[{&quot;id&quot;:&quot;4abb9d5c-93db-3d15-814d-4004228d1e6f&quot;,&quot;itemData&quot;:{&quot;type&quot;:&quot;article-journal&quot;,&quot;id&quot;:&quot;4abb9d5c-93db-3d15-814d-4004228d1e6f&quot;,&quot;title&quot;:&quot;Porous metal–organic-framework nanoscale carriers as a potential platform for drug delivery and imaging&quot;,&quot;author&quot;:[{&quot;family&quot;:&quot;Horcajada&quot;,&quot;given&quot;:&quot;Patricia&quot;,&quot;parse-names&quot;:false,&quot;dropping-particle&quot;:&quot;&quot;,&quot;non-dropping-particle&quot;:&quot;&quot;},{&quot;family&quot;:&quot;Chalati&quot;,&quot;given&quot;:&quot;Tamim&quot;,&quot;parse-names&quot;:false,&quot;dropping-particle&quot;:&quot;&quot;,&quot;non-dropping-particle&quot;:&quot;&quot;},{&quot;family&quot;:&quot;Serre&quot;,&quot;given&quot;:&quot;Christian&quot;,&quot;parse-names&quot;:false,&quot;dropping-particle&quot;:&quot;&quot;,&quot;non-dropping-particle&quot;:&quot;&quot;},{&quot;family&quot;:&quot;Gillet&quot;,&quot;given&quot;:&quot;Brigitte&quot;,&quot;parse-names&quot;:false,&quot;dropping-particle&quot;:&quot;&quot;,&quot;non-dropping-particle&quot;:&quot;&quot;},{&quot;family&quot;:&quot;Sebrie&quot;,&quot;given&quot;:&quot;Catherine&quot;,&quot;parse-names&quot;:false,&quot;dropping-particle&quot;:&quot;&quot;,&quot;non-dropping-particle&quot;:&quot;&quot;},{&quot;family&quot;:&quot;Baati&quot;,&quot;given&quot;:&quot;Tarek&quot;,&quot;parse-names&quot;:false,&quot;dropping-particle&quot;:&quot;&quot;,&quot;non-dropping-particle&quot;:&quot;&quot;},{&quot;family&quot;:&quot;Eubank&quot;,&quot;given&quot;:&quot;Jarrod F.&quot;,&quot;parse-names&quot;:false,&quot;dropping-particle&quot;:&quot;&quot;,&quot;non-dropping-particle&quot;:&quot;&quot;},{&quot;family&quot;:&quot;Heurtaux&quot;,&quot;given&quot;:&quot;Daniela&quot;,&quot;parse-names&quot;:false,&quot;dropping-particle&quot;:&quot;&quot;,&quot;non-dropping-particle&quot;:&quot;&quot;},{&quot;family&quot;:&quot;Clayette&quot;,&quot;given&quot;:&quot;Pascal&quot;,&quot;parse-names&quot;:false,&quot;dropping-particle&quot;:&quot;&quot;,&quot;non-dropping-particle&quot;:&quot;&quot;},{&quot;family&quot;:&quot;Kreuz&quot;,&quot;given&quot;:&quot;Christine&quot;,&quot;parse-names&quot;:false,&quot;dropping-particle&quot;:&quot;&quot;,&quot;non-dropping-particle&quot;:&quot;&quot;},{&quot;family&quot;:&quot;Chang&quot;,&quot;given&quot;:&quot;Jong San&quot;,&quot;parse-names&quot;:false,&quot;dropping-particle&quot;:&quot;&quot;,&quot;non-dropping-particle&quot;:&quot;&quot;},{&quot;family&quot;:&quot;Hwang&quot;,&quot;given&quot;:&quot;Young Kyu&quot;,&quot;parse-names&quot;:false,&quot;dropping-particle&quot;:&quot;&quot;,&quot;non-dropping-particle&quot;:&quot;&quot;},{&quot;family&quot;:&quot;Marsaud&quot;,&quot;given&quot;:&quot;Veronique&quot;,&quot;parse-names&quot;:false,&quot;dropping-particle&quot;:&quot;&quot;,&quot;non-dropping-particle&quot;:&quot;&quot;},{&quot;family&quot;:&quot;Bories&quot;,&quot;given&quot;:&quot;Phuong Nhi&quot;,&quot;parse-names&quot;:false,&quot;dropping-particle&quot;:&quot;&quot;,&quot;non-dropping-particle&quot;:&quot;&quot;},{&quot;family&quot;:&quot;Cynober&quot;,&quot;given&quot;:&quot;Luc&quot;,&quot;parse-names&quot;:false,&quot;dropping-particle&quot;:&quot;&quot;,&quot;non-dropping-particle&quot;:&quot;&quot;},{&quot;family&quot;:&quot;Gil&quot;,&quot;given&quot;:&quot;Sophie&quot;,&quot;parse-names&quot;:false,&quot;dropping-particle&quot;:&quot;&quot;,&quot;non-dropping-particle&quot;:&quot;&quot;},{&quot;family&quot;:&quot;Férey&quot;,&quot;given&quot;:&quot;Gérard&quot;,&quot;parse-names&quot;:false,&quot;dropping-particle&quot;:&quot;&quot;,&quot;non-dropping-particle&quot;:&quot;&quot;},{&quot;family&quot;:&quot;Couvreur&quot;,&quot;given&quot;:&quot;Patrick&quot;,&quot;parse-names&quot;:false,&quot;dropping-particle&quot;:&quot;&quot;,&quot;non-dropping-particle&quot;:&quot;&quot;},{&quot;family&quot;:&quot;Gref&quot;,&quot;given&quot;:&quot;Ruxandra&quot;,&quot;parse-names&quot;:false,&quot;dropping-particle&quot;:&quot;&quot;,&quot;non-dropping-particle&quot;:&quot;&quot;}],&quot;container-title&quot;:&quot;Nature Materials 2010 9:2&quot;,&quot;accessed&quot;:{&quot;date-parts&quot;:[[2023,7,26]]},&quot;DOI&quot;:&quot;10.1038/nmat2608&quot;,&quot;ISSN&quot;:&quot;1476-4660&quot;,&quot;PMID&quot;:&quot;20010827&quot;,&quot;URL&quot;:&quot;https://www.nature.com/articles/nmat2608&quot;,&quot;issued&quot;:{&quot;date-parts&quot;:[[2009,12,13]]},&quot;page&quot;:&quot;172-178&quot;,&quot;abstract&quot;:&quot;In the domain of health, one important challenge is the efficient delivery of drugs in the body using non-toxic nanocarriers. Most of the existing carrier materials show poor drug loading (usually less than 5 wt% of the transported drug versus the carrier material) and/or rapid release of the proportion of the drug that is simply adsorbed (or anchored) at the external surface of the nanocarrier. In this context, porous hybrid solids, with the ability to tune their structures and porosities for better drug interactions and high loadings, are well suited to serve as nanocarriers for delivery and imaging applications. Here we show that specific non-toxic porous iron(III)-based metal–organic frameworks with engineered cores and surfaces, as well as imaging properties, function as superior nanocarriers for efficient controlled delivery of challenging antitumoural and retroviral drugs (that is, busulfan, azidothymidine triphosphate, doxorubicin or cidofovir) against cancer and AIDS. In addition to their high loadings, they also potentially associate therapeutics and diagnostics, thus opening the way for theranostics, or personalized patient treatments. An important challenge in medicine is the efficient delivery of drugs in the body using non-toxic nanocarriers. Porous metal–organic frameworks with imaging properties are now used as nanoscale carriers for the controlled delivery of antitumour and retroviral drugs against cancer and AIDS.&quot;,&quot;publisher&quot;:&quot;Nature Publishing Group&quot;,&quot;issue&quot;:&quot;2&quot;,&quot;volume&quot;:&quot;9&quot;,&quot;container-title-short&quot;:&quot;&quot;},&quot;isTemporary&quot;:false}]},{&quot;citationID&quot;:&quot;MENDELEY_CITATION_10ec1f6a-be70-406d-ad1d-2a240c45fdd7&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&quot;,&quot;citationItems&quot;:[{&quot;id&quot;:&quot;5b3a7bbb-42c1-33f6-bc0b-12ee0be377d7&quot;,&quot;itemData&quot;:{&quot;type&quot;:&quot;article-journal&quot;,&quot;id&quot;:&quot;5b3a7bbb-42c1-33f6-bc0b-12ee0be377d7&quot;,&quot;title&quot;:&quot;In vitro biocompatibility of mesoporous metal (III; Fe, Al, Cr) trimesate MOF nanocarriers&quot;,&quot;author&quot;:[{&quot;family&quot;:&quot;Grall&quot;,&quot;given&quot;:&quot;Romain&quot;,&quot;parse-names&quot;:false,&quot;dropping-particle&quot;:&quot;&quot;,&quot;non-dropping-particle&quot;:&quot;&quot;},{&quot;family&quot;:&quot;Hidalgo&quot;,&quot;given&quot;:&quot;Tania&quot;,&quot;parse-names&quot;:false,&quot;dropping-particle&quot;:&quot;&quot;,&quot;non-dropping-particle&quot;:&quot;&quot;},{&quot;family&quot;:&quot;Delic&quot;,&quot;given&quot;:&quot;Jozo&quot;,&quot;parse-names&quot;:false,&quot;dropping-particle&quot;:&quot;&quot;,&quot;non-dropping-particle&quot;:&quot;&quot;},{&quot;family&quot;:&quot;Garcia-Marquez&quot;,&quot;given&quot;:&quot;Alfonso&quot;,&quot;parse-names&quot;:false,&quot;dropping-particle&quot;:&quot;&quot;,&quot;non-dropping-particle&quot;:&quot;&quot;},{&quot;family&quot;:&quot;Chevillard&quot;,&quot;given&quot;:&quot;Sylvie&quot;,&quot;parse-names&quot;:false,&quot;dropping-particle&quot;:&quot;&quot;,&quot;non-dropping-particle&quot;:&quot;&quot;},{&quot;family&quot;:&quot;Horcajada&quot;,&quot;given&quot;:&quot;Patricia&quot;,&quot;parse-names&quot;:false,&quot;dropping-particle&quot;:&quot;&quot;,&quot;non-dropping-particle&quot;:&quot;&quot;}],&quot;container-title&quot;:&quot;Journal of Materials Chemistry B&quot;,&quot;container-title-short&quot;:&quot;J Mater Chem B&quot;,&quot;accessed&quot;:{&quot;date-parts&quot;:[[2023,7,26]]},&quot;DOI&quot;:&quot;10.1039/C5TB01223F&quot;,&quot;ISSN&quot;:&quot;2050-7518&quot;,&quot;URL&quot;:&quot;https://pubs.rsc.org/en/content/articlehtml/2015/tb/c5tb01223f&quot;,&quot;issued&quot;:{&quot;date-parts&quot;:[[2015,10,21]]},&quot;page&quot;:&quot;8279-8292&quot;,&quot;abstract&quot;:&quot;The high porosity and versatile composition of the benchmarked mesoporous metal (Fe, Al, Cr) trimesate metal–organic frameworks (MIL-100(Fe, Al, Cr)) make them very promising solids in different strategic industrial and societal domains (separation, catalysis, biomedicine, etc.). In particular, MIL-100(Fe) nanoparticles (NPs) have been recently revealed to be one of the most promising and innovative next generation tools enabling multidrug delivery to overcome cancer resistance. Here, we analyzed the in vitro toxicity of the potential drug nanocarrier MIL-100(Fe) NPs and the effect of the constitutive cation by comparing its cytotoxicity with that one of its Cr and Al analogue NPs. Lung (A549 and Calu-3) and hepatic (HepG2 and Hep3B) cell lines were selected considering pulmonary, ingestion or intravenous exposure modes. First, the complete physicochemical characterization (structural, chemical and colloidal stability) of the MIL-100(Fe, Al, Cr) NPs was performed in the cell culture media. Then, their cytotoxicity was evaluated in the four selected cell lines using a combination of methods from cell impedance, cell survival/death and ROS generation to DNA damage for measuring genotoxicity. Thus, MIL-100(Fe, Al, Cr) NPs did not induce in vitro cell toxicity, even at high doses in the p53 wild type cell lines (A549 and calu-3 (lung) and HepG2 (liver)). The only toxic effect of MIL100-Fe was observed in the hepatocarcinoma cell line Hep3B, which is stress sensitive because it does not express TP53, the guardian of the genome.&quot;,&quot;publisher&quot;:&quot;The Royal Society of Chemistry&quot;,&quot;issue&quot;:&quot;42&quot;,&quot;volume&quot;:&quot;3&quot;},&quot;isTemporary&quot;:false}]}]"/>
    <we:property name="MENDELEY_CITATIONS_LOCALE_CODE" value="&quot;en-US&quot;"/>
    <we:property name="MENDELEY_CITATIONS_STYLE" value="{&quot;id&quot;:&quot;https://www.zotero.org/styles/angewandte-chemie&quot;,&quot;title&quot;:&quot;Angewandte Chemie International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03D09A-E5BB-4D98-8082-DF0502D9C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Pages>
  <Words>299</Words>
  <Characters>1710</Characters>
  <Application>Microsoft Office Word</Application>
  <DocSecurity>0</DocSecurity>
  <Lines>14</Lines>
  <Paragraphs>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Darina Francesca Picchi</dc:creator>
  <cp:lastModifiedBy>Aixa</cp:lastModifiedBy>
  <cp:revision>9</cp:revision>
  <dcterms:created xsi:type="dcterms:W3CDTF">2023-09-04T08:19:00Z</dcterms:created>
  <dcterms:modified xsi:type="dcterms:W3CDTF">2023-09-13T09:09:00Z</dcterms:modified>
</cp:coreProperties>
</file>