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A866BA" w14:textId="4BDBD3FC" w:rsidR="00FD1F4B" w:rsidRPr="00221AA4" w:rsidRDefault="00FD1F4B" w:rsidP="00FD1F4B">
      <w:pPr>
        <w:rPr>
          <w:rFonts w:asciiTheme="minorEastAsia" w:hAnsiTheme="minorEastAsia"/>
        </w:rPr>
      </w:pPr>
      <w:r>
        <w:rPr>
          <w:rFonts w:asciiTheme="minorEastAsia" w:hAnsiTheme="minorEastAsia"/>
        </w:rPr>
        <w:t xml:space="preserve">Supplementary </w:t>
      </w:r>
      <w:r w:rsidRPr="00221AA4">
        <w:rPr>
          <w:rFonts w:asciiTheme="minorEastAsia" w:hAnsiTheme="minorEastAsia"/>
        </w:rPr>
        <w:t>Table</w:t>
      </w:r>
      <w:r>
        <w:rPr>
          <w:rFonts w:asciiTheme="minorEastAsia" w:hAnsiTheme="minorEastAsia"/>
        </w:rPr>
        <w:t xml:space="preserve"> S</w:t>
      </w:r>
      <w:r w:rsidR="00C955AC">
        <w:rPr>
          <w:rFonts w:asciiTheme="minorEastAsia" w:hAnsiTheme="minorEastAsia"/>
        </w:rPr>
        <w:t>2</w:t>
      </w:r>
      <w:r w:rsidRPr="00221AA4">
        <w:rPr>
          <w:rFonts w:asciiTheme="minorEastAsia" w:hAnsiTheme="minorEastAsia"/>
        </w:rPr>
        <w:t>. Characteristics of the datasets used in this study.</w:t>
      </w:r>
    </w:p>
    <w:tbl>
      <w:tblPr>
        <w:tblStyle w:val="a3"/>
        <w:tblW w:w="9174" w:type="dxa"/>
        <w:tblLayout w:type="fixed"/>
        <w:tblLook w:val="04A0" w:firstRow="1" w:lastRow="0" w:firstColumn="1" w:lastColumn="0" w:noHBand="0" w:noVBand="1"/>
      </w:tblPr>
      <w:tblGrid>
        <w:gridCol w:w="851"/>
        <w:gridCol w:w="1276"/>
        <w:gridCol w:w="2835"/>
        <w:gridCol w:w="567"/>
        <w:gridCol w:w="708"/>
        <w:gridCol w:w="426"/>
        <w:gridCol w:w="850"/>
        <w:gridCol w:w="567"/>
        <w:gridCol w:w="1094"/>
      </w:tblGrid>
      <w:tr w:rsidR="00FD1F4B" w:rsidRPr="00221AA4" w14:paraId="5396DF38" w14:textId="77777777" w:rsidTr="001660A6">
        <w:trPr>
          <w:cnfStyle w:val="100000000000" w:firstRow="1" w:lastRow="0" w:firstColumn="0" w:lastColumn="0" w:oddVBand="0" w:evenVBand="0" w:oddHBand="0" w:evenHBand="0" w:firstRowFirstColumn="0" w:firstRowLastColumn="0" w:lastRowFirstColumn="0" w:lastRowLastColumn="0"/>
        </w:trPr>
        <w:tc>
          <w:tcPr>
            <w:tcW w:w="851" w:type="dxa"/>
          </w:tcPr>
          <w:p w14:paraId="7279D6C4"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Datasets</w:t>
            </w:r>
          </w:p>
        </w:tc>
        <w:tc>
          <w:tcPr>
            <w:tcW w:w="1276" w:type="dxa"/>
          </w:tcPr>
          <w:p w14:paraId="47311E4E"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Type</w:t>
            </w:r>
          </w:p>
        </w:tc>
        <w:tc>
          <w:tcPr>
            <w:tcW w:w="2835" w:type="dxa"/>
          </w:tcPr>
          <w:p w14:paraId="42646EFA"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Platform</w:t>
            </w:r>
          </w:p>
        </w:tc>
        <w:tc>
          <w:tcPr>
            <w:tcW w:w="567" w:type="dxa"/>
          </w:tcPr>
          <w:p w14:paraId="22024217"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Total</w:t>
            </w:r>
          </w:p>
        </w:tc>
        <w:tc>
          <w:tcPr>
            <w:tcW w:w="708" w:type="dxa"/>
          </w:tcPr>
          <w:p w14:paraId="4BAE3AF4"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Control</w:t>
            </w:r>
          </w:p>
        </w:tc>
        <w:tc>
          <w:tcPr>
            <w:tcW w:w="426" w:type="dxa"/>
          </w:tcPr>
          <w:p w14:paraId="7618913B"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HT</w:t>
            </w:r>
          </w:p>
        </w:tc>
        <w:tc>
          <w:tcPr>
            <w:tcW w:w="850" w:type="dxa"/>
          </w:tcPr>
          <w:p w14:paraId="27888889"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hint="eastAsia"/>
                <w:sz w:val="10"/>
                <w:szCs w:val="10"/>
              </w:rPr>
              <w:t>C</w:t>
            </w:r>
            <w:r w:rsidRPr="00221AA4">
              <w:rPr>
                <w:rFonts w:asciiTheme="minorEastAsia" w:eastAsiaTheme="minorEastAsia" w:hAnsiTheme="minorEastAsia"/>
                <w:sz w:val="10"/>
                <w:szCs w:val="10"/>
              </w:rPr>
              <w:t>ountry</w:t>
            </w:r>
          </w:p>
        </w:tc>
        <w:tc>
          <w:tcPr>
            <w:tcW w:w="567" w:type="dxa"/>
          </w:tcPr>
          <w:p w14:paraId="3BEAAC3D"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hint="eastAsia"/>
                <w:sz w:val="10"/>
                <w:szCs w:val="10"/>
              </w:rPr>
              <w:t>Year</w:t>
            </w:r>
          </w:p>
        </w:tc>
        <w:tc>
          <w:tcPr>
            <w:tcW w:w="1094" w:type="dxa"/>
          </w:tcPr>
          <w:p w14:paraId="34DE6A0A"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Contributors</w:t>
            </w:r>
          </w:p>
        </w:tc>
      </w:tr>
      <w:tr w:rsidR="00FD1F4B" w:rsidRPr="00221AA4" w14:paraId="44E00D15" w14:textId="77777777" w:rsidTr="001660A6">
        <w:tc>
          <w:tcPr>
            <w:tcW w:w="851" w:type="dxa"/>
          </w:tcPr>
          <w:p w14:paraId="5DFE3C29"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GSE138198</w:t>
            </w:r>
          </w:p>
        </w:tc>
        <w:tc>
          <w:tcPr>
            <w:tcW w:w="1276" w:type="dxa"/>
          </w:tcPr>
          <w:p w14:paraId="7D56E268"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Microarray</w:t>
            </w:r>
          </w:p>
        </w:tc>
        <w:tc>
          <w:tcPr>
            <w:tcW w:w="2835" w:type="dxa"/>
          </w:tcPr>
          <w:p w14:paraId="0938B71B"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GPL6244 Affymetrix Human Gene 1.0 ST Array</w:t>
            </w:r>
          </w:p>
        </w:tc>
        <w:tc>
          <w:tcPr>
            <w:tcW w:w="567" w:type="dxa"/>
          </w:tcPr>
          <w:p w14:paraId="5FD53C15"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16</w:t>
            </w:r>
          </w:p>
        </w:tc>
        <w:tc>
          <w:tcPr>
            <w:tcW w:w="708" w:type="dxa"/>
          </w:tcPr>
          <w:p w14:paraId="126ED117"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3</w:t>
            </w:r>
          </w:p>
        </w:tc>
        <w:tc>
          <w:tcPr>
            <w:tcW w:w="426" w:type="dxa"/>
          </w:tcPr>
          <w:p w14:paraId="40582291"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13</w:t>
            </w:r>
          </w:p>
        </w:tc>
        <w:tc>
          <w:tcPr>
            <w:tcW w:w="850" w:type="dxa"/>
          </w:tcPr>
          <w:p w14:paraId="1032EBE5"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Saudi Arabia</w:t>
            </w:r>
          </w:p>
        </w:tc>
        <w:tc>
          <w:tcPr>
            <w:tcW w:w="567" w:type="dxa"/>
          </w:tcPr>
          <w:p w14:paraId="0C907428"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2020</w:t>
            </w:r>
          </w:p>
        </w:tc>
        <w:tc>
          <w:tcPr>
            <w:tcW w:w="1094" w:type="dxa"/>
          </w:tcPr>
          <w:p w14:paraId="1CC4CC58" w14:textId="77777777" w:rsidR="00FD1F4B" w:rsidRPr="00221AA4" w:rsidRDefault="00FD1F4B" w:rsidP="001660A6">
            <w:pPr>
              <w:rPr>
                <w:rFonts w:asciiTheme="minorEastAsia" w:eastAsiaTheme="minorEastAsia" w:hAnsiTheme="minorEastAsia"/>
                <w:sz w:val="10"/>
                <w:szCs w:val="10"/>
              </w:rPr>
            </w:pPr>
            <w:r w:rsidRPr="00221AA4">
              <w:rPr>
                <w:rFonts w:asciiTheme="minorEastAsia" w:hAnsiTheme="minorEastAsia"/>
                <w:sz w:val="10"/>
                <w:szCs w:val="10"/>
              </w:rPr>
              <w:fldChar w:fldCharType="begin"/>
            </w:r>
            <w:r w:rsidRPr="00221AA4">
              <w:rPr>
                <w:rFonts w:asciiTheme="minorEastAsia" w:eastAsiaTheme="minorEastAsia" w:hAnsiTheme="minorEastAsia"/>
                <w:sz w:val="10"/>
                <w:szCs w:val="10"/>
              </w:rPr>
              <w:instrText xml:space="preserve"> ADDIN ZOTERO_ITEM CSL_CITATION {"citationID":"e7iGwbZb","properties":{"formattedCitation":"(Subhi et al., 2020)","plainCitation":"(Subhi et al., 2020)","noteIndex":0},"citationItems":[{"id":2489,"uris":["http://zotero.org/users/10731385/items/DNJQE4ZH"],"itemData":{"id":2489,"type":"article-journal","abstract":"Hashimoto's thyroiditis (HT) is present in the background of around 30% of papillary thyroid carcinomas (PTCs). The genetic predisposition effect of this autoimmune condition is not thoroughly understood. We analyzed the microarray expression profiles of 13 HT, eight PTCs with (w/) coexisting HT, six PTCs without (w/o) coexisting HT, six micro PTCs (mPTCs), and three normal thyroid (TN) samples. Based on a false discovery rate (FDR)-adjusted p-value ≤ 0.05 and a fold change (FC) &gt; 2, four comparison groups were defined, which were HT vs. TN; PTC w/ HT vs. TN; PTC w/o HT vs. TN; and mPTC vs. TN. A Venn diagram displayed 15 different intersecting and non-intersecting differentially expressed gene (DEG) sets, of which a set of 71 DEGs, shared between the two comparison groups HT vs. TN ∩ PTC w/ HT vs. TN, harbored the relatively largest number of genes related to immune and inflammatory functions; oxidative stress and reactive oxygen species (ROS); DNA damage and DNA repair; cell cycle; and apoptosis. The majority of the 71 DEGs were upregulated and the most upregulated DEGs included a number of immunoglobulin kappa variable genes, and other immune-related genes, e.g., CD86 molecule (CD86), interleukin 2 receptor gamma (IL2RG), and interferon, alpha-inducible protein 6 (IFI6). Upregulated genes preferentially associated with other gene ontologies (GO) were, e.g., STAT1, MMP9, TOP2A, and BRCA2. Biofunctional analysis revealed pathways related to immunogenic functions. Further data analysis focused on the set of non-intersecting 358 DEGs derived from the comparison group of HT vs. TN, and on the set of 950 DEGs from the intersection of all four comparison groups. In conclusion, this study indicates that, besides immune/inflammation-related genes, also genes associated with oxidative stress, ROS, DNA damage, DNA repair, cell cycle, and apoptosis are comparably more deregulated in a data set shared between HT and PTC w/ HT. These findings are compatible with the conception of a genetic sequence where chronic inflammatory response is accompanied by deregulation of genes and biofunctions associated with oncogenic transformation. The generated data set may serve as a source for identifying candidate genes and biomarkers that are practical for clinical application.","container-title":"PloS One","DOI":"10.1371/journal.pone.0234566","ISSN":"1932-6203","issue":"6","journalAbbreviation":"PLoS One","language":"eng","note":"PMID: 32603365\nPMCID: PMC7326236","page":"e0234566","source":"PubMed","title":"Genetic relationship between Hashimoto`s thyroiditis and papillary thyroid carcinoma with coexisting Hashimoto`s thyroiditis","volume":"15","author":[{"family":"Subhi","given":"Ohoud"},{"family":"Schulten","given":"Hans-Juergen"},{"family":"Bagatian","given":"Nadia"},{"family":"Al-Dayini","given":"Roa'a"},{"family":"Karim","given":"Sajjad"},{"family":"Bakhashab","given":"Sherin"},{"family":"Alotibi","given":"Reem"},{"family":"Al-Ahmadi","given":"Alaa"},{"family":"Ata","given":"Manar"},{"family":"Elaimi","given":"Aisha"},{"family":"Al-Muhayawi","given":"Saad"},{"family":"Mansouri","given":"Majid"},{"family":"Al-Ghamdi","given":"Khalid"},{"family":"Hamour","given":"Osman Abdel"},{"family":"Jamal","given":"Awatif"},{"family":"Al-Maghrabi","given":"Jaudah"},{"family":"Al-Qahtani","given":"Mohammed Hussain"}],"issued":{"date-parts":[["2020"]]}}}],"schema":"https://github.com/citation-style-language/schema/raw/master/csl-citation.json"} </w:instrText>
            </w:r>
            <w:r w:rsidRPr="00221AA4">
              <w:rPr>
                <w:rFonts w:asciiTheme="minorEastAsia" w:hAnsiTheme="minorEastAsia"/>
                <w:sz w:val="10"/>
                <w:szCs w:val="10"/>
              </w:rPr>
              <w:fldChar w:fldCharType="separate"/>
            </w:r>
            <w:r w:rsidRPr="00221AA4">
              <w:rPr>
                <w:rFonts w:asciiTheme="minorEastAsia" w:eastAsiaTheme="minorEastAsia" w:hAnsiTheme="minorEastAsia"/>
                <w:sz w:val="10"/>
                <w:szCs w:val="10"/>
              </w:rPr>
              <w:t>(Subhi et al., 2020)</w:t>
            </w:r>
            <w:r w:rsidRPr="00221AA4">
              <w:rPr>
                <w:rFonts w:asciiTheme="minorEastAsia" w:hAnsiTheme="minorEastAsia"/>
                <w:sz w:val="10"/>
                <w:szCs w:val="10"/>
              </w:rPr>
              <w:fldChar w:fldCharType="end"/>
            </w:r>
          </w:p>
        </w:tc>
      </w:tr>
      <w:tr w:rsidR="00FD1F4B" w:rsidRPr="00221AA4" w14:paraId="3A59EDE4" w14:textId="77777777" w:rsidTr="001660A6">
        <w:tc>
          <w:tcPr>
            <w:tcW w:w="851" w:type="dxa"/>
          </w:tcPr>
          <w:p w14:paraId="6262B28C"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GSE29315</w:t>
            </w:r>
          </w:p>
        </w:tc>
        <w:tc>
          <w:tcPr>
            <w:tcW w:w="1276" w:type="dxa"/>
          </w:tcPr>
          <w:p w14:paraId="7F688F7B"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Microarray</w:t>
            </w:r>
          </w:p>
        </w:tc>
        <w:tc>
          <w:tcPr>
            <w:tcW w:w="2835" w:type="dxa"/>
          </w:tcPr>
          <w:p w14:paraId="69554DBA"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GPL8300 Affymetrix Human Genome U95 Version 2 Array</w:t>
            </w:r>
          </w:p>
        </w:tc>
        <w:tc>
          <w:tcPr>
            <w:tcW w:w="567" w:type="dxa"/>
          </w:tcPr>
          <w:p w14:paraId="0893D614"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14</w:t>
            </w:r>
          </w:p>
        </w:tc>
        <w:tc>
          <w:tcPr>
            <w:tcW w:w="708" w:type="dxa"/>
          </w:tcPr>
          <w:p w14:paraId="2A887A42"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8</w:t>
            </w:r>
          </w:p>
        </w:tc>
        <w:tc>
          <w:tcPr>
            <w:tcW w:w="426" w:type="dxa"/>
          </w:tcPr>
          <w:p w14:paraId="50C70A45"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6</w:t>
            </w:r>
          </w:p>
        </w:tc>
        <w:tc>
          <w:tcPr>
            <w:tcW w:w="850" w:type="dxa"/>
          </w:tcPr>
          <w:p w14:paraId="7EE1E02A"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Belgium</w:t>
            </w:r>
          </w:p>
        </w:tc>
        <w:tc>
          <w:tcPr>
            <w:tcW w:w="567" w:type="dxa"/>
          </w:tcPr>
          <w:p w14:paraId="3A61A910"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2012</w:t>
            </w:r>
          </w:p>
        </w:tc>
        <w:tc>
          <w:tcPr>
            <w:tcW w:w="1094" w:type="dxa"/>
          </w:tcPr>
          <w:p w14:paraId="4F9FA3C0"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w:t>
            </w:r>
          </w:p>
        </w:tc>
      </w:tr>
      <w:tr w:rsidR="00FD1F4B" w:rsidRPr="00221AA4" w14:paraId="45BC8158" w14:textId="77777777" w:rsidTr="001660A6">
        <w:tc>
          <w:tcPr>
            <w:tcW w:w="851" w:type="dxa"/>
          </w:tcPr>
          <w:p w14:paraId="2708284F"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HRA</w:t>
            </w:r>
            <w:bookmarkStart w:id="0" w:name="_Hlk146853819"/>
            <w:r w:rsidRPr="00221AA4">
              <w:rPr>
                <w:rFonts w:asciiTheme="minorEastAsia" w:eastAsiaTheme="minorEastAsia" w:hAnsiTheme="minorEastAsia"/>
                <w:sz w:val="10"/>
                <w:szCs w:val="10"/>
              </w:rPr>
              <w:t>001684</w:t>
            </w:r>
            <w:bookmarkEnd w:id="0"/>
          </w:p>
        </w:tc>
        <w:tc>
          <w:tcPr>
            <w:tcW w:w="1276" w:type="dxa"/>
          </w:tcPr>
          <w:p w14:paraId="7EFF286D"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Bulk RNA sequencing</w:t>
            </w:r>
          </w:p>
        </w:tc>
        <w:tc>
          <w:tcPr>
            <w:tcW w:w="2835" w:type="dxa"/>
          </w:tcPr>
          <w:p w14:paraId="1DBED39D"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Illumina HiSeq 3000</w:t>
            </w:r>
          </w:p>
        </w:tc>
        <w:tc>
          <w:tcPr>
            <w:tcW w:w="567" w:type="dxa"/>
          </w:tcPr>
          <w:p w14:paraId="3CC8E4CF"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66</w:t>
            </w:r>
          </w:p>
        </w:tc>
        <w:tc>
          <w:tcPr>
            <w:tcW w:w="708" w:type="dxa"/>
          </w:tcPr>
          <w:p w14:paraId="01FEAA93"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hint="eastAsia"/>
                <w:sz w:val="10"/>
                <w:szCs w:val="10"/>
              </w:rPr>
              <w:t>5</w:t>
            </w:r>
            <w:r w:rsidRPr="00221AA4">
              <w:rPr>
                <w:rFonts w:asciiTheme="minorEastAsia" w:eastAsiaTheme="minorEastAsia" w:hAnsiTheme="minorEastAsia"/>
                <w:sz w:val="10"/>
                <w:szCs w:val="10"/>
              </w:rPr>
              <w:t>0</w:t>
            </w:r>
          </w:p>
        </w:tc>
        <w:tc>
          <w:tcPr>
            <w:tcW w:w="426" w:type="dxa"/>
          </w:tcPr>
          <w:p w14:paraId="21E286EC"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16</w:t>
            </w:r>
          </w:p>
        </w:tc>
        <w:tc>
          <w:tcPr>
            <w:tcW w:w="850" w:type="dxa"/>
          </w:tcPr>
          <w:p w14:paraId="0A5EC416"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hint="eastAsia"/>
                <w:sz w:val="10"/>
                <w:szCs w:val="10"/>
              </w:rPr>
              <w:t>C</w:t>
            </w:r>
            <w:r w:rsidRPr="00221AA4">
              <w:rPr>
                <w:rFonts w:asciiTheme="minorEastAsia" w:eastAsiaTheme="minorEastAsia" w:hAnsiTheme="minorEastAsia"/>
                <w:sz w:val="10"/>
                <w:szCs w:val="10"/>
              </w:rPr>
              <w:t>hina</w:t>
            </w:r>
          </w:p>
        </w:tc>
        <w:tc>
          <w:tcPr>
            <w:tcW w:w="567" w:type="dxa"/>
          </w:tcPr>
          <w:p w14:paraId="70953AE2"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2021</w:t>
            </w:r>
          </w:p>
        </w:tc>
        <w:tc>
          <w:tcPr>
            <w:tcW w:w="1094" w:type="dxa"/>
          </w:tcPr>
          <w:p w14:paraId="2800E777" w14:textId="77777777" w:rsidR="00FD1F4B" w:rsidRPr="00221AA4" w:rsidRDefault="00FD1F4B" w:rsidP="001660A6">
            <w:pPr>
              <w:rPr>
                <w:rFonts w:asciiTheme="minorEastAsia" w:eastAsiaTheme="minorEastAsia" w:hAnsiTheme="minorEastAsia"/>
                <w:sz w:val="10"/>
                <w:szCs w:val="10"/>
              </w:rPr>
            </w:pPr>
            <w:r w:rsidRPr="00221AA4">
              <w:rPr>
                <w:rFonts w:asciiTheme="minorEastAsia" w:hAnsiTheme="minorEastAsia"/>
                <w:sz w:val="10"/>
                <w:szCs w:val="10"/>
              </w:rPr>
              <w:fldChar w:fldCharType="begin"/>
            </w:r>
            <w:r w:rsidRPr="00221AA4">
              <w:rPr>
                <w:rFonts w:asciiTheme="minorEastAsia" w:eastAsiaTheme="minorEastAsia" w:hAnsiTheme="minorEastAsia"/>
                <w:sz w:val="10"/>
                <w:szCs w:val="10"/>
              </w:rPr>
              <w:instrText xml:space="preserve"> ADDIN ZOTERO_ITEM CSL_CITATION {"citationID":"MLaWiDFl","properties":{"formattedCitation":"(Zhang et al., 2022)","plainCitation":"(Zhang et al., 2022)","noteIndex":0},"citationItems":[{"id":1328,"uris":["http://zotero.org/users/10731385/items/I93QZPCY"],"itemData":{"id":1328,"type":"article-journal","abstract":"Hashimoto's thyroiditis (HT) is the most common autoimmune disease characterized by lymphocytic infiltration and thyrocyte destruction. Dissection of the interaction between the thyroidal stromal microenvironment and the infiltrating immune cells might lead to a better understanding of HT pathogenesis. Here we show, using single-cell RNA-sequencing, that three thyroidal stromal cell subsets, ACKR1+ endothelial cells and CCL21+ myofibroblasts and CCL21+ fibroblasts, contribute to the thyroidal tissue microenvironment in HT. These cell types occupy distinct histological locations within the thyroid gland. Our experiments suggest that they might facilitate lymphocyte trafficking from the blood to thyroid tissues, and T cell zone CCL21+ fibroblasts may also promote the formation of tertiary lymphoid organs characteristic to HT. Our study also demonstrates the presence of inflammatory macrophages and dendritic cells expressing high levels of IL-1β in the thyroid, which may contribute to thyrocyte destruction in HT patients. Our findings thus provide a deeper insight into the cellular interactions that might prompt the pathogenesis of HT.","container-title":"Nature Communications","DOI":"10.1038/s41467-022-28120-2","ISSN":"2041-1723","issue":"1","journalAbbreviation":"Nat Commun","language":"eng","note":"PMID: 35140214\nPMCID: PMC8828859","page":"775","source":"PubMed","title":"Lymphocyte infiltration and thyrocyte destruction are driven by stromal and immune cell components in Hashimoto's thyroiditis","volume":"13","author":[{"family":"Zhang","given":"Qian-Yue"},{"family":"Ye","given":"Xiao-Ping"},{"family":"Zhou","given":"Zheng"},{"family":"Zhu","given":"Chen-Fang"},{"family":"Li","given":"Rui"},{"family":"Fang","given":"Ya"},{"family":"Zhang","given":"Rui-Jia"},{"family":"Li","given":"Lu"},{"family":"Liu","given":"Wei"},{"family":"Wang","given":"Zheng"},{"family":"Song","given":"Shi-Yang"},{"family":"Lu","given":"Sang-Yu"},{"family":"Zhao","given":"Shuang-Xia"},{"family":"Lin","given":"Jian-Nan"},{"family":"Song","given":"Huai-Dong"}],"issued":{"date-parts":[["2022",2,9]]}}}],"schema":"https://github.com/citation-style-language/schema/raw/master/csl-citation.json"} </w:instrText>
            </w:r>
            <w:r w:rsidRPr="00221AA4">
              <w:rPr>
                <w:rFonts w:asciiTheme="minorEastAsia" w:hAnsiTheme="minorEastAsia"/>
                <w:sz w:val="10"/>
                <w:szCs w:val="10"/>
              </w:rPr>
              <w:fldChar w:fldCharType="separate"/>
            </w:r>
            <w:r w:rsidRPr="00221AA4">
              <w:rPr>
                <w:rFonts w:asciiTheme="minorEastAsia" w:eastAsiaTheme="minorEastAsia" w:hAnsiTheme="minorEastAsia"/>
                <w:sz w:val="10"/>
                <w:szCs w:val="10"/>
              </w:rPr>
              <w:t>(Zhang et al., 2022)</w:t>
            </w:r>
            <w:r w:rsidRPr="00221AA4">
              <w:rPr>
                <w:rFonts w:asciiTheme="minorEastAsia" w:hAnsiTheme="minorEastAsia"/>
                <w:sz w:val="10"/>
                <w:szCs w:val="10"/>
              </w:rPr>
              <w:fldChar w:fldCharType="end"/>
            </w:r>
          </w:p>
        </w:tc>
      </w:tr>
      <w:tr w:rsidR="00FD1F4B" w:rsidRPr="00221AA4" w14:paraId="13E42325" w14:textId="77777777" w:rsidTr="001660A6">
        <w:tc>
          <w:tcPr>
            <w:tcW w:w="851" w:type="dxa"/>
          </w:tcPr>
          <w:p w14:paraId="6BBAE0E3"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HRA001684</w:t>
            </w:r>
          </w:p>
        </w:tc>
        <w:tc>
          <w:tcPr>
            <w:tcW w:w="1276" w:type="dxa"/>
          </w:tcPr>
          <w:p w14:paraId="7B524F16"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scRNA sequencing</w:t>
            </w:r>
          </w:p>
        </w:tc>
        <w:tc>
          <w:tcPr>
            <w:tcW w:w="2835" w:type="dxa"/>
          </w:tcPr>
          <w:p w14:paraId="1FB0EB1E"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Illumina NovaSeq 6000 10x Genomics</w:t>
            </w:r>
          </w:p>
        </w:tc>
        <w:tc>
          <w:tcPr>
            <w:tcW w:w="567" w:type="dxa"/>
          </w:tcPr>
          <w:p w14:paraId="61389592"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8</w:t>
            </w:r>
          </w:p>
        </w:tc>
        <w:tc>
          <w:tcPr>
            <w:tcW w:w="708" w:type="dxa"/>
          </w:tcPr>
          <w:p w14:paraId="52CEDA4E"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0</w:t>
            </w:r>
          </w:p>
        </w:tc>
        <w:tc>
          <w:tcPr>
            <w:tcW w:w="426" w:type="dxa"/>
          </w:tcPr>
          <w:p w14:paraId="6499BB20"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sz w:val="10"/>
                <w:szCs w:val="10"/>
              </w:rPr>
              <w:t>8</w:t>
            </w:r>
          </w:p>
        </w:tc>
        <w:tc>
          <w:tcPr>
            <w:tcW w:w="850" w:type="dxa"/>
          </w:tcPr>
          <w:p w14:paraId="78AC9DD4"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hint="eastAsia"/>
                <w:sz w:val="10"/>
                <w:szCs w:val="10"/>
              </w:rPr>
              <w:t>C</w:t>
            </w:r>
            <w:r w:rsidRPr="00221AA4">
              <w:rPr>
                <w:rFonts w:asciiTheme="minorEastAsia" w:eastAsiaTheme="minorEastAsia" w:hAnsiTheme="minorEastAsia"/>
                <w:sz w:val="10"/>
                <w:szCs w:val="10"/>
              </w:rPr>
              <w:t>hina</w:t>
            </w:r>
          </w:p>
        </w:tc>
        <w:tc>
          <w:tcPr>
            <w:tcW w:w="567" w:type="dxa"/>
          </w:tcPr>
          <w:p w14:paraId="112FBABD" w14:textId="77777777" w:rsidR="00FD1F4B" w:rsidRPr="00221AA4" w:rsidRDefault="00FD1F4B" w:rsidP="001660A6">
            <w:pPr>
              <w:rPr>
                <w:rFonts w:asciiTheme="minorEastAsia" w:eastAsiaTheme="minorEastAsia" w:hAnsiTheme="minorEastAsia"/>
                <w:sz w:val="10"/>
                <w:szCs w:val="10"/>
              </w:rPr>
            </w:pPr>
            <w:r w:rsidRPr="00221AA4">
              <w:rPr>
                <w:rFonts w:asciiTheme="minorEastAsia" w:eastAsiaTheme="minorEastAsia" w:hAnsiTheme="minorEastAsia" w:hint="eastAsia"/>
                <w:sz w:val="10"/>
                <w:szCs w:val="10"/>
              </w:rPr>
              <w:t>2</w:t>
            </w:r>
            <w:r w:rsidRPr="00221AA4">
              <w:rPr>
                <w:rFonts w:asciiTheme="minorEastAsia" w:eastAsiaTheme="minorEastAsia" w:hAnsiTheme="minorEastAsia"/>
                <w:sz w:val="10"/>
                <w:szCs w:val="10"/>
              </w:rPr>
              <w:t>021</w:t>
            </w:r>
          </w:p>
        </w:tc>
        <w:tc>
          <w:tcPr>
            <w:tcW w:w="1094" w:type="dxa"/>
          </w:tcPr>
          <w:p w14:paraId="6F1BADB6" w14:textId="77777777" w:rsidR="00FD1F4B" w:rsidRPr="00221AA4" w:rsidRDefault="00FD1F4B" w:rsidP="001660A6">
            <w:pPr>
              <w:rPr>
                <w:rFonts w:asciiTheme="minorEastAsia" w:eastAsiaTheme="minorEastAsia" w:hAnsiTheme="minorEastAsia"/>
                <w:sz w:val="10"/>
                <w:szCs w:val="10"/>
              </w:rPr>
            </w:pPr>
            <w:r w:rsidRPr="00221AA4">
              <w:rPr>
                <w:rFonts w:asciiTheme="minorEastAsia" w:hAnsiTheme="minorEastAsia"/>
                <w:sz w:val="10"/>
                <w:szCs w:val="10"/>
              </w:rPr>
              <w:fldChar w:fldCharType="begin"/>
            </w:r>
            <w:r w:rsidRPr="00221AA4">
              <w:rPr>
                <w:rFonts w:asciiTheme="minorEastAsia" w:eastAsiaTheme="minorEastAsia" w:hAnsiTheme="minorEastAsia"/>
                <w:sz w:val="10"/>
                <w:szCs w:val="10"/>
              </w:rPr>
              <w:instrText xml:space="preserve"> ADDIN ZOTERO_ITEM CSL_CITATION {"citationID":"XWUWLuEy","properties":{"formattedCitation":"(Zhang et al., 2022)","plainCitation":"(Zhang et al., 2022)","noteIndex":0},"citationItems":[{"id":1328,"uris":["http://zotero.org/users/10731385/items/I93QZPCY"],"itemData":{"id":1328,"type":"article-journal","abstract":"Hashimoto's thyroiditis (HT) is the most common autoimmune disease characterized by lymphocytic infiltration and thyrocyte destruction. Dissection of the interaction between the thyroidal stromal microenvironment and the infiltrating immune cells might lead to a better understanding of HT pathogenesis. Here we show, using single-cell RNA-sequencing, that three thyroidal stromal cell subsets, ACKR1+ endothelial cells and CCL21+ myofibroblasts and CCL21+ fibroblasts, contribute to the thyroidal tissue microenvironment in HT. These cell types occupy distinct histological locations within the thyroid gland. Our experiments suggest that they might facilitate lymphocyte trafficking from the blood to thyroid tissues, and T cell zone CCL21+ fibroblasts may also promote the formation of tertiary lymphoid organs characteristic to HT. Our study also demonstrates the presence of inflammatory macrophages and dendritic cells expressing high levels of IL-1β in the thyroid, which may contribute to thyrocyte destruction in HT patients. Our findings thus provide a deeper insight into the cellular interactions that might prompt the pathogenesis of HT.","container-title":"Nature Communications","DOI":"10.1038/s41467-022-28120-2","ISSN":"2041-1723","issue":"1","journalAbbreviation":"Nat Commun","language":"eng","note":"PMID: 35140214\nPMCID: PMC8828859","page":"775","source":"PubMed","title":"Lymphocyte infiltration and thyrocyte destruction are driven by stromal and immune cell components in Hashimoto's thyroiditis","volume":"13","author":[{"family":"Zhang","given":"Qian-Yue"},{"family":"Ye","given":"Xiao-Ping"},{"family":"Zhou","given":"Zheng"},{"family":"Zhu","given":"Chen-Fang"},{"family":"Li","given":"Rui"},{"family":"Fang","given":"Ya"},{"family":"Zhang","given":"Rui-Jia"},{"family":"Li","given":"Lu"},{"family":"Liu","given":"Wei"},{"family":"Wang","given":"Zheng"},{"family":"Song","given":"Shi-Yang"},{"family":"Lu","given":"Sang-Yu"},{"family":"Zhao","given":"Shuang-Xia"},{"family":"Lin","given":"Jian-Nan"},{"family":"Song","given":"Huai-Dong"}],"issued":{"date-parts":[["2022",2,9]]}}}],"schema":"https://github.com/citation-style-language/schema/raw/master/csl-citation.json"} </w:instrText>
            </w:r>
            <w:r w:rsidRPr="00221AA4">
              <w:rPr>
                <w:rFonts w:asciiTheme="minorEastAsia" w:hAnsiTheme="minorEastAsia"/>
                <w:sz w:val="10"/>
                <w:szCs w:val="10"/>
              </w:rPr>
              <w:fldChar w:fldCharType="separate"/>
            </w:r>
            <w:r w:rsidRPr="00221AA4">
              <w:rPr>
                <w:rFonts w:asciiTheme="minorEastAsia" w:eastAsiaTheme="minorEastAsia" w:hAnsiTheme="minorEastAsia"/>
                <w:sz w:val="10"/>
                <w:szCs w:val="10"/>
              </w:rPr>
              <w:t>(Zhang et al., 2022)</w:t>
            </w:r>
            <w:r w:rsidRPr="00221AA4">
              <w:rPr>
                <w:rFonts w:asciiTheme="minorEastAsia" w:hAnsiTheme="minorEastAsia"/>
                <w:sz w:val="10"/>
                <w:szCs w:val="10"/>
              </w:rPr>
              <w:fldChar w:fldCharType="end"/>
            </w:r>
          </w:p>
        </w:tc>
      </w:tr>
    </w:tbl>
    <w:p w14:paraId="3224F804" w14:textId="77777777" w:rsidR="00FD1F4B" w:rsidRPr="00221AA4" w:rsidRDefault="00FD1F4B" w:rsidP="00FD1F4B">
      <w:pPr>
        <w:rPr>
          <w:rFonts w:asciiTheme="minorEastAsia" w:hAnsiTheme="minorEastAsia"/>
        </w:rPr>
      </w:pPr>
    </w:p>
    <w:p w14:paraId="32DDAC19" w14:textId="77777777" w:rsidR="00372FF1" w:rsidRDefault="00372FF1"/>
    <w:sectPr w:rsidR="00372F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51073A" w14:textId="77777777" w:rsidR="006977E8" w:rsidRDefault="006977E8" w:rsidP="00C955AC">
      <w:r>
        <w:separator/>
      </w:r>
    </w:p>
  </w:endnote>
  <w:endnote w:type="continuationSeparator" w:id="0">
    <w:p w14:paraId="0AB44020" w14:textId="77777777" w:rsidR="006977E8" w:rsidRDefault="006977E8" w:rsidP="00C955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B1C885" w14:textId="77777777" w:rsidR="006977E8" w:rsidRDefault="006977E8" w:rsidP="00C955AC">
      <w:r>
        <w:separator/>
      </w:r>
    </w:p>
  </w:footnote>
  <w:footnote w:type="continuationSeparator" w:id="0">
    <w:p w14:paraId="17F14645" w14:textId="77777777" w:rsidR="006977E8" w:rsidRDefault="006977E8" w:rsidP="00C955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F4B"/>
    <w:rsid w:val="00372FF1"/>
    <w:rsid w:val="006977E8"/>
    <w:rsid w:val="00C955AC"/>
    <w:rsid w:val="00EA5329"/>
    <w:rsid w:val="00FD1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DAD66"/>
  <w15:chartTrackingRefBased/>
  <w15:docId w15:val="{41A9FDEC-EE5D-426B-93F3-F3CD9D880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1F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FD1F4B"/>
    <w:rPr>
      <w:rFonts w:eastAsia="Times New Roman"/>
      <w:sz w:val="13"/>
    </w:rPr>
    <w:tblPr>
      <w:tblBorders>
        <w:top w:val="single" w:sz="12" w:space="0" w:color="auto"/>
        <w:bottom w:val="single" w:sz="12" w:space="0" w:color="auto"/>
      </w:tblBorders>
    </w:tblPr>
    <w:tblStylePr w:type="firstRow">
      <w:pPr>
        <w:wordWrap/>
        <w:spacing w:line="360" w:lineRule="exact"/>
        <w:jc w:val="center"/>
      </w:pPr>
      <w:rPr>
        <w:rFonts w:ascii="Times New Roman" w:eastAsia="Times New Roman" w:hAnsi="Times New Roman"/>
        <w:b w:val="0"/>
        <w:i w:val="0"/>
        <w:sz w:val="13"/>
      </w:rPr>
      <w:tblPr/>
      <w:tcPr>
        <w:tcBorders>
          <w:top w:val="single" w:sz="12" w:space="0" w:color="auto"/>
          <w:left w:val="nil"/>
          <w:bottom w:val="single" w:sz="6" w:space="0" w:color="auto"/>
          <w:right w:val="nil"/>
          <w:insideH w:val="nil"/>
          <w:insideV w:val="nil"/>
          <w:tl2br w:val="nil"/>
          <w:tr2bl w:val="nil"/>
        </w:tcBorders>
      </w:tcPr>
    </w:tblStylePr>
  </w:style>
  <w:style w:type="paragraph" w:styleId="a4">
    <w:name w:val="header"/>
    <w:basedOn w:val="a"/>
    <w:link w:val="a5"/>
    <w:uiPriority w:val="99"/>
    <w:unhideWhenUsed/>
    <w:rsid w:val="00C955AC"/>
    <w:pPr>
      <w:tabs>
        <w:tab w:val="center" w:pos="4153"/>
        <w:tab w:val="right" w:pos="8306"/>
      </w:tabs>
      <w:snapToGrid w:val="0"/>
      <w:jc w:val="center"/>
    </w:pPr>
    <w:rPr>
      <w:sz w:val="18"/>
      <w:szCs w:val="18"/>
    </w:rPr>
  </w:style>
  <w:style w:type="character" w:customStyle="1" w:styleId="a5">
    <w:name w:val="页眉 字符"/>
    <w:basedOn w:val="a0"/>
    <w:link w:val="a4"/>
    <w:uiPriority w:val="99"/>
    <w:rsid w:val="00C955AC"/>
    <w:rPr>
      <w:sz w:val="18"/>
      <w:szCs w:val="18"/>
    </w:rPr>
  </w:style>
  <w:style w:type="paragraph" w:styleId="a6">
    <w:name w:val="footer"/>
    <w:basedOn w:val="a"/>
    <w:link w:val="a7"/>
    <w:uiPriority w:val="99"/>
    <w:unhideWhenUsed/>
    <w:rsid w:val="00C955AC"/>
    <w:pPr>
      <w:tabs>
        <w:tab w:val="center" w:pos="4153"/>
        <w:tab w:val="right" w:pos="8306"/>
      </w:tabs>
      <w:snapToGrid w:val="0"/>
      <w:jc w:val="left"/>
    </w:pPr>
    <w:rPr>
      <w:sz w:val="18"/>
      <w:szCs w:val="18"/>
    </w:rPr>
  </w:style>
  <w:style w:type="character" w:customStyle="1" w:styleId="a7">
    <w:name w:val="页脚 字符"/>
    <w:basedOn w:val="a0"/>
    <w:link w:val="a6"/>
    <w:uiPriority w:val="99"/>
    <w:rsid w:val="00C955A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1399</Words>
  <Characters>7975</Characters>
  <Application>Microsoft Office Word</Application>
  <DocSecurity>0</DocSecurity>
  <Lines>66</Lines>
  <Paragraphs>18</Paragraphs>
  <ScaleCrop>false</ScaleCrop>
  <Company/>
  <LinksUpToDate>false</LinksUpToDate>
  <CharactersWithSpaces>9356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冬雨 杨</dc:creator>
  <cp:keywords/>
  <dc:description/>
  <cp:lastModifiedBy>冬雨 杨</cp:lastModifiedBy>
  <cp:revision>2</cp:revision>
  <dcterms:created xsi:type="dcterms:W3CDTF">2023-10-24T05:17:00Z</dcterms:created>
  <dcterms:modified xsi:type="dcterms:W3CDTF">2023-10-30T05:22:00Z</dcterms:modified>
</cp:coreProperties>
</file>