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EEB1AC" w14:textId="5159C645" w:rsidR="00261221" w:rsidRPr="00673000" w:rsidRDefault="00413B4F" w:rsidP="00261221">
      <w:pPr>
        <w:pStyle w:val="a4"/>
        <w:keepNext w:val="0"/>
        <w:keepLines w:val="0"/>
        <w:spacing w:line="360" w:lineRule="auto"/>
        <w:rPr>
          <w:rFonts w:ascii="Times New Roman" w:hAnsi="Times New Roman" w:cs="Times New Roman"/>
          <w:color w:val="000000" w:themeColor="text1"/>
          <w:sz w:val="28"/>
          <w:szCs w:val="24"/>
        </w:rPr>
      </w:pPr>
      <w:r w:rsidRPr="00673000">
        <w:rPr>
          <w:rFonts w:ascii="Times New Roman" w:hAnsi="Times New Roman" w:cs="Times New Roman"/>
          <w:color w:val="000000" w:themeColor="text1"/>
          <w:sz w:val="28"/>
          <w:szCs w:val="24"/>
        </w:rPr>
        <w:t>Supplementary materials for “</w:t>
      </w:r>
      <w:r w:rsidR="00261221" w:rsidRPr="00673000">
        <w:rPr>
          <w:rFonts w:ascii="Times New Roman" w:hAnsi="Times New Roman" w:cs="Times New Roman"/>
          <w:color w:val="000000" w:themeColor="text1"/>
          <w:sz w:val="28"/>
          <w:szCs w:val="24"/>
        </w:rPr>
        <w:t xml:space="preserve">Transmission </w:t>
      </w:r>
      <w:r w:rsidR="00B22CFD" w:rsidRPr="00673000">
        <w:rPr>
          <w:rFonts w:ascii="Times New Roman" w:hAnsi="Times New Roman" w:cs="Times New Roman" w:hint="eastAsia"/>
          <w:color w:val="000000" w:themeColor="text1"/>
          <w:sz w:val="28"/>
          <w:szCs w:val="24"/>
          <w:lang w:eastAsia="zh-CN"/>
        </w:rPr>
        <w:t>dy</w:t>
      </w:r>
      <w:r w:rsidR="00DB71D3">
        <w:rPr>
          <w:rFonts w:ascii="Times New Roman" w:hAnsi="Times New Roman" w:cs="Times New Roman"/>
          <w:color w:val="000000" w:themeColor="text1"/>
          <w:sz w:val="28"/>
          <w:szCs w:val="24"/>
        </w:rPr>
        <w:t xml:space="preserve">namics, heterogeneity, </w:t>
      </w:r>
      <w:r w:rsidR="00B22CFD" w:rsidRPr="00673000">
        <w:rPr>
          <w:rFonts w:ascii="Times New Roman" w:hAnsi="Times New Roman" w:cs="Times New Roman"/>
          <w:color w:val="000000" w:themeColor="text1"/>
          <w:sz w:val="28"/>
          <w:szCs w:val="24"/>
        </w:rPr>
        <w:t>and controllability of SARS-CoV-2</w:t>
      </w:r>
      <w:r w:rsidR="00261221" w:rsidRPr="00673000">
        <w:rPr>
          <w:rFonts w:ascii="Times New Roman" w:hAnsi="Times New Roman" w:cs="Times New Roman"/>
          <w:color w:val="000000" w:themeColor="text1"/>
          <w:sz w:val="28"/>
          <w:szCs w:val="24"/>
        </w:rPr>
        <w:t xml:space="preserve"> in the rural area</w:t>
      </w:r>
      <w:r w:rsidRPr="00673000">
        <w:rPr>
          <w:rFonts w:ascii="Times New Roman" w:hAnsi="Times New Roman" w:cs="Times New Roman"/>
          <w:color w:val="000000" w:themeColor="text1"/>
          <w:sz w:val="28"/>
          <w:szCs w:val="24"/>
        </w:rPr>
        <w:t>”</w:t>
      </w:r>
    </w:p>
    <w:p w14:paraId="6422EFB8" w14:textId="77777777" w:rsidR="00261221" w:rsidRPr="00673000" w:rsidRDefault="00261221" w:rsidP="00261221">
      <w:pPr>
        <w:pStyle w:val="Author"/>
        <w:keepNext w:val="0"/>
        <w:keepLines w:val="0"/>
        <w:spacing w:line="360" w:lineRule="auto"/>
        <w:rPr>
          <w:rFonts w:ascii="Times New Roman" w:hAnsi="Times New Roman" w:cs="Times New Roman"/>
          <w:vertAlign w:val="superscript"/>
        </w:rPr>
      </w:pPr>
      <w:r w:rsidRPr="00673000">
        <w:rPr>
          <w:rFonts w:ascii="Times New Roman" w:hAnsi="Times New Roman" w:cs="Times New Roman"/>
        </w:rPr>
        <w:t>Yuying Li</w:t>
      </w:r>
      <w:r w:rsidRPr="00673000">
        <w:rPr>
          <w:rFonts w:ascii="Times New Roman" w:hAnsi="Times New Roman" w:cs="Times New Roman"/>
          <w:vertAlign w:val="superscript"/>
        </w:rPr>
        <w:t>1</w:t>
      </w:r>
      <w:r w:rsidRPr="00673000">
        <w:rPr>
          <w:rFonts w:ascii="Times New Roman" w:hAnsi="Times New Roman" w:cs="Times New Roman"/>
        </w:rPr>
        <w:t>, Taojun Hu</w:t>
      </w:r>
      <w:r w:rsidRPr="00673000">
        <w:rPr>
          <w:rFonts w:ascii="Times New Roman" w:hAnsi="Times New Roman" w:cs="Times New Roman"/>
          <w:vertAlign w:val="superscript"/>
        </w:rPr>
        <w:t>1</w:t>
      </w:r>
      <w:r w:rsidRPr="00673000">
        <w:rPr>
          <w:rFonts w:ascii="Times New Roman" w:hAnsi="Times New Roman" w:cs="Times New Roman"/>
        </w:rPr>
        <w:t>, Xin Gai</w:t>
      </w:r>
      <w:r w:rsidRPr="00673000">
        <w:rPr>
          <w:rFonts w:ascii="Times New Roman" w:hAnsi="Times New Roman" w:cs="Times New Roman"/>
          <w:vertAlign w:val="superscript"/>
        </w:rPr>
        <w:t>1</w:t>
      </w:r>
      <w:r w:rsidRPr="00673000">
        <w:rPr>
          <w:rFonts w:ascii="Times New Roman" w:hAnsi="Times New Roman" w:cs="Times New Roman"/>
        </w:rPr>
        <w:t>, Yunjun Zhang</w:t>
      </w:r>
      <w:r w:rsidRPr="00673000">
        <w:rPr>
          <w:rFonts w:ascii="Times New Roman" w:hAnsi="Times New Roman" w:cs="Times New Roman"/>
          <w:vertAlign w:val="superscript"/>
        </w:rPr>
        <w:t>1</w:t>
      </w:r>
      <w:r w:rsidRPr="00673000">
        <w:rPr>
          <w:rFonts w:ascii="Times New Roman" w:hAnsi="Times New Roman" w:cs="Times New Roman"/>
        </w:rPr>
        <w:t>, Xiaohua Zhou</w:t>
      </w:r>
      <w:r w:rsidRPr="00673000">
        <w:rPr>
          <w:rFonts w:ascii="Times New Roman" w:hAnsi="Times New Roman" w:cs="Times New Roman"/>
          <w:vertAlign w:val="superscript"/>
        </w:rPr>
        <w:t>1,2,3*</w:t>
      </w:r>
    </w:p>
    <w:p w14:paraId="2B5356B0" w14:textId="77777777" w:rsidR="00261221" w:rsidRPr="00673000" w:rsidRDefault="00261221" w:rsidP="00261221">
      <w:pPr>
        <w:pStyle w:val="a0"/>
        <w:rPr>
          <w:rFonts w:ascii="Times New Roman" w:hAnsi="Times New Roman"/>
        </w:rPr>
      </w:pPr>
      <w:r w:rsidRPr="00673000">
        <w:rPr>
          <w:rFonts w:ascii="Times New Roman" w:hAnsi="Times New Roman"/>
          <w:vertAlign w:val="superscript"/>
        </w:rPr>
        <w:t xml:space="preserve">1 </w:t>
      </w:r>
      <w:r w:rsidRPr="00673000">
        <w:rPr>
          <w:rFonts w:ascii="Times New Roman" w:hAnsi="Times New Roman"/>
        </w:rPr>
        <w:t>Department of Biostatistics, School of Public Health, Peking University</w:t>
      </w:r>
      <w:r w:rsidRPr="00673000">
        <w:rPr>
          <w:rFonts w:ascii="Times New Roman" w:hAnsi="Times New Roman" w:hint="eastAsia"/>
          <w:lang w:eastAsia="zh-CN"/>
        </w:rPr>
        <w:t>,</w:t>
      </w:r>
      <w:r w:rsidRPr="00673000">
        <w:rPr>
          <w:rFonts w:ascii="Times New Roman" w:hAnsi="Times New Roman"/>
          <w:lang w:eastAsia="zh-CN"/>
        </w:rPr>
        <w:t xml:space="preserve"> Beijing 100191, China</w:t>
      </w:r>
    </w:p>
    <w:p w14:paraId="3731668B" w14:textId="77777777" w:rsidR="00261221" w:rsidRPr="00673000" w:rsidRDefault="00261221" w:rsidP="00261221">
      <w:pPr>
        <w:pStyle w:val="a0"/>
        <w:rPr>
          <w:rFonts w:ascii="Times New Roman" w:hAnsi="Times New Roman"/>
        </w:rPr>
      </w:pPr>
      <w:r w:rsidRPr="00673000">
        <w:rPr>
          <w:rFonts w:ascii="Times New Roman" w:hAnsi="Times New Roman"/>
          <w:vertAlign w:val="superscript"/>
        </w:rPr>
        <w:t>2</w:t>
      </w:r>
      <w:r w:rsidRPr="00673000">
        <w:rPr>
          <w:rFonts w:ascii="Times New Roman" w:hAnsi="Times New Roman"/>
        </w:rPr>
        <w:t xml:space="preserve"> Beijing International Center for Mathematical Research, Peking University, Beijing 100871, China</w:t>
      </w:r>
    </w:p>
    <w:p w14:paraId="7D37BCB5" w14:textId="77777777" w:rsidR="00261221" w:rsidRPr="00673000" w:rsidRDefault="00261221" w:rsidP="00261221">
      <w:pPr>
        <w:pStyle w:val="a0"/>
        <w:rPr>
          <w:rFonts w:ascii="Times New Roman" w:hAnsi="Times New Roman"/>
          <w:lang w:eastAsia="zh-CN"/>
        </w:rPr>
      </w:pPr>
      <w:r w:rsidRPr="00673000">
        <w:rPr>
          <w:rFonts w:ascii="Times New Roman" w:hAnsi="Times New Roman"/>
          <w:vertAlign w:val="superscript"/>
        </w:rPr>
        <w:t>3</w:t>
      </w:r>
      <w:r w:rsidRPr="00673000">
        <w:rPr>
          <w:rFonts w:ascii="Times New Roman" w:hAnsi="Times New Roman"/>
        </w:rPr>
        <w:t xml:space="preserve"> Center for Statistical Sciences, Peking University, </w:t>
      </w:r>
      <w:r w:rsidRPr="00673000">
        <w:rPr>
          <w:rFonts w:ascii="Times New Roman" w:hAnsi="Times New Roman"/>
          <w:lang w:eastAsia="zh-CN"/>
        </w:rPr>
        <w:t>Beijing 100871, China</w:t>
      </w:r>
    </w:p>
    <w:p w14:paraId="340116D4" w14:textId="26C98A2B" w:rsidR="00261221" w:rsidRPr="00673000" w:rsidRDefault="00261221" w:rsidP="00261221">
      <w:pPr>
        <w:pStyle w:val="a0"/>
        <w:rPr>
          <w:rFonts w:ascii="Times New Roman" w:hAnsi="Times New Roman"/>
        </w:rPr>
      </w:pPr>
      <w:r w:rsidRPr="00673000">
        <w:rPr>
          <w:rFonts w:ascii="Times New Roman" w:hAnsi="Times New Roman"/>
        </w:rPr>
        <w:t xml:space="preserve">* Correspondence: </w:t>
      </w:r>
      <w:hyperlink r:id="rId7" w:history="1">
        <w:r w:rsidRPr="00673000">
          <w:rPr>
            <w:rStyle w:val="ae"/>
            <w:rFonts w:ascii="Times New Roman" w:hAnsi="Times New Roman"/>
          </w:rPr>
          <w:t>azhou@math.pku.edu.cn</w:t>
        </w:r>
      </w:hyperlink>
      <w:r w:rsidRPr="00673000">
        <w:rPr>
          <w:rFonts w:ascii="Times New Roman" w:hAnsi="Times New Roman"/>
        </w:rPr>
        <w:t xml:space="preserve"> </w:t>
      </w:r>
    </w:p>
    <w:p w14:paraId="1CC649A6" w14:textId="77777777" w:rsidR="00261221" w:rsidRPr="00673000" w:rsidRDefault="00261221" w:rsidP="00261221">
      <w:pPr>
        <w:pStyle w:val="a0"/>
        <w:rPr>
          <w:rFonts w:ascii="Times New Roman" w:hAnsi="Times New Roman"/>
        </w:rPr>
      </w:pPr>
    </w:p>
    <w:p w14:paraId="1D421322" w14:textId="176E1708" w:rsidR="00690F35" w:rsidRPr="00673000" w:rsidRDefault="008B4A6C">
      <w:pPr>
        <w:pStyle w:val="FirstParagraph"/>
        <w:rPr>
          <w:rFonts w:ascii="Times New Roman" w:hAnsi="Times New Roman"/>
        </w:rPr>
      </w:pPr>
      <w:r w:rsidRPr="00673000">
        <w:rPr>
          <w:rFonts w:ascii="Times New Roman" w:hAnsi="Times New Roman"/>
        </w:rPr>
        <w:t>The plans of this supplementary material are as follows. The first section describes the three type of clusters in detail. Section 2 gives the detailed procedure of how we impute the information of transmission chains of asymptomatic cases. The following section focuses on the statistical model of constructing the likelihood. Section 4 gives two approaches to obtain the confidence interval of average reproductive number and heterogeneity parameter. Section 5 defines contact types among infections. Section 6 supplies the procedure to estimate the size of accumulated infected cases during 1 Jan 2020 and 31 March 2020. The last section provides detailed procedures in assessing the effect of vaccination for different proportions of population.</w:t>
      </w:r>
      <w:r w:rsidR="004939D9">
        <w:rPr>
          <w:rFonts w:ascii="Times New Roman" w:hAnsi="Times New Roman"/>
        </w:rPr>
        <w:t xml:space="preserve"> </w:t>
      </w:r>
      <w:bookmarkStart w:id="0" w:name="_GoBack"/>
      <w:bookmarkEnd w:id="0"/>
    </w:p>
    <w:p w14:paraId="0AE4BA66" w14:textId="77777777" w:rsidR="00690F35" w:rsidRPr="00673000" w:rsidRDefault="008B4A6C">
      <w:pPr>
        <w:pStyle w:val="1"/>
        <w:rPr>
          <w:rFonts w:ascii="Times New Roman" w:hAnsi="Times New Roman"/>
          <w:color w:val="000000" w:themeColor="text1"/>
        </w:rPr>
      </w:pPr>
      <w:bookmarkStart w:id="1" w:name="sec:cluster"/>
      <w:r w:rsidRPr="00673000">
        <w:rPr>
          <w:rFonts w:ascii="Times New Roman" w:hAnsi="Times New Roman"/>
          <w:color w:val="000000" w:themeColor="text1"/>
        </w:rPr>
        <w:t>Detailed information on three types of clusters</w:t>
      </w:r>
    </w:p>
    <w:p w14:paraId="03CF93A1" w14:textId="77777777" w:rsidR="00690F35" w:rsidRPr="00673000" w:rsidRDefault="008B4A6C">
      <w:pPr>
        <w:pStyle w:val="2"/>
        <w:rPr>
          <w:rFonts w:ascii="Times New Roman" w:hAnsi="Times New Roman"/>
          <w:color w:val="000000" w:themeColor="text1"/>
        </w:rPr>
      </w:pPr>
      <w:bookmarkStart w:id="2" w:name="simple-transmission-chain"/>
      <w:r w:rsidRPr="00673000">
        <w:rPr>
          <w:rFonts w:ascii="Times New Roman" w:hAnsi="Times New Roman"/>
          <w:color w:val="000000" w:themeColor="text1"/>
        </w:rPr>
        <w:t>Simple transmission chain</w:t>
      </w:r>
    </w:p>
    <w:p w14:paraId="4D5F4049" w14:textId="77777777" w:rsidR="00690F35" w:rsidRPr="00673000" w:rsidRDefault="008B4A6C">
      <w:pPr>
        <w:pStyle w:val="FirstParagraph"/>
        <w:rPr>
          <w:rFonts w:ascii="Times New Roman" w:hAnsi="Times New Roman"/>
        </w:rPr>
      </w:pPr>
      <w:r w:rsidRPr="00673000">
        <w:rPr>
          <w:rFonts w:ascii="Times New Roman" w:hAnsi="Times New Roman"/>
        </w:rPr>
        <w:t>A simple transmission chain has no more than two generations of cases, i.e. each chain contains only one primary case and all its secondary cases (if any). Isolated cases also belong to this type. For each simple transmission chain, we can recover the transmission history completely from the public information.</w:t>
      </w:r>
    </w:p>
    <w:p w14:paraId="5A31FE38" w14:textId="77777777" w:rsidR="00690F35" w:rsidRPr="00673000" w:rsidRDefault="008B4A6C">
      <w:pPr>
        <w:pStyle w:val="2"/>
        <w:rPr>
          <w:rFonts w:ascii="Times New Roman" w:hAnsi="Times New Roman"/>
          <w:color w:val="000000" w:themeColor="text1"/>
        </w:rPr>
      </w:pPr>
      <w:bookmarkStart w:id="3" w:name="ordinary-transmission-chain"/>
      <w:bookmarkEnd w:id="2"/>
      <w:r w:rsidRPr="00673000">
        <w:rPr>
          <w:rFonts w:ascii="Times New Roman" w:hAnsi="Times New Roman"/>
          <w:color w:val="000000" w:themeColor="text1"/>
        </w:rPr>
        <w:t>Ordinary transmission chain</w:t>
      </w:r>
    </w:p>
    <w:p w14:paraId="4AF2920B" w14:textId="3D4B6D6E" w:rsidR="00690F35" w:rsidRPr="00673000" w:rsidRDefault="008B4A6C">
      <w:pPr>
        <w:pStyle w:val="FirstParagraph"/>
        <w:rPr>
          <w:rFonts w:ascii="Times New Roman" w:hAnsi="Times New Roman"/>
        </w:rPr>
      </w:pPr>
      <w:r w:rsidRPr="00673000">
        <w:rPr>
          <w:rFonts w:ascii="Times New Roman" w:hAnsi="Times New Roman"/>
        </w:rPr>
        <w:t>An ordinary transmission chain consist</w:t>
      </w:r>
      <w:r w:rsidR="00730BA0" w:rsidRPr="00673000">
        <w:rPr>
          <w:rFonts w:ascii="Times New Roman" w:hAnsi="Times New Roman"/>
        </w:rPr>
        <w:t>s</w:t>
      </w:r>
      <w:r w:rsidRPr="00673000">
        <w:rPr>
          <w:rFonts w:ascii="Times New Roman" w:hAnsi="Times New Roman"/>
        </w:rPr>
        <w:t xml:space="preserve"> of a series of transmission events in close spatio-temporal proximity. We can identify the primary case in this chain but may not recover the transmission history completely due to the low resolution of the public information. There are a lot of uncertainty of transmission relationship between inner-generations and inter-generations which hinders clarifying who infected whom. However, we may calculate the overall size of a transmission chain, i.e. the total number of cases infected, which is easier to obtain from the public information.</w:t>
      </w:r>
    </w:p>
    <w:p w14:paraId="56D998D2" w14:textId="77777777" w:rsidR="00690F35" w:rsidRPr="00673000" w:rsidRDefault="008B4A6C">
      <w:pPr>
        <w:pStyle w:val="2"/>
        <w:rPr>
          <w:rFonts w:ascii="Times New Roman" w:hAnsi="Times New Roman"/>
          <w:color w:val="000000" w:themeColor="text1"/>
        </w:rPr>
      </w:pPr>
      <w:bookmarkStart w:id="4" w:name="complex-transmission-chain"/>
      <w:bookmarkEnd w:id="3"/>
      <w:r w:rsidRPr="00673000">
        <w:rPr>
          <w:rFonts w:ascii="Times New Roman" w:hAnsi="Times New Roman"/>
          <w:color w:val="000000" w:themeColor="text1"/>
        </w:rPr>
        <w:lastRenderedPageBreak/>
        <w:t>Complex transmission chain</w:t>
      </w:r>
    </w:p>
    <w:p w14:paraId="74C88E8C" w14:textId="77777777" w:rsidR="00690F35" w:rsidRPr="00673000" w:rsidRDefault="008B4A6C">
      <w:pPr>
        <w:pStyle w:val="FirstParagraph"/>
        <w:rPr>
          <w:rFonts w:ascii="Times New Roman" w:hAnsi="Times New Roman"/>
        </w:rPr>
      </w:pPr>
      <w:r w:rsidRPr="00673000">
        <w:rPr>
          <w:rFonts w:ascii="Times New Roman" w:hAnsi="Times New Roman"/>
        </w:rPr>
        <w:t>A complex transmission chain has multiple primary cases in which each of them has an equal chance to cause secondary cases. Those primary cases had similar contact history and it is hard to determine which individual is the first infected one, thus regarding them as the primary cases.</w:t>
      </w:r>
    </w:p>
    <w:p w14:paraId="4D117E08" w14:textId="77777777" w:rsidR="00690F35" w:rsidRPr="00673000" w:rsidRDefault="008B4A6C">
      <w:pPr>
        <w:pStyle w:val="1"/>
        <w:rPr>
          <w:rFonts w:ascii="Times New Roman" w:hAnsi="Times New Roman"/>
          <w:color w:val="000000" w:themeColor="text1"/>
        </w:rPr>
      </w:pPr>
      <w:bookmarkStart w:id="5" w:name="sec::imputation"/>
      <w:bookmarkEnd w:id="1"/>
      <w:bookmarkEnd w:id="4"/>
      <w:r w:rsidRPr="00673000">
        <w:rPr>
          <w:rFonts w:ascii="Times New Roman" w:hAnsi="Times New Roman"/>
          <w:color w:val="000000" w:themeColor="text1"/>
        </w:rPr>
        <w:t>Imputation Mechanism</w:t>
      </w:r>
    </w:p>
    <w:p w14:paraId="331CC569" w14:textId="5BF3C658" w:rsidR="00690F35" w:rsidRPr="00673000" w:rsidRDefault="008B4A6C">
      <w:pPr>
        <w:pStyle w:val="FirstParagraph"/>
        <w:rPr>
          <w:rFonts w:ascii="Times New Roman" w:hAnsi="Times New Roman"/>
        </w:rPr>
      </w:pPr>
      <w:r w:rsidRPr="00673000">
        <w:rPr>
          <w:rFonts w:ascii="Times New Roman" w:hAnsi="Times New Roman"/>
        </w:rPr>
        <w:t xml:space="preserve">Since the individual level information of asymptomatic cases is hardly accessible, we impute this information by assuming missing at random. Based on the constructed 655 transmission chains of confirmed infections with symptoms, the 194 asymptomatic infections are randomly allocated into those chains with a multinomial distribution for each case. The probability of each chain is proportional to the overall number of secondary cases. Without special explanation, the rest analysis is constructed based on data of imputed transmission chains, with a total of </w:t>
      </w:r>
      <w:r w:rsidR="006C0116" w:rsidRPr="00673000">
        <w:rPr>
          <w:rFonts w:ascii="Times New Roman" w:hAnsi="Times New Roman"/>
        </w:rPr>
        <w:t>1136</w:t>
      </w:r>
      <w:r w:rsidRPr="00673000">
        <w:rPr>
          <w:rFonts w:ascii="Times New Roman" w:hAnsi="Times New Roman"/>
        </w:rPr>
        <w:t xml:space="preserve"> cases.</w:t>
      </w:r>
    </w:p>
    <w:p w14:paraId="71CE1213" w14:textId="77777777" w:rsidR="00690F35" w:rsidRPr="00673000" w:rsidRDefault="008B4A6C">
      <w:pPr>
        <w:pStyle w:val="1"/>
        <w:rPr>
          <w:rFonts w:ascii="Times New Roman" w:hAnsi="Times New Roman"/>
          <w:color w:val="000000" w:themeColor="text1"/>
        </w:rPr>
      </w:pPr>
      <w:bookmarkStart w:id="6" w:name="sec:likelihood"/>
      <w:bookmarkEnd w:id="5"/>
      <w:r w:rsidRPr="00673000">
        <w:rPr>
          <w:rFonts w:ascii="Times New Roman" w:hAnsi="Times New Roman"/>
          <w:color w:val="000000" w:themeColor="text1"/>
        </w:rPr>
        <w:t>Constructing the likelihood</w:t>
      </w:r>
    </w:p>
    <w:p w14:paraId="0998674E" w14:textId="691D6664" w:rsidR="00690F35" w:rsidRPr="00673000" w:rsidRDefault="008B4A6C">
      <w:pPr>
        <w:pStyle w:val="FirstParagraph"/>
        <w:rPr>
          <w:rFonts w:ascii="Times New Roman" w:hAnsi="Times New Roman"/>
        </w:rPr>
      </w:pPr>
      <w:r w:rsidRPr="00673000">
        <w:rPr>
          <w:rFonts w:ascii="Times New Roman" w:hAnsi="Times New Roman"/>
        </w:rPr>
        <w:t xml:space="preserve">In previous studies, the average reproductive number </w:t>
      </w:r>
      <m:oMath>
        <m:r>
          <w:rPr>
            <w:rFonts w:ascii="Cambria Math" w:hAnsi="Cambria Math"/>
          </w:rPr>
          <m:t>R</m:t>
        </m:r>
      </m:oMath>
      <w:r w:rsidRPr="00673000">
        <w:rPr>
          <w:rFonts w:ascii="Times New Roman" w:hAnsi="Times New Roman"/>
        </w:rPr>
        <w:t xml:space="preserve"> and the heterogeneity are mostly cared as they influence the potential size of an infectious disease collaboratively. By deploying a likelihood-based approach first proposed by,</w:t>
      </w:r>
      <w:hyperlink w:anchor="ref-blumberg2013">
        <w:r w:rsidRPr="00673000">
          <w:rPr>
            <w:rStyle w:val="ae"/>
            <w:rFonts w:ascii="Times New Roman" w:hAnsi="Times New Roman"/>
            <w:vertAlign w:val="superscript"/>
          </w:rPr>
          <w:t>1</w:t>
        </w:r>
      </w:hyperlink>
      <w:r w:rsidRPr="00673000">
        <w:rPr>
          <w:rFonts w:ascii="Times New Roman" w:hAnsi="Times New Roman"/>
        </w:rPr>
        <w:t xml:space="preserve"> we can take the asymptomatic cases into consideration based on their method. Firstly, we assume the offspring of one symptomatic case follows a negative binomial distribution with size parameter equal to the heterogeneity parameter </w:t>
      </w:r>
      <m:oMath>
        <m:r>
          <w:rPr>
            <w:rFonts w:ascii="Cambria Math" w:hAnsi="Cambria Math"/>
          </w:rPr>
          <m:t>k</m:t>
        </m:r>
      </m:oMath>
      <w:r w:rsidRPr="00673000">
        <w:rPr>
          <w:rFonts w:ascii="Times New Roman" w:hAnsi="Times New Roman"/>
        </w:rPr>
        <w:t xml:space="preserve"> and mean </w:t>
      </w:r>
      <m:oMath>
        <m:r>
          <w:rPr>
            <w:rFonts w:ascii="Cambria Math" w:hAnsi="Cambria Math"/>
          </w:rPr>
          <m:t>R</m:t>
        </m:r>
      </m:oMath>
      <w:r w:rsidRPr="00673000">
        <w:rPr>
          <w:rFonts w:ascii="Times New Roman" w:hAnsi="Times New Roman"/>
        </w:rPr>
        <w:t>.</w:t>
      </w:r>
      <w:hyperlink w:anchor="ref-nature2005">
        <w:r w:rsidRPr="00673000">
          <w:rPr>
            <w:rStyle w:val="ae"/>
            <w:rFonts w:ascii="Times New Roman" w:hAnsi="Times New Roman"/>
            <w:vertAlign w:val="superscript"/>
          </w:rPr>
          <w:t>2</w:t>
        </w:r>
      </w:hyperlink>
      <w:r w:rsidRPr="00673000">
        <w:rPr>
          <w:rFonts w:ascii="Times New Roman" w:hAnsi="Times New Roman"/>
        </w:rPr>
        <w:t xml:space="preserve"> Without loss of generality, everyone is assumed to have the same probability of being asymptomatic, denoted by </w:t>
      </w:r>
      <m:oMath>
        <m:r>
          <w:rPr>
            <w:rFonts w:ascii="Cambria Math" w:hAnsi="Cambria Math"/>
          </w:rPr>
          <m:t>p</m:t>
        </m:r>
      </m:oMath>
      <w:r w:rsidRPr="00673000">
        <w:rPr>
          <w:rFonts w:ascii="Times New Roman" w:hAnsi="Times New Roman"/>
        </w:rPr>
        <w:t xml:space="preserve"> and the asymptomatic cases have less infectiousness with a discounted average reproductive number </w:t>
      </w:r>
      <m:oMath>
        <m:r>
          <w:rPr>
            <w:rFonts w:ascii="Cambria Math" w:hAnsi="Cambria Math"/>
          </w:rPr>
          <m:t>αR</m:t>
        </m:r>
      </m:oMath>
      <w:r w:rsidRPr="00673000">
        <w:rPr>
          <w:rFonts w:ascii="Times New Roman" w:hAnsi="Times New Roman"/>
        </w:rPr>
        <w:t xml:space="preserve">, where </w:t>
      </w:r>
      <m:oMath>
        <m:r>
          <w:rPr>
            <w:rFonts w:ascii="Cambria Math" w:hAnsi="Cambria Math"/>
          </w:rPr>
          <m:t>α</m:t>
        </m:r>
      </m:oMath>
      <w:r w:rsidRPr="00673000">
        <w:rPr>
          <w:rFonts w:ascii="Times New Roman" w:hAnsi="Times New Roman"/>
        </w:rPr>
        <w:t xml:space="preserve"> represents the ratio of infectiousness within symptomatic and asymptomatic cases of SARS-CoV-2, taking value of </w:t>
      </w:r>
      <m:oMath>
        <m:r>
          <w:rPr>
            <w:rFonts w:ascii="Cambria Math" w:hAnsi="Cambria Math"/>
          </w:rPr>
          <m:t>0.26</m:t>
        </m:r>
      </m:oMath>
      <w:hyperlink w:anchor="ref-sayampanathan2021infectivity">
        <w:r w:rsidRPr="00673000">
          <w:rPr>
            <w:rStyle w:val="ae"/>
            <w:rFonts w:ascii="Times New Roman" w:hAnsi="Times New Roman"/>
            <w:vertAlign w:val="superscript"/>
          </w:rPr>
          <w:t>3</w:t>
        </w:r>
      </w:hyperlink>
      <w:r w:rsidRPr="00673000">
        <w:rPr>
          <w:rFonts w:ascii="Times New Roman" w:hAnsi="Times New Roman"/>
        </w:rPr>
        <w:t xml:space="preserve"> in this paper. Thus, the offspring distribution of a single negative binomial distribution can be expanded to a mixture of negative binomial distribution presented by</w:t>
      </w:r>
      <w:r w:rsidR="00673000">
        <w:rPr>
          <w:rFonts w:ascii="Times New Roman" w:hAnsi="Times New Roman"/>
        </w:rPr>
        <w:t xml:space="preserve"> equation 1</w:t>
      </w:r>
      <w:r w:rsidRPr="00673000">
        <w:rPr>
          <w:rFonts w:ascii="Times New Roman" w:hAnsi="Times New Roman"/>
        </w:rPr>
        <w:t xml:space="preserve">. Let </w:t>
      </w:r>
      <m:oMath>
        <m:r>
          <w:rPr>
            <w:rFonts w:ascii="Cambria Math" w:hAnsi="Cambria Math"/>
          </w:rPr>
          <m:t>S</m:t>
        </m:r>
      </m:oMath>
      <w:r w:rsidRPr="00673000">
        <w:rPr>
          <w:rFonts w:ascii="Times New Roman" w:hAnsi="Times New Roman"/>
        </w:rPr>
        <w:t xml:space="preserve"> denotes the number of secondary cases infected by an arbitrary case and </w:t>
      </w:r>
      <m:oMath>
        <m:r>
          <w:rPr>
            <w:rFonts w:ascii="Cambria Math" w:hAnsi="Cambria Math"/>
          </w:rPr>
          <m:t>Y</m:t>
        </m:r>
      </m:oMath>
      <w:r w:rsidRPr="00673000">
        <w:rPr>
          <w:rFonts w:ascii="Times New Roman" w:hAnsi="Times New Roman"/>
        </w:rPr>
        <w:t xml:space="preserve"> denotes the status of one individual to be asymptomatic or not taking values on </w:t>
      </w:r>
      <m:oMath>
        <m:r>
          <w:rPr>
            <w:rFonts w:ascii="Cambria Math" w:hAnsi="Cambria Math"/>
          </w:rPr>
          <m:t>{0,1}</m:t>
        </m:r>
      </m:oMath>
      <w:r w:rsidRPr="00673000">
        <w:rPr>
          <w:rFonts w:ascii="Times New Roman" w:hAnsi="Times New Roman"/>
        </w:rPr>
        <w:t>,</w:t>
      </w:r>
    </w:p>
    <w:p w14:paraId="36BFCD50" w14:textId="534FE8AE" w:rsidR="00690F35" w:rsidRPr="00673000" w:rsidRDefault="00A30043">
      <w:pPr>
        <w:pStyle w:val="a0"/>
        <w:rPr>
          <w:rFonts w:ascii="Times New Roman" w:hAnsi="Times New Roman"/>
        </w:rPr>
      </w:pPr>
      <m:oMathPara>
        <m:oMathParaPr>
          <m:jc m:val="center"/>
        </m:oMathParaPr>
        <m:oMath>
          <m:m>
            <m:mPr>
              <m:plcHide m:val="1"/>
              <m:mcs>
                <m:mc>
                  <m:mcPr>
                    <m:count m:val="1"/>
                    <m:mcJc m:val="right"/>
                  </m:mcPr>
                </m:mc>
                <m:mc>
                  <m:mcPr>
                    <m:count m:val="1"/>
                    <m:mcJc m:val="left"/>
                  </m:mcPr>
                </m:mc>
              </m:mcs>
              <m:ctrlPr>
                <w:rPr>
                  <w:rFonts w:ascii="Cambria Math" w:hAnsi="Cambria Math"/>
                </w:rPr>
              </m:ctrlPr>
            </m:mPr>
            <m:mr>
              <m:e>
                <m:sSub>
                  <m:sSubPr>
                    <m:ctrlPr>
                      <w:rPr>
                        <w:rFonts w:ascii="Cambria Math" w:hAnsi="Cambria Math"/>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i</m:t>
                    </m:r>
                  </m:sub>
                </m:sSub>
                <m:r>
                  <w:rPr>
                    <w:rFonts w:ascii="Cambria Math" w:hAnsi="Cambria Math"/>
                  </w:rPr>
                  <m:t>;R,k)</m:t>
                </m:r>
              </m:e>
              <m:e>
                <m:r>
                  <w:rPr>
                    <w:rFonts w:ascii="Cambria Math" w:hAnsi="Cambria Math"/>
                  </w:rPr>
                  <m:t>=</m:t>
                </m:r>
                <m:nary>
                  <m:naryPr>
                    <m:chr m:val="∑"/>
                    <m:limLoc m:val="undOvr"/>
                    <m:supHide m:val="1"/>
                    <m:ctrlPr>
                      <w:rPr>
                        <w:rFonts w:ascii="Cambria Math" w:hAnsi="Cambria Math"/>
                      </w:rPr>
                    </m:ctrlPr>
                  </m:naryPr>
                  <m:sub>
                    <m:r>
                      <w:rPr>
                        <w:rFonts w:ascii="Cambria Math" w:hAnsi="Cambria Math"/>
                      </w:rPr>
                      <m:t>Y</m:t>
                    </m:r>
                  </m:sub>
                  <m:sup>
                    <m:r>
                      <w:rPr>
                        <w:rFonts w:ascii="Cambria Math" w:hAnsi="Cambria Math"/>
                      </w:rPr>
                      <m:t>​</m:t>
                    </m:r>
                  </m:sup>
                  <m:e>
                    <m:r>
                      <w:rPr>
                        <w:rFonts w:ascii="Cambria Math" w:hAnsi="Cambria Math"/>
                      </w:rPr>
                      <m:t>P</m:t>
                    </m:r>
                  </m:e>
                </m:nary>
                <m:r>
                  <w:rPr>
                    <w:rFonts w:ascii="Cambria Math" w:hAnsi="Cambria Math"/>
                  </w:rPr>
                  <m:t>(S=</m:t>
                </m:r>
                <m:sSub>
                  <m:sSubPr>
                    <m:ctrlPr>
                      <w:rPr>
                        <w:rFonts w:ascii="Cambria Math" w:hAnsi="Cambria Math"/>
                      </w:rPr>
                    </m:ctrlPr>
                  </m:sSubPr>
                  <m:e>
                    <m:r>
                      <w:rPr>
                        <w:rFonts w:ascii="Cambria Math" w:hAnsi="Cambria Math"/>
                      </w:rPr>
                      <m:t>s</m:t>
                    </m:r>
                  </m:e>
                  <m:sub>
                    <m:r>
                      <w:rPr>
                        <w:rFonts w:ascii="Cambria Math" w:hAnsi="Cambria Math"/>
                      </w:rPr>
                      <m:t>i</m:t>
                    </m:r>
                  </m:sub>
                </m:sSub>
                <m:r>
                  <w:rPr>
                    <w:rFonts w:ascii="Cambria Math" w:hAnsi="Cambria Math"/>
                  </w:rPr>
                  <m:t>|Y)P(Y)</m:t>
                </m:r>
              </m:e>
            </m:mr>
            <m:mr>
              <m:e/>
              <m:e>
                <m:r>
                  <w:rPr>
                    <w:rFonts w:ascii="Cambria Math" w:hAnsi="Cambria Math"/>
                  </w:rPr>
                  <m:t>=p</m:t>
                </m:r>
                <m:f>
                  <m:fPr>
                    <m:ctrlPr>
                      <w:rPr>
                        <w:rFonts w:ascii="Cambria Math" w:hAnsi="Cambria Math"/>
                      </w:rPr>
                    </m:ctrlPr>
                  </m:fPr>
                  <m:num>
                    <m:r>
                      <w:rPr>
                        <w:rFonts w:ascii="Cambria Math" w:hAnsi="Cambria Math"/>
                      </w:rPr>
                      <m:t>Γ(</m:t>
                    </m:r>
                    <m:sSub>
                      <m:sSubPr>
                        <m:ctrlPr>
                          <w:rPr>
                            <w:rFonts w:ascii="Cambria Math" w:hAnsi="Cambria Math"/>
                          </w:rPr>
                        </m:ctrlPr>
                      </m:sSubPr>
                      <m:e>
                        <m:r>
                          <w:rPr>
                            <w:rFonts w:ascii="Cambria Math" w:hAnsi="Cambria Math"/>
                          </w:rPr>
                          <m:t>s</m:t>
                        </m:r>
                      </m:e>
                      <m:sub>
                        <m:r>
                          <w:rPr>
                            <w:rFonts w:ascii="Cambria Math" w:hAnsi="Cambria Math"/>
                          </w:rPr>
                          <m:t>i</m:t>
                        </m:r>
                      </m:sub>
                    </m:sSub>
                    <m:r>
                      <w:rPr>
                        <w:rFonts w:ascii="Cambria Math" w:hAnsi="Cambria Math"/>
                      </w:rPr>
                      <m:t>+k)</m:t>
                    </m:r>
                  </m:num>
                  <m:den>
                    <m:r>
                      <w:rPr>
                        <w:rFonts w:ascii="Cambria Math" w:hAnsi="Cambria Math"/>
                      </w:rPr>
                      <m:t>Γ(</m:t>
                    </m:r>
                    <m:sSub>
                      <m:sSubPr>
                        <m:ctrlPr>
                          <w:rPr>
                            <w:rFonts w:ascii="Cambria Math" w:hAnsi="Cambria Math"/>
                          </w:rPr>
                        </m:ctrlPr>
                      </m:sSubPr>
                      <m:e>
                        <m:r>
                          <w:rPr>
                            <w:rFonts w:ascii="Cambria Math" w:hAnsi="Cambria Math"/>
                          </w:rPr>
                          <m:t>s</m:t>
                        </m:r>
                      </m:e>
                      <m:sub>
                        <m:r>
                          <w:rPr>
                            <w:rFonts w:ascii="Cambria Math" w:hAnsi="Cambria Math"/>
                          </w:rPr>
                          <m:t>i</m:t>
                        </m:r>
                      </m:sub>
                    </m:sSub>
                    <m:r>
                      <w:rPr>
                        <w:rFonts w:ascii="Cambria Math" w:hAnsi="Cambria Math"/>
                      </w:rPr>
                      <m:t>+1)Γ(k)</m:t>
                    </m:r>
                  </m:den>
                </m:f>
                <m:r>
                  <w:rPr>
                    <w:rFonts w:ascii="Cambria Math" w:hAnsi="Cambria Math"/>
                  </w:rPr>
                  <m:t>(</m:t>
                </m:r>
                <m:f>
                  <m:fPr>
                    <m:ctrlPr>
                      <w:rPr>
                        <w:rFonts w:ascii="Cambria Math" w:hAnsi="Cambria Math"/>
                      </w:rPr>
                    </m:ctrlPr>
                  </m:fPr>
                  <m:num>
                    <m:r>
                      <w:rPr>
                        <w:rFonts w:ascii="Cambria Math" w:hAnsi="Cambria Math"/>
                      </w:rPr>
                      <m:t>k</m:t>
                    </m:r>
                  </m:num>
                  <m:den>
                    <m:r>
                      <w:rPr>
                        <w:rFonts w:ascii="Cambria Math" w:hAnsi="Cambria Math"/>
                      </w:rPr>
                      <m:t>αR+k</m:t>
                    </m:r>
                  </m:den>
                </m:f>
                <m:sSup>
                  <m:sSupPr>
                    <m:ctrlPr>
                      <w:rPr>
                        <w:rFonts w:ascii="Cambria Math" w:hAnsi="Cambria Math"/>
                      </w:rPr>
                    </m:ctrlPr>
                  </m:sSupPr>
                  <m:e>
                    <m:r>
                      <w:rPr>
                        <w:rFonts w:ascii="Cambria Math" w:hAnsi="Cambria Math"/>
                      </w:rPr>
                      <m:t>)</m:t>
                    </m:r>
                  </m:e>
                  <m:sup>
                    <m:r>
                      <w:rPr>
                        <w:rFonts w:ascii="Cambria Math" w:hAnsi="Cambria Math"/>
                      </w:rPr>
                      <m:t>k</m:t>
                    </m:r>
                  </m:sup>
                </m:sSup>
                <m:r>
                  <w:rPr>
                    <w:rFonts w:ascii="Cambria Math" w:hAnsi="Cambria Math"/>
                  </w:rPr>
                  <m:t>(</m:t>
                </m:r>
                <m:f>
                  <m:fPr>
                    <m:ctrlPr>
                      <w:rPr>
                        <w:rFonts w:ascii="Cambria Math" w:hAnsi="Cambria Math"/>
                      </w:rPr>
                    </m:ctrlPr>
                  </m:fPr>
                  <m:num>
                    <m:r>
                      <w:rPr>
                        <w:rFonts w:ascii="Cambria Math" w:hAnsi="Cambria Math"/>
                      </w:rPr>
                      <m:t>αR</m:t>
                    </m:r>
                  </m:num>
                  <m:den>
                    <m:r>
                      <w:rPr>
                        <w:rFonts w:ascii="Cambria Math" w:hAnsi="Cambria Math"/>
                      </w:rPr>
                      <m:t>αR+k</m:t>
                    </m:r>
                  </m:den>
                </m:f>
                <m:sSup>
                  <m:sSupPr>
                    <m:ctrlPr>
                      <w:rPr>
                        <w:rFonts w:ascii="Cambria Math" w:hAnsi="Cambria Math"/>
                      </w:rPr>
                    </m:ctrlPr>
                  </m:sSupPr>
                  <m:e>
                    <m:r>
                      <w:rPr>
                        <w:rFonts w:ascii="Cambria Math" w:hAnsi="Cambria Math"/>
                      </w:rPr>
                      <m:t>)</m:t>
                    </m:r>
                  </m:e>
                  <m:sup>
                    <m:sSub>
                      <m:sSubPr>
                        <m:ctrlPr>
                          <w:rPr>
                            <w:rFonts w:ascii="Cambria Math" w:hAnsi="Cambria Math"/>
                          </w:rPr>
                        </m:ctrlPr>
                      </m:sSubPr>
                      <m:e>
                        <m:r>
                          <w:rPr>
                            <w:rFonts w:ascii="Cambria Math" w:hAnsi="Cambria Math"/>
                          </w:rPr>
                          <m:t>s</m:t>
                        </m:r>
                      </m:e>
                      <m:sub>
                        <m:r>
                          <w:rPr>
                            <w:rFonts w:ascii="Cambria Math" w:hAnsi="Cambria Math"/>
                          </w:rPr>
                          <m:t>i</m:t>
                        </m:r>
                      </m:sub>
                    </m:sSub>
                  </m:sup>
                </m:sSup>
              </m:e>
            </m:mr>
            <m:mr>
              <m:e/>
              <m:e>
                <m:r>
                  <w:rPr>
                    <w:rFonts w:ascii="Cambria Math" w:hAnsi="Cambria Math"/>
                  </w:rPr>
                  <m:t>+(1-p)</m:t>
                </m:r>
                <m:f>
                  <m:fPr>
                    <m:ctrlPr>
                      <w:rPr>
                        <w:rFonts w:ascii="Cambria Math" w:hAnsi="Cambria Math"/>
                      </w:rPr>
                    </m:ctrlPr>
                  </m:fPr>
                  <m:num>
                    <m:r>
                      <w:rPr>
                        <w:rFonts w:ascii="Cambria Math" w:hAnsi="Cambria Math"/>
                      </w:rPr>
                      <m:t>Γ(</m:t>
                    </m:r>
                    <m:sSub>
                      <m:sSubPr>
                        <m:ctrlPr>
                          <w:rPr>
                            <w:rFonts w:ascii="Cambria Math" w:hAnsi="Cambria Math"/>
                          </w:rPr>
                        </m:ctrlPr>
                      </m:sSubPr>
                      <m:e>
                        <m:r>
                          <w:rPr>
                            <w:rFonts w:ascii="Cambria Math" w:hAnsi="Cambria Math"/>
                          </w:rPr>
                          <m:t>s</m:t>
                        </m:r>
                      </m:e>
                      <m:sub>
                        <m:r>
                          <w:rPr>
                            <w:rFonts w:ascii="Cambria Math" w:hAnsi="Cambria Math"/>
                          </w:rPr>
                          <m:t>i</m:t>
                        </m:r>
                      </m:sub>
                    </m:sSub>
                    <m:r>
                      <w:rPr>
                        <w:rFonts w:ascii="Cambria Math" w:hAnsi="Cambria Math"/>
                      </w:rPr>
                      <m:t>+k)</m:t>
                    </m:r>
                  </m:num>
                  <m:den>
                    <m:r>
                      <w:rPr>
                        <w:rFonts w:ascii="Cambria Math" w:hAnsi="Cambria Math"/>
                      </w:rPr>
                      <m:t>Γ(</m:t>
                    </m:r>
                    <m:sSub>
                      <m:sSubPr>
                        <m:ctrlPr>
                          <w:rPr>
                            <w:rFonts w:ascii="Cambria Math" w:hAnsi="Cambria Math"/>
                          </w:rPr>
                        </m:ctrlPr>
                      </m:sSubPr>
                      <m:e>
                        <m:r>
                          <w:rPr>
                            <w:rFonts w:ascii="Cambria Math" w:hAnsi="Cambria Math"/>
                          </w:rPr>
                          <m:t>s</m:t>
                        </m:r>
                      </m:e>
                      <m:sub>
                        <m:r>
                          <w:rPr>
                            <w:rFonts w:ascii="Cambria Math" w:hAnsi="Cambria Math"/>
                          </w:rPr>
                          <m:t>i</m:t>
                        </m:r>
                      </m:sub>
                    </m:sSub>
                    <m:r>
                      <w:rPr>
                        <w:rFonts w:ascii="Cambria Math" w:hAnsi="Cambria Math"/>
                      </w:rPr>
                      <m:t>+1)Γ(k)</m:t>
                    </m:r>
                  </m:den>
                </m:f>
                <m:r>
                  <w:rPr>
                    <w:rFonts w:ascii="Cambria Math" w:hAnsi="Cambria Math"/>
                  </w:rPr>
                  <m:t>(</m:t>
                </m:r>
                <m:f>
                  <m:fPr>
                    <m:ctrlPr>
                      <w:rPr>
                        <w:rFonts w:ascii="Cambria Math" w:hAnsi="Cambria Math"/>
                      </w:rPr>
                    </m:ctrlPr>
                  </m:fPr>
                  <m:num>
                    <m:r>
                      <w:rPr>
                        <w:rFonts w:ascii="Cambria Math" w:hAnsi="Cambria Math"/>
                      </w:rPr>
                      <m:t>k</m:t>
                    </m:r>
                  </m:num>
                  <m:den>
                    <m:r>
                      <w:rPr>
                        <w:rFonts w:ascii="Cambria Math" w:hAnsi="Cambria Math"/>
                      </w:rPr>
                      <m:t>R+k</m:t>
                    </m:r>
                  </m:den>
                </m:f>
                <m:sSup>
                  <m:sSupPr>
                    <m:ctrlPr>
                      <w:rPr>
                        <w:rFonts w:ascii="Cambria Math" w:hAnsi="Cambria Math"/>
                      </w:rPr>
                    </m:ctrlPr>
                  </m:sSupPr>
                  <m:e>
                    <m:r>
                      <w:rPr>
                        <w:rFonts w:ascii="Cambria Math" w:hAnsi="Cambria Math"/>
                      </w:rPr>
                      <m:t>)</m:t>
                    </m:r>
                  </m:e>
                  <m:sup>
                    <m:r>
                      <w:rPr>
                        <w:rFonts w:ascii="Cambria Math" w:hAnsi="Cambria Math"/>
                      </w:rPr>
                      <m:t>k</m:t>
                    </m:r>
                  </m:sup>
                </m:sSup>
                <m:r>
                  <w:rPr>
                    <w:rFonts w:ascii="Cambria Math" w:hAnsi="Cambria Math"/>
                  </w:rPr>
                  <m:t>(</m:t>
                </m:r>
                <m:f>
                  <m:fPr>
                    <m:ctrlPr>
                      <w:rPr>
                        <w:rFonts w:ascii="Cambria Math" w:hAnsi="Cambria Math"/>
                      </w:rPr>
                    </m:ctrlPr>
                  </m:fPr>
                  <m:num>
                    <m:r>
                      <w:rPr>
                        <w:rFonts w:ascii="Cambria Math" w:hAnsi="Cambria Math"/>
                      </w:rPr>
                      <m:t>R</m:t>
                    </m:r>
                  </m:num>
                  <m:den>
                    <m:r>
                      <w:rPr>
                        <w:rFonts w:ascii="Cambria Math" w:hAnsi="Cambria Math"/>
                      </w:rPr>
                      <m:t>R+k</m:t>
                    </m:r>
                  </m:den>
                </m:f>
                <m:sSup>
                  <m:sSupPr>
                    <m:ctrlPr>
                      <w:rPr>
                        <w:rFonts w:ascii="Cambria Math" w:hAnsi="Cambria Math"/>
                      </w:rPr>
                    </m:ctrlPr>
                  </m:sSupPr>
                  <m:e>
                    <m:r>
                      <w:rPr>
                        <w:rFonts w:ascii="Cambria Math" w:hAnsi="Cambria Math"/>
                      </w:rPr>
                      <m:t>)</m:t>
                    </m:r>
                  </m:e>
                  <m:sup>
                    <m:sSub>
                      <m:sSubPr>
                        <m:ctrlPr>
                          <w:rPr>
                            <w:rFonts w:ascii="Cambria Math" w:hAnsi="Cambria Math"/>
                          </w:rPr>
                        </m:ctrlPr>
                      </m:sSubPr>
                      <m:e>
                        <m:r>
                          <w:rPr>
                            <w:rFonts w:ascii="Cambria Math" w:hAnsi="Cambria Math"/>
                          </w:rPr>
                          <m:t>s</m:t>
                        </m:r>
                      </m:e>
                      <m:sub>
                        <m:r>
                          <w:rPr>
                            <w:rFonts w:ascii="Cambria Math" w:hAnsi="Cambria Math"/>
                          </w:rPr>
                          <m:t>i</m:t>
                        </m:r>
                      </m:sub>
                    </m:sSub>
                  </m:sup>
                </m:sSup>
              </m:e>
            </m:mr>
          </m:m>
          <m:r>
            <w:rPr>
              <w:rFonts w:ascii="Cambria Math" w:hAnsi="Cambria Math"/>
            </w:rPr>
            <m:t xml:space="preserve">        (1)</m:t>
          </m:r>
        </m:oMath>
      </m:oMathPara>
    </w:p>
    <w:p w14:paraId="773455D1" w14:textId="2132043A" w:rsidR="00690F35" w:rsidRPr="00673000" w:rsidRDefault="008B4A6C">
      <w:pPr>
        <w:pStyle w:val="FirstParagraph"/>
        <w:rPr>
          <w:rFonts w:ascii="Times New Roman" w:hAnsi="Times New Roman"/>
        </w:rPr>
      </w:pPr>
      <w:r w:rsidRPr="00673000">
        <w:rPr>
          <w:rFonts w:ascii="Times New Roman" w:hAnsi="Times New Roman"/>
        </w:rPr>
        <w:t>Having specifying the distribution of secondary cases, we can compute the likelihood of each type of clusters respectively based on the approach proposed by.</w:t>
      </w:r>
      <w:hyperlink w:anchor="ref-nature2005">
        <w:r w:rsidRPr="00673000">
          <w:rPr>
            <w:rStyle w:val="ae"/>
            <w:rFonts w:ascii="Times New Roman" w:hAnsi="Times New Roman"/>
            <w:vertAlign w:val="superscript"/>
          </w:rPr>
          <w:t>2</w:t>
        </w:r>
      </w:hyperlink>
      <w:r w:rsidRPr="00673000">
        <w:rPr>
          <w:rFonts w:ascii="Times New Roman" w:hAnsi="Times New Roman"/>
        </w:rPr>
        <w:t xml:space="preserve"> Regarding the first type of cluster, simple transmission chains, where only one primary cases transmitted to exactly one generation before the whole transmission chain die out, the likelihood can be </w:t>
      </w:r>
      <w:r w:rsidRPr="00673000">
        <w:rPr>
          <w:rFonts w:ascii="Times New Roman" w:hAnsi="Times New Roman"/>
        </w:rPr>
        <w:lastRenderedPageBreak/>
        <w:t>expressed directly by a productive of offspring distribution</w:t>
      </w:r>
      <w:r w:rsidR="00673000">
        <w:rPr>
          <w:rFonts w:ascii="Times New Roman" w:hAnsi="Times New Roman"/>
        </w:rPr>
        <w:t xml:space="preserve"> equation 2</w:t>
      </w:r>
      <w:r w:rsidRPr="00673000">
        <w:rPr>
          <w:rFonts w:ascii="Times New Roman" w:hAnsi="Times New Roman"/>
        </w:rPr>
        <w:t xml:space="preserve">. Suppose there are overall </w:t>
      </w:r>
      <m:oMath>
        <m:sSub>
          <m:sSubPr>
            <m:ctrlPr>
              <w:rPr>
                <w:rFonts w:ascii="Cambria Math" w:hAnsi="Cambria Math"/>
              </w:rPr>
            </m:ctrlPr>
          </m:sSubPr>
          <m:e>
            <m:r>
              <w:rPr>
                <w:rFonts w:ascii="Cambria Math" w:hAnsi="Cambria Math"/>
              </w:rPr>
              <m:t>s</m:t>
            </m:r>
          </m:e>
          <m:sub>
            <m:r>
              <w:rPr>
                <w:rFonts w:ascii="Cambria Math" w:hAnsi="Cambria Math"/>
              </w:rPr>
              <m:t>i</m:t>
            </m:r>
          </m:sub>
        </m:sSub>
      </m:oMath>
      <w:r w:rsidRPr="00673000">
        <w:rPr>
          <w:rFonts w:ascii="Times New Roman" w:hAnsi="Times New Roman"/>
        </w:rPr>
        <w:t xml:space="preserve"> cases in the </w:t>
      </w:r>
      <m:oMath>
        <m:r>
          <w:rPr>
            <w:rFonts w:ascii="Cambria Math" w:hAnsi="Cambria Math"/>
          </w:rPr>
          <m:t>i</m:t>
        </m:r>
      </m:oMath>
      <w:r w:rsidRPr="00673000">
        <w:rPr>
          <w:rFonts w:ascii="Times New Roman" w:hAnsi="Times New Roman"/>
        </w:rPr>
        <w:t xml:space="preserve">-th chain of simple transmission chains, </w:t>
      </w:r>
      <m:oMath>
        <m:r>
          <w:rPr>
            <w:rFonts w:ascii="Cambria Math" w:hAnsi="Cambria Math"/>
          </w:rPr>
          <m:t>i=1,⋯,</m:t>
        </m:r>
        <m:sSub>
          <m:sSubPr>
            <m:ctrlPr>
              <w:rPr>
                <w:rFonts w:ascii="Cambria Math" w:hAnsi="Cambria Math"/>
              </w:rPr>
            </m:ctrlPr>
          </m:sSubPr>
          <m:e>
            <m:r>
              <w:rPr>
                <w:rFonts w:ascii="Cambria Math" w:hAnsi="Cambria Math"/>
              </w:rPr>
              <m:t>n</m:t>
            </m:r>
          </m:e>
          <m:sub>
            <m:r>
              <w:rPr>
                <w:rFonts w:ascii="Cambria Math" w:hAnsi="Cambria Math"/>
              </w:rPr>
              <m:t>I</m:t>
            </m:r>
          </m:sub>
        </m:sSub>
      </m:oMath>
      <w:r w:rsidRPr="00673000">
        <w:rPr>
          <w:rFonts w:ascii="Times New Roman" w:hAnsi="Times New Roman"/>
        </w:rPr>
        <w:t>.</w:t>
      </w:r>
    </w:p>
    <w:p w14:paraId="2DCD3860" w14:textId="2F836C49" w:rsidR="00690F35" w:rsidRPr="00673000" w:rsidRDefault="00A30043" w:rsidP="00673000">
      <w:pPr>
        <w:pStyle w:val="a0"/>
        <w:jc w:val="center"/>
        <w:rPr>
          <w:rFonts w:ascii="Times New Roman" w:hAnsi="Times New Roman"/>
          <w:lang w:eastAsia="zh-CN"/>
        </w:rPr>
      </w:pPr>
      <m:oMath>
        <m:sSub>
          <m:sSubPr>
            <m:ctrlPr>
              <w:rPr>
                <w:rFonts w:ascii="Cambria Math" w:hAnsi="Cambria Math"/>
              </w:rPr>
            </m:ctrlPr>
          </m:sSubPr>
          <m:e>
            <m:r>
              <w:rPr>
                <w:rFonts w:ascii="Cambria Math" w:hAnsi="Cambria Math"/>
              </w:rPr>
              <m:t>L</m:t>
            </m:r>
          </m:e>
          <m:sub>
            <m:r>
              <w:rPr>
                <w:rFonts w:ascii="Cambria Math" w:hAnsi="Cambria Math"/>
              </w:rPr>
              <m:t>I</m:t>
            </m:r>
          </m:sub>
        </m:sSub>
        <m:r>
          <w:rPr>
            <w:rFonts w:ascii="Cambria Math" w:hAnsi="Cambria Math"/>
          </w:rPr>
          <m:t>(R,k)=</m:t>
        </m:r>
        <m:nary>
          <m:naryPr>
            <m:chr m:val="∏"/>
            <m:limLoc m:val="undOvr"/>
            <m:ctrlPr>
              <w:rPr>
                <w:rFonts w:ascii="Cambria Math" w:hAnsi="Cambria Math"/>
              </w:rPr>
            </m:ctrlPr>
          </m:naryPr>
          <m:sub>
            <m:r>
              <w:rPr>
                <w:rFonts w:ascii="Cambria Math" w:hAnsi="Cambria Math"/>
              </w:rPr>
              <m:t>i=1</m:t>
            </m:r>
          </m:sub>
          <m:sup>
            <m:sSub>
              <m:sSubPr>
                <m:ctrlPr>
                  <w:rPr>
                    <w:rFonts w:ascii="Cambria Math" w:hAnsi="Cambria Math"/>
                  </w:rPr>
                </m:ctrlPr>
              </m:sSubPr>
              <m:e>
                <m:r>
                  <w:rPr>
                    <w:rFonts w:ascii="Cambria Math" w:hAnsi="Cambria Math"/>
                  </w:rPr>
                  <m:t>n</m:t>
                </m:r>
              </m:e>
              <m:sub>
                <m:r>
                  <w:rPr>
                    <w:rFonts w:ascii="Cambria Math" w:hAnsi="Cambria Math"/>
                  </w:rPr>
                  <m:t>I</m:t>
                </m:r>
              </m:sub>
            </m:sSub>
          </m:sup>
          <m:e>
            <m:sSub>
              <m:sSubPr>
                <m:ctrlPr>
                  <w:rPr>
                    <w:rFonts w:ascii="Cambria Math" w:hAnsi="Cambria Math"/>
                  </w:rPr>
                </m:ctrlPr>
              </m:sSubPr>
              <m:e>
                <m:r>
                  <w:rPr>
                    <w:rFonts w:ascii="Cambria Math" w:hAnsi="Cambria Math"/>
                  </w:rPr>
                  <m:t>f</m:t>
                </m:r>
              </m:e>
              <m:sub>
                <m:r>
                  <w:rPr>
                    <w:rFonts w:ascii="Cambria Math" w:hAnsi="Cambria Math"/>
                  </w:rPr>
                  <m:t>1</m:t>
                </m:r>
              </m:sub>
            </m:sSub>
          </m:e>
        </m:nary>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i</m:t>
            </m:r>
          </m:sub>
        </m:sSub>
        <m:r>
          <w:rPr>
            <w:rFonts w:ascii="Cambria Math" w:hAnsi="Cambria Math"/>
          </w:rPr>
          <m:t>-1;R,k)</m:t>
        </m:r>
      </m:oMath>
      <w:r w:rsidR="00673000">
        <w:rPr>
          <w:rFonts w:ascii="Times New Roman" w:hAnsi="Times New Roman" w:hint="eastAsia"/>
          <w:lang w:eastAsia="zh-CN"/>
        </w:rPr>
        <w:t xml:space="preserve">     </w:t>
      </w:r>
      <w:r w:rsidR="00673000">
        <w:rPr>
          <w:rFonts w:ascii="Times New Roman" w:hAnsi="Times New Roman"/>
          <w:lang w:eastAsia="zh-CN"/>
        </w:rPr>
        <w:t xml:space="preserve"> (2)</w:t>
      </w:r>
    </w:p>
    <w:p w14:paraId="34F881AF" w14:textId="04EBC540" w:rsidR="00690F35" w:rsidRPr="00673000" w:rsidRDefault="008B4A6C">
      <w:pPr>
        <w:pStyle w:val="FirstParagraph"/>
        <w:rPr>
          <w:rFonts w:ascii="Times New Roman" w:hAnsi="Times New Roman"/>
        </w:rPr>
      </w:pPr>
      <w:r w:rsidRPr="00673000">
        <w:rPr>
          <w:rFonts w:ascii="Times New Roman" w:hAnsi="Times New Roman"/>
        </w:rPr>
        <w:t xml:space="preserve">Considering the ordinary transmission chain with one primary case and the information on the ultimate size of transmission chain, we can approximate the transmission process through a Galton-Watson branching process. Let </w:t>
      </w:r>
      <m:oMath>
        <m:r>
          <w:rPr>
            <w:rFonts w:ascii="Cambria Math" w:hAnsi="Cambria Math"/>
          </w:rPr>
          <m:t>U</m:t>
        </m:r>
      </m:oMath>
      <w:r w:rsidRPr="00673000">
        <w:rPr>
          <w:rFonts w:ascii="Times New Roman" w:hAnsi="Times New Roman"/>
        </w:rPr>
        <w:t xml:space="preserve"> denotes the ultimate size of a transmission chain. According to,</w:t>
      </w:r>
      <w:hyperlink w:anchor="ref-blumberg2013">
        <w:r w:rsidRPr="00673000">
          <w:rPr>
            <w:rStyle w:val="ae"/>
            <w:rFonts w:ascii="Times New Roman" w:hAnsi="Times New Roman"/>
            <w:vertAlign w:val="superscript"/>
          </w:rPr>
          <w:t>1</w:t>
        </w:r>
      </w:hyperlink>
      <w:r w:rsidRPr="00673000">
        <w:rPr>
          <w:rFonts w:ascii="Times New Roman" w:hAnsi="Times New Roman"/>
        </w:rPr>
        <w:t xml:space="preserve"> the probability of </w:t>
      </w:r>
      <m:oMath>
        <m:r>
          <w:rPr>
            <w:rFonts w:ascii="Cambria Math" w:hAnsi="Cambria Math"/>
          </w:rPr>
          <m:t>U</m:t>
        </m:r>
      </m:oMath>
      <w:r w:rsidRPr="00673000">
        <w:rPr>
          <w:rFonts w:ascii="Times New Roman" w:hAnsi="Times New Roman"/>
        </w:rPr>
        <w:t xml:space="preserve"> to be </w:t>
      </w:r>
      <m:oMath>
        <m:r>
          <w:rPr>
            <w:rFonts w:ascii="Cambria Math" w:hAnsi="Cambria Math"/>
          </w:rPr>
          <m:t>j</m:t>
        </m:r>
      </m:oMath>
      <w:r w:rsidRPr="00673000">
        <w:rPr>
          <w:rFonts w:ascii="Times New Roman" w:hAnsi="Times New Roman"/>
        </w:rPr>
        <w:t xml:space="preserve"> is equivalent to </w:t>
      </w:r>
      <m:oMath>
        <m:f>
          <m:fPr>
            <m:ctrlPr>
              <w:rPr>
                <w:rFonts w:ascii="Cambria Math" w:hAnsi="Cambria Math"/>
              </w:rPr>
            </m:ctrlPr>
          </m:fPr>
          <m:num>
            <m:r>
              <w:rPr>
                <w:rFonts w:ascii="Cambria Math" w:hAnsi="Cambria Math"/>
              </w:rPr>
              <m:t>1</m:t>
            </m:r>
          </m:num>
          <m:den>
            <m:r>
              <w:rPr>
                <w:rFonts w:ascii="Cambria Math" w:hAnsi="Cambria Math"/>
              </w:rPr>
              <m:t>j</m:t>
            </m:r>
          </m:den>
        </m:f>
        <m: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(j-1)!</m:t>
            </m:r>
          </m:den>
        </m:f>
        <m:f>
          <m:fPr>
            <m:ctrlPr>
              <w:rPr>
                <w:rFonts w:ascii="Cambria Math" w:hAnsi="Cambria Math"/>
              </w:rPr>
            </m:ctrlPr>
          </m:fPr>
          <m:num>
            <m:sSup>
              <m:sSupPr>
                <m:ctrlPr>
                  <w:rPr>
                    <w:rFonts w:ascii="Cambria Math" w:hAnsi="Cambria Math"/>
                  </w:rPr>
                </m:ctrlPr>
              </m:sSupPr>
              <m:e>
                <m:r>
                  <w:rPr>
                    <w:rFonts w:ascii="Cambria Math" w:hAnsi="Cambria Math"/>
                  </w:rPr>
                  <m:t>∂</m:t>
                </m:r>
              </m:e>
              <m:sup>
                <m:r>
                  <w:rPr>
                    <w:rFonts w:ascii="Cambria Math" w:hAnsi="Cambria Math"/>
                  </w:rPr>
                  <m:t>(j-1)</m:t>
                </m:r>
              </m:sup>
            </m:sSup>
            <m:r>
              <w:rPr>
                <w:rFonts w:ascii="Cambria Math" w:hAnsi="Cambria Math"/>
              </w:rPr>
              <m:t>Q(s</m:t>
            </m:r>
            <m:sSup>
              <m:sSupPr>
                <m:ctrlPr>
                  <w:rPr>
                    <w:rFonts w:ascii="Cambria Math" w:hAnsi="Cambria Math"/>
                  </w:rPr>
                </m:ctrlPr>
              </m:sSupPr>
              <m:e>
                <m:r>
                  <w:rPr>
                    <w:rFonts w:ascii="Cambria Math" w:hAnsi="Cambria Math"/>
                  </w:rPr>
                  <m:t>)</m:t>
                </m:r>
              </m:e>
              <m:sup>
                <m:r>
                  <w:rPr>
                    <w:rFonts w:ascii="Cambria Math" w:hAnsi="Cambria Math"/>
                  </w:rPr>
                  <m:t>j</m:t>
                </m:r>
              </m:sup>
            </m:sSup>
          </m:num>
          <m:den>
            <m:r>
              <w:rPr>
                <w:rFonts w:ascii="Cambria Math" w:hAnsi="Cambria Math"/>
              </w:rPr>
              <m:t>∂</m:t>
            </m:r>
            <m:sSup>
              <m:sSupPr>
                <m:ctrlPr>
                  <w:rPr>
                    <w:rFonts w:ascii="Cambria Math" w:hAnsi="Cambria Math"/>
                  </w:rPr>
                </m:ctrlPr>
              </m:sSupPr>
              <m:e>
                <m:r>
                  <w:rPr>
                    <w:rFonts w:ascii="Cambria Math" w:hAnsi="Cambria Math"/>
                  </w:rPr>
                  <m:t>s</m:t>
                </m:r>
              </m:e>
              <m:sup>
                <m:r>
                  <w:rPr>
                    <w:rFonts w:ascii="Cambria Math" w:hAnsi="Cambria Math"/>
                  </w:rPr>
                  <m:t>(j-1)</m:t>
                </m:r>
              </m:sup>
            </m:sSup>
          </m:den>
        </m:f>
        <m:sSub>
          <m:sSubPr>
            <m:ctrlPr>
              <w:rPr>
                <w:rFonts w:ascii="Cambria Math" w:hAnsi="Cambria Math"/>
              </w:rPr>
            </m:ctrlPr>
          </m:sSubPr>
          <m:e>
            <m:r>
              <w:rPr>
                <w:rFonts w:ascii="Cambria Math" w:hAnsi="Cambria Math"/>
              </w:rPr>
              <m:t>|</m:t>
            </m:r>
          </m:e>
          <m:sub>
            <m:r>
              <w:rPr>
                <w:rFonts w:ascii="Cambria Math" w:hAnsi="Cambria Math"/>
              </w:rPr>
              <m:t>s=0</m:t>
            </m:r>
          </m:sub>
        </m:sSub>
        <m:r>
          <w:rPr>
            <w:rFonts w:ascii="Cambria Math" w:hAnsi="Cambria Math"/>
          </w:rPr>
          <m:t>)</m:t>
        </m:r>
      </m:oMath>
      <w:r w:rsidRPr="00673000">
        <w:rPr>
          <w:rFonts w:ascii="Times New Roman" w:hAnsi="Times New Roman"/>
        </w:rPr>
        <w:t xml:space="preserve">, where </w:t>
      </w:r>
      <m:oMath>
        <m:r>
          <w:rPr>
            <w:rFonts w:ascii="Cambria Math" w:hAnsi="Cambria Math"/>
          </w:rPr>
          <m:t>Q(s)</m:t>
        </m:r>
      </m:oMath>
      <w:r w:rsidRPr="00673000">
        <w:rPr>
          <w:rFonts w:ascii="Times New Roman" w:hAnsi="Times New Roman"/>
        </w:rPr>
        <w:t xml:space="preserve"> is the generating function of the offspring distribution. The detailed formulation of </w:t>
      </w:r>
      <m:oMath>
        <m:r>
          <w:rPr>
            <w:rFonts w:ascii="Cambria Math" w:hAnsi="Cambria Math"/>
          </w:rPr>
          <m:t>Q(s)</m:t>
        </m:r>
      </m:oMath>
      <w:r w:rsidR="00673000">
        <w:rPr>
          <w:rFonts w:ascii="Times New Roman" w:hAnsi="Times New Roman"/>
        </w:rPr>
        <w:t xml:space="preserve"> is presented by</w:t>
      </w:r>
    </w:p>
    <w:p w14:paraId="3C93E300" w14:textId="77777777" w:rsidR="00690F35" w:rsidRPr="00673000" w:rsidRDefault="008B4A6C">
      <w:pPr>
        <w:pStyle w:val="a0"/>
        <w:rPr>
          <w:rFonts w:ascii="Times New Roman" w:hAnsi="Times New Roman"/>
        </w:rPr>
      </w:pPr>
      <m:oMathPara>
        <m:oMathParaPr>
          <m:jc m:val="center"/>
        </m:oMathParaPr>
        <m:oMath>
          <m:r>
            <w:rPr>
              <w:rFonts w:ascii="Cambria Math" w:hAnsi="Cambria Math"/>
            </w:rPr>
            <m:t>Q(s)=p(1+</m:t>
          </m:r>
          <m:f>
            <m:fPr>
              <m:ctrlPr>
                <w:rPr>
                  <w:rFonts w:ascii="Cambria Math" w:hAnsi="Cambria Math"/>
                </w:rPr>
              </m:ctrlPr>
            </m:fPr>
            <m:num>
              <m:r>
                <w:rPr>
                  <w:rFonts w:ascii="Cambria Math" w:hAnsi="Cambria Math"/>
                </w:rPr>
                <m:t>αR</m:t>
              </m:r>
            </m:num>
            <m:den>
              <m:r>
                <w:rPr>
                  <w:rFonts w:ascii="Cambria Math" w:hAnsi="Cambria Math"/>
                </w:rPr>
                <m:t>k</m:t>
              </m:r>
            </m:den>
          </m:f>
          <m:r>
            <w:rPr>
              <w:rFonts w:ascii="Cambria Math" w:hAnsi="Cambria Math"/>
            </w:rPr>
            <m:t>(1-s)</m:t>
          </m:r>
          <m:sSup>
            <m:sSupPr>
              <m:ctrlPr>
                <w:rPr>
                  <w:rFonts w:ascii="Cambria Math" w:hAnsi="Cambria Math"/>
                </w:rPr>
              </m:ctrlPr>
            </m:sSupPr>
            <m:e>
              <m:r>
                <w:rPr>
                  <w:rFonts w:ascii="Cambria Math" w:hAnsi="Cambria Math"/>
                </w:rPr>
                <m:t>)</m:t>
              </m:r>
            </m:e>
            <m:sup>
              <m:r>
                <w:rPr>
                  <w:rFonts w:ascii="Cambria Math" w:hAnsi="Cambria Math"/>
                </w:rPr>
                <m:t>-k</m:t>
              </m:r>
            </m:sup>
          </m:sSup>
          <m:r>
            <w:rPr>
              <w:rFonts w:ascii="Cambria Math" w:hAnsi="Cambria Math"/>
            </w:rPr>
            <m:t>+(1-p)(1+</m:t>
          </m:r>
          <m:f>
            <m:fPr>
              <m:ctrlPr>
                <w:rPr>
                  <w:rFonts w:ascii="Cambria Math" w:hAnsi="Cambria Math"/>
                </w:rPr>
              </m:ctrlPr>
            </m:fPr>
            <m:num>
              <m:r>
                <w:rPr>
                  <w:rFonts w:ascii="Cambria Math" w:hAnsi="Cambria Math"/>
                </w:rPr>
                <m:t>R</m:t>
              </m:r>
            </m:num>
            <m:den>
              <m:r>
                <w:rPr>
                  <w:rFonts w:ascii="Cambria Math" w:hAnsi="Cambria Math"/>
                </w:rPr>
                <m:t>k</m:t>
              </m:r>
            </m:den>
          </m:f>
          <m:r>
            <w:rPr>
              <w:rFonts w:ascii="Cambria Math" w:hAnsi="Cambria Math"/>
            </w:rPr>
            <m:t>(1-s)</m:t>
          </m:r>
          <m:sSup>
            <m:sSupPr>
              <m:ctrlPr>
                <w:rPr>
                  <w:rFonts w:ascii="Cambria Math" w:hAnsi="Cambria Math"/>
                </w:rPr>
              </m:ctrlPr>
            </m:sSupPr>
            <m:e>
              <m:r>
                <w:rPr>
                  <w:rFonts w:ascii="Cambria Math" w:hAnsi="Cambria Math"/>
                </w:rPr>
                <m:t>)</m:t>
              </m:r>
            </m:e>
            <m:sup>
              <m:r>
                <w:rPr>
                  <w:rFonts w:ascii="Cambria Math" w:hAnsi="Cambria Math"/>
                </w:rPr>
                <m:t>-k</m:t>
              </m:r>
            </m:sup>
          </m:sSup>
        </m:oMath>
      </m:oMathPara>
    </w:p>
    <w:p w14:paraId="10785B55" w14:textId="77777777" w:rsidR="00690F35" w:rsidRPr="00673000" w:rsidRDefault="008B4A6C">
      <w:pPr>
        <w:pStyle w:val="FirstParagraph"/>
        <w:rPr>
          <w:rFonts w:ascii="Times New Roman" w:hAnsi="Times New Roman"/>
        </w:rPr>
      </w:pPr>
      <w:r w:rsidRPr="00673000">
        <w:rPr>
          <w:rFonts w:ascii="Times New Roman" w:hAnsi="Times New Roman"/>
        </w:rPr>
        <w:t xml:space="preserve">Thus, probability of a transmission chain with one primary case having an overall size of </w:t>
      </w:r>
      <m:oMath>
        <m:r>
          <w:rPr>
            <w:rFonts w:ascii="Cambria Math" w:hAnsi="Cambria Math"/>
          </w:rPr>
          <m:t>j</m:t>
        </m:r>
      </m:oMath>
      <w:r w:rsidRPr="00673000">
        <w:rPr>
          <w:rFonts w:ascii="Times New Roman" w:hAnsi="Times New Roman"/>
        </w:rPr>
        <w:t xml:space="preserve"> equals,</w:t>
      </w:r>
    </w:p>
    <w:p w14:paraId="745487AB" w14:textId="57A130C3" w:rsidR="00690F35" w:rsidRPr="00673000" w:rsidRDefault="00A30043">
      <w:pPr>
        <w:pStyle w:val="a0"/>
        <w:rPr>
          <w:rFonts w:ascii="Times New Roman" w:hAnsi="Times New Roman"/>
        </w:rPr>
      </w:pPr>
      <m:oMathPara>
        <m:oMathParaPr>
          <m:jc m:val="center"/>
        </m:oMathParaPr>
        <m:oMath>
          <m:m>
            <m:mPr>
              <m:plcHide m:val="1"/>
              <m:mcs>
                <m:mc>
                  <m:mcPr>
                    <m:count m:val="1"/>
                    <m:mcJc m:val="right"/>
                  </m:mcPr>
                </m:mc>
                <m:mc>
                  <m:mcPr>
                    <m:count m:val="1"/>
                    <m:mcJc m:val="left"/>
                  </m:mcPr>
                </m:mc>
              </m:mcs>
              <m:ctrlPr>
                <w:rPr>
                  <w:rFonts w:ascii="Cambria Math" w:hAnsi="Cambria Math"/>
                </w:rPr>
              </m:ctrlPr>
            </m:mPr>
            <m:mr>
              <m:e>
                <m:sSub>
                  <m:sSubPr>
                    <m:ctrlPr>
                      <w:rPr>
                        <w:rFonts w:ascii="Cambria Math" w:hAnsi="Cambria Math"/>
                      </w:rPr>
                    </m:ctrlPr>
                  </m:sSubPr>
                  <m:e>
                    <m:r>
                      <w:rPr>
                        <w:rFonts w:ascii="Cambria Math" w:hAnsi="Cambria Math"/>
                      </w:rPr>
                      <m:t>f</m:t>
                    </m:r>
                  </m:e>
                  <m:sub>
                    <m:r>
                      <w:rPr>
                        <w:rFonts w:ascii="Cambria Math" w:hAnsi="Cambria Math"/>
                      </w:rPr>
                      <m:t>2</m:t>
                    </m:r>
                  </m:sub>
                </m:sSub>
                <m:r>
                  <w:rPr>
                    <w:rFonts w:ascii="Cambria Math" w:hAnsi="Cambria Math"/>
                  </w:rPr>
                  <m:t>(j;R,k)=</m:t>
                </m:r>
              </m:e>
              <m:e>
                <m:f>
                  <m:fPr>
                    <m:ctrlPr>
                      <w:rPr>
                        <w:rFonts w:ascii="Cambria Math" w:hAnsi="Cambria Math"/>
                      </w:rPr>
                    </m:ctrlPr>
                  </m:fPr>
                  <m:num>
                    <m:r>
                      <w:rPr>
                        <w:rFonts w:ascii="Cambria Math" w:hAnsi="Cambria Math"/>
                      </w:rPr>
                      <m:t>1</m:t>
                    </m:r>
                  </m:num>
                  <m:den>
                    <m:r>
                      <w:rPr>
                        <w:rFonts w:ascii="Cambria Math" w:hAnsi="Cambria Math"/>
                      </w:rPr>
                      <m:t>j!</m:t>
                    </m:r>
                  </m:den>
                </m:f>
                <m:f>
                  <m:fPr>
                    <m:ctrlPr>
                      <w:rPr>
                        <w:rFonts w:ascii="Cambria Math" w:hAnsi="Cambria Math"/>
                      </w:rPr>
                    </m:ctrlPr>
                  </m:fPr>
                  <m:num>
                    <m:sSup>
                      <m:sSupPr>
                        <m:ctrlPr>
                          <w:rPr>
                            <w:rFonts w:ascii="Cambria Math" w:hAnsi="Cambria Math"/>
                          </w:rPr>
                        </m:ctrlPr>
                      </m:sSupPr>
                      <m:e>
                        <m:r>
                          <w:rPr>
                            <w:rFonts w:ascii="Cambria Math" w:hAnsi="Cambria Math"/>
                          </w:rPr>
                          <m:t>∂</m:t>
                        </m:r>
                      </m:e>
                      <m:sup>
                        <m:r>
                          <w:rPr>
                            <w:rFonts w:ascii="Cambria Math" w:hAnsi="Cambria Math"/>
                          </w:rPr>
                          <m:t>(j-1)</m:t>
                        </m:r>
                      </m:sup>
                    </m:sSup>
                    <m:r>
                      <w:rPr>
                        <w:rFonts w:ascii="Cambria Math" w:hAnsi="Cambria Math"/>
                      </w:rPr>
                      <m:t>Q(s</m:t>
                    </m:r>
                    <m:sSup>
                      <m:sSupPr>
                        <m:ctrlPr>
                          <w:rPr>
                            <w:rFonts w:ascii="Cambria Math" w:hAnsi="Cambria Math"/>
                          </w:rPr>
                        </m:ctrlPr>
                      </m:sSupPr>
                      <m:e>
                        <m:r>
                          <w:rPr>
                            <w:rFonts w:ascii="Cambria Math" w:hAnsi="Cambria Math"/>
                          </w:rPr>
                          <m:t>)</m:t>
                        </m:r>
                      </m:e>
                      <m:sup>
                        <m:r>
                          <w:rPr>
                            <w:rFonts w:ascii="Cambria Math" w:hAnsi="Cambria Math"/>
                          </w:rPr>
                          <m:t>j</m:t>
                        </m:r>
                      </m:sup>
                    </m:sSup>
                  </m:num>
                  <m:den>
                    <m:r>
                      <w:rPr>
                        <w:rFonts w:ascii="Cambria Math" w:hAnsi="Cambria Math"/>
                      </w:rPr>
                      <m:t>∂</m:t>
                    </m:r>
                    <m:sSup>
                      <m:sSupPr>
                        <m:ctrlPr>
                          <w:rPr>
                            <w:rFonts w:ascii="Cambria Math" w:hAnsi="Cambria Math"/>
                          </w:rPr>
                        </m:ctrlPr>
                      </m:sSupPr>
                      <m:e>
                        <m:r>
                          <w:rPr>
                            <w:rFonts w:ascii="Cambria Math" w:hAnsi="Cambria Math"/>
                          </w:rPr>
                          <m:t>s</m:t>
                        </m:r>
                      </m:e>
                      <m:sup>
                        <m:r>
                          <w:rPr>
                            <w:rFonts w:ascii="Cambria Math" w:hAnsi="Cambria Math"/>
                          </w:rPr>
                          <m:t>(j-1)</m:t>
                        </m:r>
                      </m:sup>
                    </m:sSup>
                  </m:den>
                </m:f>
                <m:sSub>
                  <m:sSubPr>
                    <m:ctrlPr>
                      <w:rPr>
                        <w:rFonts w:ascii="Cambria Math" w:hAnsi="Cambria Math"/>
                      </w:rPr>
                    </m:ctrlPr>
                  </m:sSubPr>
                  <m:e>
                    <m:r>
                      <w:rPr>
                        <w:rFonts w:ascii="Cambria Math" w:hAnsi="Cambria Math"/>
                      </w:rPr>
                      <m:t>|</m:t>
                    </m:r>
                  </m:e>
                  <m:sub>
                    <m:r>
                      <w:rPr>
                        <w:rFonts w:ascii="Cambria Math" w:hAnsi="Cambria Math"/>
                      </w:rPr>
                      <m:t>s=0</m:t>
                    </m:r>
                  </m:sub>
                </m:sSub>
              </m:e>
            </m:mr>
            <m:mr>
              <m:e>
                <m:r>
                  <w:rPr>
                    <w:rFonts w:ascii="Cambria Math" w:hAnsi="Cambria Math"/>
                  </w:rPr>
                  <m:t>=</m:t>
                </m:r>
              </m:e>
              <m:e>
                <m:f>
                  <m:fPr>
                    <m:ctrlPr>
                      <w:rPr>
                        <w:rFonts w:ascii="Cambria Math" w:hAnsi="Cambria Math"/>
                      </w:rPr>
                    </m:ctrlPr>
                  </m:fPr>
                  <m:num>
                    <m:r>
                      <w:rPr>
                        <w:rFonts w:ascii="Cambria Math" w:hAnsi="Cambria Math"/>
                      </w:rPr>
                      <m:t>Γ(kj+j-1)</m:t>
                    </m:r>
                  </m:num>
                  <m:den>
                    <m:r>
                      <w:rPr>
                        <w:rFonts w:ascii="Cambria Math" w:hAnsi="Cambria Math"/>
                      </w:rPr>
                      <m:t>Γ(j+1)Γ(kj)</m:t>
                    </m:r>
                  </m:den>
                </m:f>
                <m:nary>
                  <m:naryPr>
                    <m:chr m:val="∑"/>
                    <m:limLoc m:val="undOvr"/>
                    <m:ctrlPr>
                      <w:rPr>
                        <w:rFonts w:ascii="Cambria Math" w:hAnsi="Cambria Math"/>
                      </w:rPr>
                    </m:ctrlPr>
                  </m:naryPr>
                  <m:sub>
                    <m:r>
                      <w:rPr>
                        <w:rFonts w:ascii="Cambria Math" w:hAnsi="Cambria Math"/>
                      </w:rPr>
                      <m:t>g=0</m:t>
                    </m:r>
                  </m:sub>
                  <m:sup>
                    <m:r>
                      <w:rPr>
                        <w:rFonts w:ascii="Cambria Math" w:hAnsi="Cambria Math"/>
                      </w:rPr>
                      <m:t>j</m:t>
                    </m:r>
                  </m:sup>
                  <m:e>
                    <m:f>
                      <m:fPr>
                        <m:ctrlPr>
                          <w:rPr>
                            <w:rFonts w:ascii="Cambria Math" w:hAnsi="Cambria Math"/>
                          </w:rPr>
                        </m:ctrlPr>
                      </m:fPr>
                      <m:num>
                        <m:r>
                          <w:rPr>
                            <w:rFonts w:ascii="Cambria Math" w:hAnsi="Cambria Math"/>
                          </w:rPr>
                          <m:t>j!</m:t>
                        </m:r>
                      </m:num>
                      <m:den>
                        <m:r>
                          <w:rPr>
                            <w:rFonts w:ascii="Cambria Math" w:hAnsi="Cambria Math"/>
                          </w:rPr>
                          <m:t>g!(j-g)!</m:t>
                        </m:r>
                      </m:den>
                    </m:f>
                  </m:e>
                </m:nary>
                <m:r>
                  <w:rPr>
                    <w:rFonts w:ascii="Cambria Math" w:hAnsi="Cambria Math"/>
                  </w:rPr>
                  <m:t>(p(1+</m:t>
                </m:r>
                <m:f>
                  <m:fPr>
                    <m:ctrlPr>
                      <w:rPr>
                        <w:rFonts w:ascii="Cambria Math" w:hAnsi="Cambria Math"/>
                      </w:rPr>
                    </m:ctrlPr>
                  </m:fPr>
                  <m:num>
                    <m:r>
                      <w:rPr>
                        <w:rFonts w:ascii="Cambria Math" w:hAnsi="Cambria Math"/>
                      </w:rPr>
                      <m:t>αR</m:t>
                    </m:r>
                  </m:num>
                  <m:den>
                    <m:r>
                      <w:rPr>
                        <w:rFonts w:ascii="Cambria Math" w:hAnsi="Cambria Math"/>
                      </w:rPr>
                      <m:t>k</m:t>
                    </m:r>
                  </m:den>
                </m:f>
                <m:sSup>
                  <m:sSupPr>
                    <m:ctrlPr>
                      <w:rPr>
                        <w:rFonts w:ascii="Cambria Math" w:hAnsi="Cambria Math"/>
                      </w:rPr>
                    </m:ctrlPr>
                  </m:sSupPr>
                  <m:e>
                    <m:r>
                      <w:rPr>
                        <w:rFonts w:ascii="Cambria Math" w:hAnsi="Cambria Math"/>
                      </w:rPr>
                      <m:t>)</m:t>
                    </m:r>
                  </m:e>
                  <m:sup>
                    <m:r>
                      <w:rPr>
                        <w:rFonts w:ascii="Cambria Math" w:hAnsi="Cambria Math"/>
                      </w:rPr>
                      <m:t>-k</m:t>
                    </m:r>
                  </m:sup>
                </m:sSup>
                <m:sSup>
                  <m:sSupPr>
                    <m:ctrlPr>
                      <w:rPr>
                        <w:rFonts w:ascii="Cambria Math" w:hAnsi="Cambria Math"/>
                      </w:rPr>
                    </m:ctrlPr>
                  </m:sSupPr>
                  <m:e>
                    <m:r>
                      <w:rPr>
                        <w:rFonts w:ascii="Cambria Math" w:hAnsi="Cambria Math"/>
                      </w:rPr>
                      <m:t>)</m:t>
                    </m:r>
                  </m:e>
                  <m:sup>
                    <m:r>
                      <w:rPr>
                        <w:rFonts w:ascii="Cambria Math" w:hAnsi="Cambria Math"/>
                      </w:rPr>
                      <m:t>g</m:t>
                    </m:r>
                  </m:sup>
                </m:sSup>
                <m:r>
                  <w:rPr>
                    <w:rFonts w:ascii="Cambria Math" w:hAnsi="Cambria Math"/>
                  </w:rPr>
                  <m:t>((1-p)(1+</m:t>
                </m:r>
                <m:f>
                  <m:fPr>
                    <m:ctrlPr>
                      <w:rPr>
                        <w:rFonts w:ascii="Cambria Math" w:hAnsi="Cambria Math"/>
                      </w:rPr>
                    </m:ctrlPr>
                  </m:fPr>
                  <m:num>
                    <m:r>
                      <w:rPr>
                        <w:rFonts w:ascii="Cambria Math" w:hAnsi="Cambria Math"/>
                      </w:rPr>
                      <m:t>R</m:t>
                    </m:r>
                  </m:num>
                  <m:den>
                    <m:r>
                      <w:rPr>
                        <w:rFonts w:ascii="Cambria Math" w:hAnsi="Cambria Math"/>
                      </w:rPr>
                      <m:t>k</m:t>
                    </m:r>
                  </m:den>
                </m:f>
                <m:sSup>
                  <m:sSupPr>
                    <m:ctrlPr>
                      <w:rPr>
                        <w:rFonts w:ascii="Cambria Math" w:hAnsi="Cambria Math"/>
                      </w:rPr>
                    </m:ctrlPr>
                  </m:sSupPr>
                  <m:e>
                    <m:r>
                      <w:rPr>
                        <w:rFonts w:ascii="Cambria Math" w:hAnsi="Cambria Math"/>
                      </w:rPr>
                      <m:t>)</m:t>
                    </m:r>
                  </m:e>
                  <m:sup>
                    <m:r>
                      <w:rPr>
                        <w:rFonts w:ascii="Cambria Math" w:hAnsi="Cambria Math"/>
                      </w:rPr>
                      <m:t>-k</m:t>
                    </m:r>
                  </m:sup>
                </m:sSup>
                <m:sSup>
                  <m:sSupPr>
                    <m:ctrlPr>
                      <w:rPr>
                        <w:rFonts w:ascii="Cambria Math" w:hAnsi="Cambria Math"/>
                      </w:rPr>
                    </m:ctrlPr>
                  </m:sSupPr>
                  <m:e>
                    <m:r>
                      <w:rPr>
                        <w:rFonts w:ascii="Cambria Math" w:hAnsi="Cambria Math"/>
                      </w:rPr>
                      <m:t>)</m:t>
                    </m:r>
                  </m:e>
                  <m:sup>
                    <m:r>
                      <w:rPr>
                        <w:rFonts w:ascii="Cambria Math" w:hAnsi="Cambria Math"/>
                      </w:rPr>
                      <m:t>j-g</m:t>
                    </m:r>
                  </m:sup>
                </m:sSup>
              </m:e>
            </m:mr>
            <m:mr>
              <m:e/>
              <m:e>
                <m:nary>
                  <m:naryPr>
                    <m:chr m:val="∑"/>
                    <m:limLoc m:val="undOvr"/>
                    <m:ctrlPr>
                      <w:rPr>
                        <w:rFonts w:ascii="Cambria Math" w:hAnsi="Cambria Math"/>
                      </w:rPr>
                    </m:ctrlPr>
                  </m:naryPr>
                  <m:sub>
                    <m:r>
                      <w:rPr>
                        <w:rFonts w:ascii="Cambria Math" w:hAnsi="Cambria Math"/>
                      </w:rPr>
                      <m:t>f=0</m:t>
                    </m:r>
                  </m:sub>
                  <m:sup>
                    <m:r>
                      <w:rPr>
                        <w:rFonts w:ascii="Cambria Math" w:hAnsi="Cambria Math"/>
                      </w:rPr>
                      <m:t>j-1</m:t>
                    </m:r>
                  </m:sup>
                  <m:e>
                    <m:f>
                      <m:fPr>
                        <m:ctrlPr>
                          <w:rPr>
                            <w:rFonts w:ascii="Cambria Math" w:hAnsi="Cambria Math"/>
                          </w:rPr>
                        </m:ctrlPr>
                      </m:fPr>
                      <m:num>
                        <m:r>
                          <w:rPr>
                            <w:rFonts w:ascii="Cambria Math" w:hAnsi="Cambria Math"/>
                          </w:rPr>
                          <m:t>(j-1)!</m:t>
                        </m:r>
                      </m:num>
                      <m:den>
                        <m:r>
                          <w:rPr>
                            <w:rFonts w:ascii="Cambria Math" w:hAnsi="Cambria Math"/>
                          </w:rPr>
                          <m:t>f!(j-1-f)!</m:t>
                        </m:r>
                      </m:den>
                    </m:f>
                  </m:e>
                </m:nary>
                <m:f>
                  <m:fPr>
                    <m:ctrlPr>
                      <w:rPr>
                        <w:rFonts w:ascii="Cambria Math" w:hAnsi="Cambria Math"/>
                      </w:rPr>
                    </m:ctrlPr>
                  </m:fPr>
                  <m:num>
                    <m:r>
                      <w:rPr>
                        <w:rFonts w:ascii="Cambria Math" w:hAnsi="Cambria Math"/>
                      </w:rPr>
                      <m:t>B(kg+f,k(j-g)+j-1-f)</m:t>
                    </m:r>
                  </m:num>
                  <m:den>
                    <m:r>
                      <w:rPr>
                        <w:rFonts w:ascii="Cambria Math" w:hAnsi="Cambria Math"/>
                      </w:rPr>
                      <m:t>B(kg,k(j-g))</m:t>
                    </m:r>
                  </m:den>
                </m:f>
                <m:r>
                  <w:rPr>
                    <w:rFonts w:ascii="Cambria Math" w:hAnsi="Cambria Math"/>
                  </w:rPr>
                  <m:t>(</m:t>
                </m:r>
                <m:f>
                  <m:fPr>
                    <m:ctrlPr>
                      <w:rPr>
                        <w:rFonts w:ascii="Cambria Math" w:eastAsia="宋体" w:hAnsi="Cambria Math" w:cs="宋体"/>
                      </w:rPr>
                    </m:ctrlPr>
                  </m:fPr>
                  <m:num>
                    <m:r>
                      <w:rPr>
                        <w:rFonts w:ascii="Cambria Math" w:hAnsi="Cambria Math"/>
                      </w:rPr>
                      <m:t>αR</m:t>
                    </m:r>
                  </m:num>
                  <m:den>
                    <m:r>
                      <w:rPr>
                        <w:rFonts w:ascii="Cambria Math" w:hAnsi="Cambria Math"/>
                      </w:rPr>
                      <m:t>αR+k</m:t>
                    </m:r>
                  </m:den>
                </m:f>
                <m:sSup>
                  <m:sSupPr>
                    <m:ctrlPr>
                      <w:rPr>
                        <w:rFonts w:ascii="Cambria Math" w:hAnsi="Cambria Math"/>
                      </w:rPr>
                    </m:ctrlPr>
                  </m:sSupPr>
                  <m:e>
                    <m:r>
                      <w:rPr>
                        <w:rFonts w:ascii="Cambria Math" w:hAnsi="Cambria Math"/>
                      </w:rPr>
                      <m:t>)</m:t>
                    </m:r>
                  </m:e>
                  <m:sup>
                    <m:r>
                      <w:rPr>
                        <w:rFonts w:ascii="Cambria Math" w:hAnsi="Cambria Math"/>
                      </w:rPr>
                      <m:t>f</m:t>
                    </m:r>
                  </m:sup>
                </m:sSup>
                <m:r>
                  <w:rPr>
                    <w:rFonts w:ascii="Cambria Math" w:hAnsi="Cambria Math"/>
                  </w:rPr>
                  <m:t>(</m:t>
                </m:r>
                <m:f>
                  <m:fPr>
                    <m:ctrlPr>
                      <w:rPr>
                        <w:rFonts w:ascii="Cambria Math" w:hAnsi="Cambria Math"/>
                      </w:rPr>
                    </m:ctrlPr>
                  </m:fPr>
                  <m:num>
                    <m:r>
                      <w:rPr>
                        <w:rFonts w:ascii="Cambria Math" w:hAnsi="Cambria Math"/>
                      </w:rPr>
                      <m:t>R</m:t>
                    </m:r>
                  </m:num>
                  <m:den>
                    <m:r>
                      <w:rPr>
                        <w:rFonts w:ascii="Cambria Math" w:hAnsi="Cambria Math"/>
                      </w:rPr>
                      <m:t>R+k</m:t>
                    </m:r>
                  </m:den>
                </m:f>
                <m:sSup>
                  <m:sSupPr>
                    <m:ctrlPr>
                      <w:rPr>
                        <w:rFonts w:ascii="Cambria Math" w:hAnsi="Cambria Math"/>
                      </w:rPr>
                    </m:ctrlPr>
                  </m:sSupPr>
                  <m:e>
                    <m:r>
                      <w:rPr>
                        <w:rFonts w:ascii="Cambria Math" w:hAnsi="Cambria Math"/>
                      </w:rPr>
                      <m:t>)</m:t>
                    </m:r>
                  </m:e>
                  <m:sup>
                    <m:r>
                      <w:rPr>
                        <w:rFonts w:ascii="Cambria Math" w:hAnsi="Cambria Math"/>
                      </w:rPr>
                      <m:t>j-1-f</m:t>
                    </m:r>
                  </m:sup>
                </m:sSup>
              </m:e>
            </m:mr>
          </m:m>
        </m:oMath>
      </m:oMathPara>
    </w:p>
    <w:p w14:paraId="69E5A95F" w14:textId="77777777" w:rsidR="00690F35" w:rsidRPr="00673000" w:rsidRDefault="008B4A6C">
      <w:pPr>
        <w:pStyle w:val="FirstParagraph"/>
        <w:rPr>
          <w:rFonts w:ascii="Times New Roman" w:hAnsi="Times New Roman"/>
        </w:rPr>
      </w:pPr>
      <w:r w:rsidRPr="00673000">
        <w:rPr>
          <w:rFonts w:ascii="Times New Roman" w:hAnsi="Times New Roman"/>
        </w:rPr>
        <w:t xml:space="preserve">Assume that the </w:t>
      </w:r>
      <m:oMath>
        <m:r>
          <w:rPr>
            <w:rFonts w:ascii="Cambria Math" w:hAnsi="Cambria Math"/>
          </w:rPr>
          <m:t>j</m:t>
        </m:r>
      </m:oMath>
      <w:r w:rsidRPr="00673000">
        <w:rPr>
          <w:rFonts w:ascii="Times New Roman" w:hAnsi="Times New Roman"/>
        </w:rPr>
        <w:t xml:space="preserve">-th ordinary transmission chain has an overall size of </w:t>
      </w:r>
      <m:oMath>
        <m:sSub>
          <m:sSubPr>
            <m:ctrlPr>
              <w:rPr>
                <w:rFonts w:ascii="Cambria Math" w:hAnsi="Cambria Math"/>
              </w:rPr>
            </m:ctrlPr>
          </m:sSubPr>
          <m:e>
            <m:r>
              <w:rPr>
                <w:rFonts w:ascii="Cambria Math" w:hAnsi="Cambria Math"/>
              </w:rPr>
              <m:t>q</m:t>
            </m:r>
          </m:e>
          <m:sub>
            <m:r>
              <w:rPr>
                <w:rFonts w:ascii="Cambria Math" w:hAnsi="Cambria Math"/>
              </w:rPr>
              <m:t>j</m:t>
            </m:r>
          </m:sub>
        </m:sSub>
      </m:oMath>
      <w:r w:rsidRPr="00673000">
        <w:rPr>
          <w:rFonts w:ascii="Times New Roman" w:hAnsi="Times New Roman"/>
        </w:rPr>
        <w:t xml:space="preserve">, </w:t>
      </w:r>
      <m:oMath>
        <m:r>
          <w:rPr>
            <w:rFonts w:ascii="Cambria Math" w:hAnsi="Cambria Math"/>
          </w:rPr>
          <m:t>j=1,⋯,</m:t>
        </m:r>
        <m:sSub>
          <m:sSubPr>
            <m:ctrlPr>
              <w:rPr>
                <w:rFonts w:ascii="Cambria Math" w:hAnsi="Cambria Math"/>
              </w:rPr>
            </m:ctrlPr>
          </m:sSubPr>
          <m:e>
            <m:r>
              <w:rPr>
                <w:rFonts w:ascii="Cambria Math" w:hAnsi="Cambria Math"/>
              </w:rPr>
              <m:t>n</m:t>
            </m:r>
          </m:e>
          <m:sub>
            <m:r>
              <w:rPr>
                <w:rFonts w:ascii="Cambria Math" w:hAnsi="Cambria Math"/>
              </w:rPr>
              <m:t>II</m:t>
            </m:r>
          </m:sub>
        </m:sSub>
      </m:oMath>
      <w:r w:rsidRPr="00673000">
        <w:rPr>
          <w:rFonts w:ascii="Times New Roman" w:hAnsi="Times New Roman"/>
        </w:rPr>
        <w:t>, then the likelihood of ordinary transmission chains can be presented as,</w:t>
      </w:r>
    </w:p>
    <w:p w14:paraId="2A9FA443" w14:textId="77777777" w:rsidR="00690F35" w:rsidRPr="00673000" w:rsidRDefault="00A30043">
      <w:pPr>
        <w:pStyle w:val="a0"/>
        <w:rPr>
          <w:rFonts w:ascii="Times New Roman" w:hAnsi="Times New Roman"/>
        </w:rPr>
      </w:pPr>
      <m:oMathPara>
        <m:oMathParaPr>
          <m:jc m:val="center"/>
        </m:oMathParaPr>
        <m:oMath>
          <m:sSub>
            <m:sSubPr>
              <m:ctrlPr>
                <w:rPr>
                  <w:rFonts w:ascii="Cambria Math" w:hAnsi="Cambria Math"/>
                </w:rPr>
              </m:ctrlPr>
            </m:sSubPr>
            <m:e>
              <m:r>
                <w:rPr>
                  <w:rFonts w:ascii="Cambria Math" w:hAnsi="Cambria Math"/>
                </w:rPr>
                <m:t>L</m:t>
              </m:r>
            </m:e>
            <m:sub>
              <m:r>
                <w:rPr>
                  <w:rFonts w:ascii="Cambria Math" w:hAnsi="Cambria Math"/>
                </w:rPr>
                <m:t>II</m:t>
              </m:r>
            </m:sub>
          </m:sSub>
          <m:r>
            <w:rPr>
              <w:rFonts w:ascii="Cambria Math" w:hAnsi="Cambria Math"/>
            </w:rPr>
            <m:t>(R,k)=</m:t>
          </m:r>
          <m:nary>
            <m:naryPr>
              <m:chr m:val="∏"/>
              <m:limLoc m:val="undOvr"/>
              <m:ctrlPr>
                <w:rPr>
                  <w:rFonts w:ascii="Cambria Math" w:hAnsi="Cambria Math"/>
                </w:rPr>
              </m:ctrlPr>
            </m:naryPr>
            <m:sub>
              <m:r>
                <w:rPr>
                  <w:rFonts w:ascii="Cambria Math" w:hAnsi="Cambria Math"/>
                </w:rPr>
                <m:t>j=1</m:t>
              </m:r>
            </m:sub>
            <m:sup>
              <m:sSub>
                <m:sSubPr>
                  <m:ctrlPr>
                    <w:rPr>
                      <w:rFonts w:ascii="Cambria Math" w:hAnsi="Cambria Math"/>
                    </w:rPr>
                  </m:ctrlPr>
                </m:sSubPr>
                <m:e>
                  <m:r>
                    <w:rPr>
                      <w:rFonts w:ascii="Cambria Math" w:hAnsi="Cambria Math"/>
                    </w:rPr>
                    <m:t>n</m:t>
                  </m:r>
                </m:e>
                <m:sub>
                  <m:r>
                    <w:rPr>
                      <w:rFonts w:ascii="Cambria Math" w:hAnsi="Cambria Math"/>
                    </w:rPr>
                    <m:t>II</m:t>
                  </m:r>
                </m:sub>
              </m:sSub>
            </m:sup>
            <m:e>
              <m:sSub>
                <m:sSubPr>
                  <m:ctrlPr>
                    <w:rPr>
                      <w:rFonts w:ascii="Cambria Math" w:hAnsi="Cambria Math"/>
                    </w:rPr>
                  </m:ctrlPr>
                </m:sSubPr>
                <m:e>
                  <m:r>
                    <w:rPr>
                      <w:rFonts w:ascii="Cambria Math" w:hAnsi="Cambria Math"/>
                    </w:rPr>
                    <m:t>f</m:t>
                  </m:r>
                </m:e>
                <m:sub>
                  <m:r>
                    <w:rPr>
                      <w:rFonts w:ascii="Cambria Math" w:hAnsi="Cambria Math"/>
                    </w:rPr>
                    <m:t>2</m:t>
                  </m:r>
                </m:sub>
              </m:sSub>
            </m:e>
          </m:nary>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j</m:t>
              </m:r>
            </m:sub>
          </m:sSub>
          <m:r>
            <w:rPr>
              <w:rFonts w:ascii="Cambria Math" w:hAnsi="Cambria Math"/>
            </w:rPr>
            <m:t>;R,k)</m:t>
          </m:r>
        </m:oMath>
      </m:oMathPara>
    </w:p>
    <w:p w14:paraId="496D76C1" w14:textId="7EFC95C2" w:rsidR="00690F35" w:rsidRPr="00673000" w:rsidRDefault="008B4A6C">
      <w:pPr>
        <w:pStyle w:val="FirstParagraph"/>
        <w:rPr>
          <w:rFonts w:ascii="Times New Roman" w:hAnsi="Times New Roman"/>
        </w:rPr>
      </w:pPr>
      <w:r w:rsidRPr="00673000">
        <w:rPr>
          <w:rFonts w:ascii="Times New Roman" w:hAnsi="Times New Roman"/>
        </w:rPr>
        <w:t xml:space="preserve">Additionally, for the complex transmission chain with more than one primary cases, we can classify these clusters into two types. As to type I complex transmission chain with known number of primary cases, denoted by </w:t>
      </w:r>
      <m:oMath>
        <m:r>
          <w:rPr>
            <w:rFonts w:ascii="Cambria Math" w:hAnsi="Cambria Math"/>
          </w:rPr>
          <m:t>m</m:t>
        </m:r>
      </m:oMath>
      <w:r w:rsidRPr="00673000">
        <w:rPr>
          <w:rFonts w:ascii="Times New Roman" w:hAnsi="Times New Roman"/>
        </w:rPr>
        <w:t xml:space="preserve">. Let </w:t>
      </w:r>
      <m:oMath>
        <m:r>
          <w:rPr>
            <w:rFonts w:ascii="Cambria Math" w:hAnsi="Cambria Math"/>
          </w:rPr>
          <m:t>T</m:t>
        </m:r>
      </m:oMath>
      <w:r w:rsidRPr="00673000">
        <w:rPr>
          <w:rFonts w:ascii="Times New Roman" w:hAnsi="Times New Roman"/>
        </w:rPr>
        <w:t xml:space="preserve"> be the overall size of a complex transmission chain. According to,</w:t>
      </w:r>
      <w:hyperlink w:anchor="ref-blumberg2014">
        <w:r w:rsidRPr="00673000">
          <w:rPr>
            <w:rStyle w:val="ae"/>
            <w:rFonts w:ascii="Times New Roman" w:hAnsi="Times New Roman"/>
            <w:vertAlign w:val="superscript"/>
          </w:rPr>
          <w:t>4</w:t>
        </w:r>
      </w:hyperlink>
      <w:r w:rsidRPr="00673000">
        <w:rPr>
          <w:rFonts w:ascii="Times New Roman" w:hAnsi="Times New Roman"/>
        </w:rPr>
        <w:t xml:space="preserve"> the probability of a complex transmission chain to have an ultimate size of </w:t>
      </w:r>
      <m:oMath>
        <m:r>
          <w:rPr>
            <w:rFonts w:ascii="Cambria Math" w:hAnsi="Cambria Math"/>
          </w:rPr>
          <m:t>j</m:t>
        </m:r>
      </m:oMath>
      <w:r w:rsidRPr="00673000">
        <w:rPr>
          <w:rFonts w:ascii="Times New Roman" w:hAnsi="Times New Roman"/>
        </w:rPr>
        <w:t xml:space="preserve"> equals to </w:t>
      </w:r>
      <m:oMath>
        <m:f>
          <m:fPr>
            <m:ctrlPr>
              <w:rPr>
                <w:rFonts w:ascii="Cambria Math" w:hAnsi="Cambria Math"/>
              </w:rPr>
            </m:ctrlPr>
          </m:fPr>
          <m:num>
            <m:r>
              <w:rPr>
                <w:rFonts w:ascii="Cambria Math" w:hAnsi="Cambria Math"/>
              </w:rPr>
              <m:t>m</m:t>
            </m:r>
          </m:num>
          <m:den>
            <m:r>
              <w:rPr>
                <w:rFonts w:ascii="Cambria Math" w:hAnsi="Cambria Math"/>
              </w:rPr>
              <m:t>j</m:t>
            </m:r>
          </m:den>
        </m:f>
        <m: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(j-m)!</m:t>
            </m:r>
          </m:den>
        </m:f>
        <m:f>
          <m:fPr>
            <m:ctrlPr>
              <w:rPr>
                <w:rFonts w:ascii="Cambria Math" w:hAnsi="Cambria Math"/>
              </w:rPr>
            </m:ctrlPr>
          </m:fPr>
          <m:num>
            <m:sSup>
              <m:sSupPr>
                <m:ctrlPr>
                  <w:rPr>
                    <w:rFonts w:ascii="Cambria Math" w:hAnsi="Cambria Math"/>
                  </w:rPr>
                </m:ctrlPr>
              </m:sSupPr>
              <m:e>
                <m:r>
                  <w:rPr>
                    <w:rFonts w:ascii="Cambria Math" w:hAnsi="Cambria Math"/>
                  </w:rPr>
                  <m:t>∂</m:t>
                </m:r>
              </m:e>
              <m:sup>
                <m:r>
                  <w:rPr>
                    <w:rFonts w:ascii="Cambria Math" w:hAnsi="Cambria Math"/>
                  </w:rPr>
                  <m:t>(j-m)</m:t>
                </m:r>
              </m:sup>
            </m:sSup>
            <m:r>
              <w:rPr>
                <w:rFonts w:ascii="Cambria Math" w:hAnsi="Cambria Math"/>
              </w:rPr>
              <m:t>Q(s</m:t>
            </m:r>
            <m:sSup>
              <m:sSupPr>
                <m:ctrlPr>
                  <w:rPr>
                    <w:rFonts w:ascii="Cambria Math" w:hAnsi="Cambria Math"/>
                  </w:rPr>
                </m:ctrlPr>
              </m:sSupPr>
              <m:e>
                <m:r>
                  <w:rPr>
                    <w:rFonts w:ascii="Cambria Math" w:hAnsi="Cambria Math"/>
                  </w:rPr>
                  <m:t>)</m:t>
                </m:r>
              </m:e>
              <m:sup>
                <m:r>
                  <w:rPr>
                    <w:rFonts w:ascii="Cambria Math" w:hAnsi="Cambria Math"/>
                  </w:rPr>
                  <m:t>j</m:t>
                </m:r>
              </m:sup>
            </m:sSup>
          </m:num>
          <m:den>
            <m:r>
              <w:rPr>
                <w:rFonts w:ascii="Cambria Math" w:hAnsi="Cambria Math"/>
              </w:rPr>
              <m:t>∂</m:t>
            </m:r>
            <m:sSup>
              <m:sSupPr>
                <m:ctrlPr>
                  <w:rPr>
                    <w:rFonts w:ascii="Cambria Math" w:hAnsi="Cambria Math"/>
                  </w:rPr>
                </m:ctrlPr>
              </m:sSupPr>
              <m:e>
                <m:r>
                  <w:rPr>
                    <w:rFonts w:ascii="Cambria Math" w:hAnsi="Cambria Math"/>
                  </w:rPr>
                  <m:t>s</m:t>
                </m:r>
              </m:e>
              <m:sup>
                <m:r>
                  <w:rPr>
                    <w:rFonts w:ascii="Cambria Math" w:hAnsi="Cambria Math"/>
                  </w:rPr>
                  <m:t>(j-m)</m:t>
                </m:r>
              </m:sup>
            </m:sSup>
          </m:den>
        </m:f>
        <m:sSub>
          <m:sSubPr>
            <m:ctrlPr>
              <w:rPr>
                <w:rFonts w:ascii="Cambria Math" w:hAnsi="Cambria Math"/>
              </w:rPr>
            </m:ctrlPr>
          </m:sSubPr>
          <m:e>
            <m:r>
              <w:rPr>
                <w:rFonts w:ascii="Cambria Math" w:hAnsi="Cambria Math"/>
              </w:rPr>
              <m:t>|</m:t>
            </m:r>
          </m:e>
          <m:sub>
            <m:r>
              <w:rPr>
                <w:rFonts w:ascii="Cambria Math" w:hAnsi="Cambria Math"/>
              </w:rPr>
              <m:t>s=0</m:t>
            </m:r>
          </m:sub>
        </m:sSub>
        <m:r>
          <w:rPr>
            <w:rFonts w:ascii="Cambria Math" w:hAnsi="Cambria Math"/>
          </w:rPr>
          <m:t>)</m:t>
        </m:r>
      </m:oMath>
      <w:r w:rsidRPr="00673000">
        <w:rPr>
          <w:rFonts w:ascii="Times New Roman" w:hAnsi="Times New Roman"/>
        </w:rPr>
        <w:t xml:space="preserve">, thus the formulation of </w:t>
      </w:r>
      <m:oMath>
        <m:r>
          <w:rPr>
            <w:rFonts w:ascii="Cambria Math" w:hAnsi="Cambria Math"/>
          </w:rPr>
          <m:t>R</m:t>
        </m:r>
      </m:oMath>
      <w:r w:rsidRPr="00673000">
        <w:rPr>
          <w:rFonts w:ascii="Times New Roman" w:hAnsi="Times New Roman"/>
        </w:rPr>
        <w:t xml:space="preserve"> can be presented as follows,</w:t>
      </w:r>
    </w:p>
    <w:p w14:paraId="0771B0D8" w14:textId="3F668501" w:rsidR="00690F35" w:rsidRPr="00673000" w:rsidRDefault="00A30043">
      <w:pPr>
        <w:pStyle w:val="a0"/>
        <w:rPr>
          <w:rFonts w:ascii="Times New Roman" w:hAnsi="Times New Roman"/>
        </w:rPr>
      </w:pPr>
      <m:oMathPara>
        <m:oMathParaPr>
          <m:jc m:val="center"/>
        </m:oMathParaPr>
        <m:oMath>
          <m:m>
            <m:mPr>
              <m:plcHide m:val="1"/>
              <m:mcs>
                <m:mc>
                  <m:mcPr>
                    <m:count m:val="1"/>
                    <m:mcJc m:val="right"/>
                  </m:mcPr>
                </m:mc>
                <m:mc>
                  <m:mcPr>
                    <m:count m:val="1"/>
                    <m:mcJc m:val="left"/>
                  </m:mcPr>
                </m:mc>
              </m:mcs>
              <m:ctrlPr>
                <w:rPr>
                  <w:rFonts w:ascii="Cambria Math" w:hAnsi="Cambria Math"/>
                </w:rPr>
              </m:ctrlPr>
            </m:mPr>
            <m:mr>
              <m:e>
                <m:r>
                  <w:rPr>
                    <w:rFonts w:ascii="Cambria Math" w:hAnsi="Cambria Math"/>
                  </w:rPr>
                  <m:t>P(T=j)=</m:t>
                </m:r>
              </m:e>
              <m:e>
                <m:sSub>
                  <m:sSubPr>
                    <m:ctrlPr>
                      <w:rPr>
                        <w:rFonts w:ascii="Cambria Math" w:hAnsi="Cambria Math"/>
                      </w:rPr>
                    </m:ctrlPr>
                  </m:sSubPr>
                  <m:e>
                    <m:r>
                      <w:rPr>
                        <w:rFonts w:ascii="Cambria Math" w:hAnsi="Cambria Math"/>
                      </w:rPr>
                      <m:t>f</m:t>
                    </m:r>
                  </m:e>
                  <m:sub>
                    <m:r>
                      <w:rPr>
                        <w:rFonts w:ascii="Cambria Math" w:hAnsi="Cambria Math"/>
                      </w:rPr>
                      <m:t>3</m:t>
                    </m:r>
                  </m:sub>
                </m:sSub>
                <m:r>
                  <w:rPr>
                    <w:rFonts w:ascii="Cambria Math" w:hAnsi="Cambria Math"/>
                  </w:rPr>
                  <m:t>(j,m;R,k)=</m:t>
                </m:r>
                <m:f>
                  <m:fPr>
                    <m:ctrlPr>
                      <w:rPr>
                        <w:rFonts w:ascii="Cambria Math" w:hAnsi="Cambria Math"/>
                      </w:rPr>
                    </m:ctrlPr>
                  </m:fPr>
                  <m:num>
                    <m:r>
                      <w:rPr>
                        <w:rFonts w:ascii="Cambria Math" w:hAnsi="Cambria Math"/>
                      </w:rPr>
                      <m:t>m</m:t>
                    </m:r>
                  </m:num>
                  <m:den>
                    <m:r>
                      <w:rPr>
                        <w:rFonts w:ascii="Cambria Math" w:hAnsi="Cambria Math"/>
                      </w:rPr>
                      <m:t>j</m:t>
                    </m:r>
                  </m:den>
                </m:f>
                <m:f>
                  <m:fPr>
                    <m:ctrlPr>
                      <w:rPr>
                        <w:rFonts w:ascii="Cambria Math" w:hAnsi="Cambria Math"/>
                      </w:rPr>
                    </m:ctrlPr>
                  </m:fPr>
                  <m:num>
                    <m:r>
                      <w:rPr>
                        <w:rFonts w:ascii="Cambria Math" w:hAnsi="Cambria Math"/>
                      </w:rPr>
                      <m:t>1</m:t>
                    </m:r>
                  </m:num>
                  <m:den>
                    <m:r>
                      <w:rPr>
                        <w:rFonts w:ascii="Cambria Math" w:hAnsi="Cambria Math"/>
                      </w:rPr>
                      <m:t>(j-m)!</m:t>
                    </m:r>
                  </m:den>
                </m:f>
                <m:f>
                  <m:fPr>
                    <m:ctrlPr>
                      <w:rPr>
                        <w:rFonts w:ascii="Cambria Math" w:hAnsi="Cambria Math"/>
                      </w:rPr>
                    </m:ctrlPr>
                  </m:fPr>
                  <m:num>
                    <m:sSup>
                      <m:sSupPr>
                        <m:ctrlPr>
                          <w:rPr>
                            <w:rFonts w:ascii="Cambria Math" w:hAnsi="Cambria Math"/>
                          </w:rPr>
                        </m:ctrlPr>
                      </m:sSupPr>
                      <m:e>
                        <m:r>
                          <w:rPr>
                            <w:rFonts w:ascii="Cambria Math" w:hAnsi="Cambria Math"/>
                          </w:rPr>
                          <m:t>∂</m:t>
                        </m:r>
                      </m:e>
                      <m:sup>
                        <m:r>
                          <w:rPr>
                            <w:rFonts w:ascii="Cambria Math" w:hAnsi="Cambria Math"/>
                          </w:rPr>
                          <m:t>(j-m)</m:t>
                        </m:r>
                      </m:sup>
                    </m:sSup>
                    <m:r>
                      <w:rPr>
                        <w:rFonts w:ascii="Cambria Math" w:hAnsi="Cambria Math"/>
                      </w:rPr>
                      <m:t>Q(s</m:t>
                    </m:r>
                    <m:sSup>
                      <m:sSupPr>
                        <m:ctrlPr>
                          <w:rPr>
                            <w:rFonts w:ascii="Cambria Math" w:hAnsi="Cambria Math"/>
                          </w:rPr>
                        </m:ctrlPr>
                      </m:sSupPr>
                      <m:e>
                        <m:r>
                          <w:rPr>
                            <w:rFonts w:ascii="Cambria Math" w:hAnsi="Cambria Math"/>
                          </w:rPr>
                          <m:t>)</m:t>
                        </m:r>
                      </m:e>
                      <m:sup>
                        <m:r>
                          <w:rPr>
                            <w:rFonts w:ascii="Cambria Math" w:hAnsi="Cambria Math"/>
                          </w:rPr>
                          <m:t>j</m:t>
                        </m:r>
                      </m:sup>
                    </m:sSup>
                  </m:num>
                  <m:den>
                    <m:r>
                      <w:rPr>
                        <w:rFonts w:ascii="Cambria Math" w:hAnsi="Cambria Math"/>
                      </w:rPr>
                      <m:t>∂</m:t>
                    </m:r>
                    <m:sSup>
                      <m:sSupPr>
                        <m:ctrlPr>
                          <w:rPr>
                            <w:rFonts w:ascii="Cambria Math" w:hAnsi="Cambria Math"/>
                          </w:rPr>
                        </m:ctrlPr>
                      </m:sSupPr>
                      <m:e>
                        <m:r>
                          <w:rPr>
                            <w:rFonts w:ascii="Cambria Math" w:hAnsi="Cambria Math"/>
                          </w:rPr>
                          <m:t>s</m:t>
                        </m:r>
                      </m:e>
                      <m:sup>
                        <m:r>
                          <w:rPr>
                            <w:rFonts w:ascii="Cambria Math" w:hAnsi="Cambria Math"/>
                          </w:rPr>
                          <m:t>(j-m)</m:t>
                        </m:r>
                      </m:sup>
                    </m:sSup>
                  </m:den>
                </m:f>
                <m:sSub>
                  <m:sSubPr>
                    <m:ctrlPr>
                      <w:rPr>
                        <w:rFonts w:ascii="Cambria Math" w:hAnsi="Cambria Math"/>
                      </w:rPr>
                    </m:ctrlPr>
                  </m:sSubPr>
                  <m:e>
                    <m:r>
                      <w:rPr>
                        <w:rFonts w:ascii="Cambria Math" w:hAnsi="Cambria Math"/>
                      </w:rPr>
                      <m:t>|</m:t>
                    </m:r>
                  </m:e>
                  <m:sub>
                    <m:r>
                      <w:rPr>
                        <w:rFonts w:ascii="Cambria Math" w:hAnsi="Cambria Math"/>
                      </w:rPr>
                      <m:t>s=0</m:t>
                    </m:r>
                  </m:sub>
                </m:sSub>
              </m:e>
            </m:mr>
            <m:mr>
              <m:e>
                <m:r>
                  <w:rPr>
                    <w:rFonts w:ascii="Cambria Math" w:hAnsi="Cambria Math"/>
                  </w:rPr>
                  <m:t>=</m:t>
                </m:r>
              </m:e>
              <m:e>
                <m:f>
                  <m:fPr>
                    <m:ctrlPr>
                      <w:rPr>
                        <w:rFonts w:ascii="Cambria Math" w:hAnsi="Cambria Math"/>
                      </w:rPr>
                    </m:ctrlPr>
                  </m:fPr>
                  <m:num>
                    <m:r>
                      <w:rPr>
                        <w:rFonts w:ascii="Cambria Math" w:hAnsi="Cambria Math"/>
                      </w:rPr>
                      <m:t>m</m:t>
                    </m:r>
                  </m:num>
                  <m:den>
                    <m:r>
                      <w:rPr>
                        <w:rFonts w:ascii="Cambria Math" w:hAnsi="Cambria Math"/>
                      </w:rPr>
                      <m:t>j</m:t>
                    </m:r>
                  </m:den>
                </m:f>
                <m:f>
                  <m:fPr>
                    <m:ctrlPr>
                      <w:rPr>
                        <w:rFonts w:ascii="Cambria Math" w:hAnsi="Cambria Math"/>
                      </w:rPr>
                    </m:ctrlPr>
                  </m:fPr>
                  <m:num>
                    <m:r>
                      <w:rPr>
                        <w:rFonts w:ascii="Cambria Math" w:hAnsi="Cambria Math"/>
                      </w:rPr>
                      <m:t>Γ(kj+j-1)</m:t>
                    </m:r>
                  </m:num>
                  <m:den>
                    <m:r>
                      <w:rPr>
                        <w:rFonts w:ascii="Cambria Math" w:hAnsi="Cambria Math"/>
                      </w:rPr>
                      <m:t>Γ(kj)</m:t>
                    </m:r>
                  </m:den>
                </m:f>
                <m:nary>
                  <m:naryPr>
                    <m:chr m:val="∑"/>
                    <m:limLoc m:val="undOvr"/>
                    <m:ctrlPr>
                      <w:rPr>
                        <w:rFonts w:ascii="Cambria Math" w:hAnsi="Cambria Math"/>
                      </w:rPr>
                    </m:ctrlPr>
                  </m:naryPr>
                  <m:sub>
                    <m:r>
                      <w:rPr>
                        <w:rFonts w:ascii="Cambria Math" w:hAnsi="Cambria Math"/>
                      </w:rPr>
                      <m:t>g=0</m:t>
                    </m:r>
                  </m:sub>
                  <m:sup>
                    <m:r>
                      <w:rPr>
                        <w:rFonts w:ascii="Cambria Math" w:hAnsi="Cambria Math"/>
                      </w:rPr>
                      <m:t>j</m:t>
                    </m:r>
                  </m:sup>
                  <m:e>
                    <m:f>
                      <m:fPr>
                        <m:ctrlPr>
                          <w:rPr>
                            <w:rFonts w:ascii="Cambria Math" w:hAnsi="Cambria Math"/>
                          </w:rPr>
                        </m:ctrlPr>
                      </m:fPr>
                      <m:num>
                        <m:r>
                          <w:rPr>
                            <w:rFonts w:ascii="Cambria Math" w:hAnsi="Cambria Math"/>
                          </w:rPr>
                          <m:t>j!</m:t>
                        </m:r>
                      </m:num>
                      <m:den>
                        <m:r>
                          <w:rPr>
                            <w:rFonts w:ascii="Cambria Math" w:hAnsi="Cambria Math"/>
                          </w:rPr>
                          <m:t>g!(j-g)!</m:t>
                        </m:r>
                      </m:den>
                    </m:f>
                  </m:e>
                </m:nary>
                <m:r>
                  <w:rPr>
                    <w:rFonts w:ascii="Cambria Math" w:hAnsi="Cambria Math"/>
                  </w:rPr>
                  <m:t>(p(1+</m:t>
                </m:r>
                <m:f>
                  <m:fPr>
                    <m:ctrlPr>
                      <w:rPr>
                        <w:rFonts w:ascii="Cambria Math" w:hAnsi="Cambria Math"/>
                      </w:rPr>
                    </m:ctrlPr>
                  </m:fPr>
                  <m:num>
                    <m:r>
                      <w:rPr>
                        <w:rFonts w:ascii="Cambria Math" w:hAnsi="Cambria Math"/>
                      </w:rPr>
                      <m:t>αR</m:t>
                    </m:r>
                  </m:num>
                  <m:den>
                    <m:r>
                      <w:rPr>
                        <w:rFonts w:ascii="Cambria Math" w:hAnsi="Cambria Math"/>
                      </w:rPr>
                      <m:t>k</m:t>
                    </m:r>
                  </m:den>
                </m:f>
                <m:sSup>
                  <m:sSupPr>
                    <m:ctrlPr>
                      <w:rPr>
                        <w:rFonts w:ascii="Cambria Math" w:hAnsi="Cambria Math"/>
                      </w:rPr>
                    </m:ctrlPr>
                  </m:sSupPr>
                  <m:e>
                    <m:r>
                      <w:rPr>
                        <w:rFonts w:ascii="Cambria Math" w:hAnsi="Cambria Math"/>
                      </w:rPr>
                      <m:t>)</m:t>
                    </m:r>
                  </m:e>
                  <m:sup>
                    <m:r>
                      <w:rPr>
                        <w:rFonts w:ascii="Cambria Math" w:hAnsi="Cambria Math"/>
                      </w:rPr>
                      <m:t>-k</m:t>
                    </m:r>
                  </m:sup>
                </m:sSup>
                <m:sSup>
                  <m:sSupPr>
                    <m:ctrlPr>
                      <w:rPr>
                        <w:rFonts w:ascii="Cambria Math" w:hAnsi="Cambria Math"/>
                      </w:rPr>
                    </m:ctrlPr>
                  </m:sSupPr>
                  <m:e>
                    <m:r>
                      <w:rPr>
                        <w:rFonts w:ascii="Cambria Math" w:hAnsi="Cambria Math"/>
                      </w:rPr>
                      <m:t>)</m:t>
                    </m:r>
                  </m:e>
                  <m:sup>
                    <m:r>
                      <w:rPr>
                        <w:rFonts w:ascii="Cambria Math" w:hAnsi="Cambria Math"/>
                      </w:rPr>
                      <m:t>g</m:t>
                    </m:r>
                  </m:sup>
                </m:sSup>
                <m:r>
                  <w:rPr>
                    <w:rFonts w:ascii="Cambria Math" w:hAnsi="Cambria Math"/>
                  </w:rPr>
                  <m:t>((1-p)(1+</m:t>
                </m:r>
                <m:f>
                  <m:fPr>
                    <m:ctrlPr>
                      <w:rPr>
                        <w:rFonts w:ascii="Cambria Math" w:hAnsi="Cambria Math"/>
                      </w:rPr>
                    </m:ctrlPr>
                  </m:fPr>
                  <m:num>
                    <m:r>
                      <w:rPr>
                        <w:rFonts w:ascii="Cambria Math" w:hAnsi="Cambria Math"/>
                      </w:rPr>
                      <m:t>R</m:t>
                    </m:r>
                  </m:num>
                  <m:den>
                    <m:r>
                      <w:rPr>
                        <w:rFonts w:ascii="Cambria Math" w:hAnsi="Cambria Math"/>
                      </w:rPr>
                      <m:t>k</m:t>
                    </m:r>
                  </m:den>
                </m:f>
                <m:sSup>
                  <m:sSupPr>
                    <m:ctrlPr>
                      <w:rPr>
                        <w:rFonts w:ascii="Cambria Math" w:hAnsi="Cambria Math"/>
                      </w:rPr>
                    </m:ctrlPr>
                  </m:sSupPr>
                  <m:e>
                    <m:r>
                      <w:rPr>
                        <w:rFonts w:ascii="Cambria Math" w:hAnsi="Cambria Math"/>
                      </w:rPr>
                      <m:t>)</m:t>
                    </m:r>
                  </m:e>
                  <m:sup>
                    <m:r>
                      <w:rPr>
                        <w:rFonts w:ascii="Cambria Math" w:hAnsi="Cambria Math"/>
                      </w:rPr>
                      <m:t>-k</m:t>
                    </m:r>
                  </m:sup>
                </m:sSup>
                <m:sSup>
                  <m:sSupPr>
                    <m:ctrlPr>
                      <w:rPr>
                        <w:rFonts w:ascii="Cambria Math" w:hAnsi="Cambria Math"/>
                      </w:rPr>
                    </m:ctrlPr>
                  </m:sSupPr>
                  <m:e>
                    <m:r>
                      <w:rPr>
                        <w:rFonts w:ascii="Cambria Math" w:hAnsi="Cambria Math"/>
                      </w:rPr>
                      <m:t>)</m:t>
                    </m:r>
                  </m:e>
                  <m:sup>
                    <m:r>
                      <w:rPr>
                        <w:rFonts w:ascii="Cambria Math" w:hAnsi="Cambria Math"/>
                      </w:rPr>
                      <m:t>j-g</m:t>
                    </m:r>
                  </m:sup>
                </m:sSup>
              </m:e>
            </m:mr>
            <m:mr>
              <m:e/>
              <m:e>
                <m:nary>
                  <m:naryPr>
                    <m:chr m:val="∑"/>
                    <m:limLoc m:val="undOvr"/>
                    <m:ctrlPr>
                      <w:rPr>
                        <w:rFonts w:ascii="Cambria Math" w:hAnsi="Cambria Math"/>
                      </w:rPr>
                    </m:ctrlPr>
                  </m:naryPr>
                  <m:sub>
                    <m:r>
                      <w:rPr>
                        <w:rFonts w:ascii="Cambria Math" w:hAnsi="Cambria Math"/>
                      </w:rPr>
                      <m:t>f=0</m:t>
                    </m:r>
                  </m:sub>
                  <m:sup>
                    <m:r>
                      <w:rPr>
                        <w:rFonts w:ascii="Cambria Math" w:hAnsi="Cambria Math"/>
                      </w:rPr>
                      <m:t>j-m</m:t>
                    </m:r>
                  </m:sup>
                  <m:e>
                    <m:f>
                      <m:fPr>
                        <m:ctrlPr>
                          <w:rPr>
                            <w:rFonts w:ascii="Cambria Math" w:hAnsi="Cambria Math"/>
                          </w:rPr>
                        </m:ctrlPr>
                      </m:fPr>
                      <m:num>
                        <m:r>
                          <w:rPr>
                            <w:rFonts w:ascii="Cambria Math" w:hAnsi="Cambria Math"/>
                          </w:rPr>
                          <m:t>1</m:t>
                        </m:r>
                      </m:num>
                      <m:den>
                        <m:r>
                          <w:rPr>
                            <w:rFonts w:ascii="Cambria Math" w:hAnsi="Cambria Math"/>
                          </w:rPr>
                          <m:t>f!(j-m-f)!</m:t>
                        </m:r>
                      </m:den>
                    </m:f>
                  </m:e>
                </m:nary>
                <m:f>
                  <m:fPr>
                    <m:ctrlPr>
                      <w:rPr>
                        <w:rFonts w:ascii="Cambria Math" w:hAnsi="Cambria Math"/>
                      </w:rPr>
                    </m:ctrlPr>
                  </m:fPr>
                  <m:num>
                    <m:r>
                      <w:rPr>
                        <w:rFonts w:ascii="Cambria Math" w:hAnsi="Cambria Math"/>
                      </w:rPr>
                      <m:t>B(kg+f,k(j-g)+j-m-f)</m:t>
                    </m:r>
                  </m:num>
                  <m:den>
                    <m:r>
                      <w:rPr>
                        <w:rFonts w:ascii="Cambria Math" w:hAnsi="Cambria Math"/>
                      </w:rPr>
                      <m:t>B(kg,k(j-g))</m:t>
                    </m:r>
                  </m:den>
                </m:f>
                <m:r>
                  <w:rPr>
                    <w:rFonts w:ascii="Cambria Math" w:hAnsi="Cambria Math"/>
                  </w:rPr>
                  <m:t>(</m:t>
                </m:r>
                <m:f>
                  <m:fPr>
                    <m:ctrlPr>
                      <w:rPr>
                        <w:rFonts w:ascii="Cambria Math" w:hAnsi="Cambria Math"/>
                      </w:rPr>
                    </m:ctrlPr>
                  </m:fPr>
                  <m:num>
                    <m:r>
                      <w:rPr>
                        <w:rFonts w:ascii="Cambria Math" w:hAnsi="Cambria Math"/>
                      </w:rPr>
                      <m:t>αR</m:t>
                    </m:r>
                  </m:num>
                  <m:den>
                    <m:r>
                      <w:rPr>
                        <w:rFonts w:ascii="Cambria Math" w:hAnsi="Cambria Math"/>
                      </w:rPr>
                      <m:t>αR+k</m:t>
                    </m:r>
                  </m:den>
                </m:f>
                <m:sSup>
                  <m:sSupPr>
                    <m:ctrlPr>
                      <w:rPr>
                        <w:rFonts w:ascii="Cambria Math" w:hAnsi="Cambria Math"/>
                      </w:rPr>
                    </m:ctrlPr>
                  </m:sSupPr>
                  <m:e>
                    <m:r>
                      <w:rPr>
                        <w:rFonts w:ascii="Cambria Math" w:hAnsi="Cambria Math"/>
                      </w:rPr>
                      <m:t>)</m:t>
                    </m:r>
                  </m:e>
                  <m:sup>
                    <m:r>
                      <w:rPr>
                        <w:rFonts w:ascii="Cambria Math" w:hAnsi="Cambria Math"/>
                      </w:rPr>
                      <m:t>f</m:t>
                    </m:r>
                  </m:sup>
                </m:sSup>
                <m:r>
                  <w:rPr>
                    <w:rFonts w:ascii="Cambria Math" w:hAnsi="Cambria Math"/>
                  </w:rPr>
                  <m:t>(</m:t>
                </m:r>
                <m:f>
                  <m:fPr>
                    <m:ctrlPr>
                      <w:rPr>
                        <w:rFonts w:ascii="Cambria Math" w:hAnsi="Cambria Math"/>
                      </w:rPr>
                    </m:ctrlPr>
                  </m:fPr>
                  <m:num>
                    <m:r>
                      <w:rPr>
                        <w:rFonts w:ascii="Cambria Math" w:hAnsi="Cambria Math"/>
                      </w:rPr>
                      <m:t>R</m:t>
                    </m:r>
                  </m:num>
                  <m:den>
                    <m:r>
                      <w:rPr>
                        <w:rFonts w:ascii="Cambria Math" w:hAnsi="Cambria Math"/>
                      </w:rPr>
                      <m:t>R+k</m:t>
                    </m:r>
                  </m:den>
                </m:f>
                <m:sSup>
                  <m:sSupPr>
                    <m:ctrlPr>
                      <w:rPr>
                        <w:rFonts w:ascii="Cambria Math" w:hAnsi="Cambria Math"/>
                      </w:rPr>
                    </m:ctrlPr>
                  </m:sSupPr>
                  <m:e>
                    <m:r>
                      <w:rPr>
                        <w:rFonts w:ascii="Cambria Math" w:hAnsi="Cambria Math"/>
                      </w:rPr>
                      <m:t>)</m:t>
                    </m:r>
                  </m:e>
                  <m:sup>
                    <m:r>
                      <w:rPr>
                        <w:rFonts w:ascii="Cambria Math" w:hAnsi="Cambria Math"/>
                      </w:rPr>
                      <m:t>j-m-f</m:t>
                    </m:r>
                  </m:sup>
                </m:sSup>
              </m:e>
            </m:mr>
          </m:m>
        </m:oMath>
      </m:oMathPara>
    </w:p>
    <w:p w14:paraId="2F9A0312" w14:textId="77777777" w:rsidR="00690F35" w:rsidRPr="00673000" w:rsidRDefault="008B4A6C">
      <w:pPr>
        <w:pStyle w:val="FirstParagraph"/>
        <w:rPr>
          <w:rFonts w:ascii="Times New Roman" w:hAnsi="Times New Roman"/>
        </w:rPr>
      </w:pPr>
      <w:r w:rsidRPr="00673000">
        <w:rPr>
          <w:rFonts w:ascii="Times New Roman" w:hAnsi="Times New Roman"/>
        </w:rPr>
        <w:t xml:space="preserve">As to type II complex transmission chain with unknown number of primary cases, we assume all the primary cases are transmitted by an external case. Therefore, the type II complex transmission chain with the external case comprise a complete ordinary transmission chain with only one primary case and overall size as </w:t>
      </w:r>
      <m:oMath>
        <m:r>
          <w:rPr>
            <w:rFonts w:ascii="Cambria Math" w:hAnsi="Cambria Math"/>
          </w:rPr>
          <m:t>j+1</m:t>
        </m:r>
      </m:oMath>
      <w:r w:rsidRPr="00673000">
        <w:rPr>
          <w:rFonts w:ascii="Times New Roman" w:hAnsi="Times New Roman"/>
        </w:rPr>
        <w:t xml:space="preserve">. Let </w:t>
      </w:r>
      <m:oMath>
        <m:r>
          <w:rPr>
            <w:rFonts w:ascii="Cambria Math" w:hAnsi="Cambria Math"/>
          </w:rPr>
          <m:t>δ</m:t>
        </m:r>
      </m:oMath>
      <w:r w:rsidRPr="00673000">
        <w:rPr>
          <w:rFonts w:ascii="Times New Roman" w:hAnsi="Times New Roman"/>
        </w:rPr>
        <w:t xml:space="preserve"> denote the status of complex transmission chain to belong to type I or not, then</w:t>
      </w:r>
    </w:p>
    <w:p w14:paraId="427490A5" w14:textId="3A1AFEAD" w:rsidR="00690F35" w:rsidRPr="00673000" w:rsidRDefault="008B4A6C">
      <w:pPr>
        <w:pStyle w:val="a0"/>
        <w:rPr>
          <w:rFonts w:ascii="Times New Roman" w:hAnsi="Times New Roman"/>
        </w:rPr>
      </w:pPr>
      <m:oMathPara>
        <m:oMathParaPr>
          <m:jc m:val="center"/>
        </m:oMathParaPr>
        <m:oMath>
          <m:r>
            <w:rPr>
              <w:rFonts w:ascii="Cambria Math" w:hAnsi="Cambria Math"/>
            </w:rPr>
            <m:t>P(T=j)=δ</m:t>
          </m:r>
          <m:sSub>
            <m:sSubPr>
              <m:ctrlPr>
                <w:rPr>
                  <w:rFonts w:ascii="Cambria Math" w:hAnsi="Cambria Math"/>
                </w:rPr>
              </m:ctrlPr>
            </m:sSubPr>
            <m:e>
              <m:r>
                <w:rPr>
                  <w:rFonts w:ascii="Cambria Math" w:hAnsi="Cambria Math"/>
                </w:rPr>
                <m:t>f</m:t>
              </m:r>
            </m:e>
            <m:sub>
              <m:r>
                <w:rPr>
                  <w:rFonts w:ascii="Cambria Math" w:hAnsi="Cambria Math"/>
                </w:rPr>
                <m:t>3</m:t>
              </m:r>
            </m:sub>
          </m:sSub>
          <m:r>
            <w:rPr>
              <w:rFonts w:ascii="Cambria Math" w:hAnsi="Cambria Math"/>
            </w:rPr>
            <m:t>(j,m;R,k)+(1-δ)</m:t>
          </m:r>
          <m:sSub>
            <m:sSubPr>
              <m:ctrlPr>
                <w:rPr>
                  <w:rFonts w:ascii="Cambria Math" w:hAnsi="Cambria Math"/>
                </w:rPr>
              </m:ctrlPr>
            </m:sSubPr>
            <m:e>
              <m:r>
                <w:rPr>
                  <w:rFonts w:ascii="Cambria Math" w:hAnsi="Cambria Math"/>
                </w:rPr>
                <m:t>f</m:t>
              </m:r>
            </m:e>
            <m:sub>
              <m:r>
                <w:rPr>
                  <w:rFonts w:ascii="Cambria Math" w:hAnsi="Cambria Math"/>
                </w:rPr>
                <m:t>2</m:t>
              </m:r>
            </m:sub>
          </m:sSub>
          <m:r>
            <w:rPr>
              <w:rFonts w:ascii="Cambria Math" w:hAnsi="Cambria Math"/>
            </w:rPr>
            <m:t>(j+1;R,k)</m:t>
          </m:r>
        </m:oMath>
      </m:oMathPara>
    </w:p>
    <w:p w14:paraId="0CDDF23F" w14:textId="77777777" w:rsidR="00690F35" w:rsidRPr="00673000" w:rsidRDefault="008B4A6C">
      <w:pPr>
        <w:pStyle w:val="FirstParagraph"/>
        <w:rPr>
          <w:rFonts w:ascii="Times New Roman" w:hAnsi="Times New Roman"/>
        </w:rPr>
      </w:pPr>
      <w:r w:rsidRPr="00673000">
        <w:rPr>
          <w:rFonts w:ascii="Times New Roman" w:hAnsi="Times New Roman"/>
        </w:rPr>
        <w:t xml:space="preserve">Assume that the </w:t>
      </w:r>
      <m:oMath>
        <m:r>
          <w:rPr>
            <w:rFonts w:ascii="Cambria Math" w:hAnsi="Cambria Math"/>
          </w:rPr>
          <m:t>t</m:t>
        </m:r>
      </m:oMath>
      <w:r w:rsidRPr="00673000">
        <w:rPr>
          <w:rFonts w:ascii="Times New Roman" w:hAnsi="Times New Roman"/>
        </w:rPr>
        <w:t xml:space="preserve">-th complex transmission chain has an overall size of </w:t>
      </w:r>
      <m:oMath>
        <m:sSub>
          <m:sSubPr>
            <m:ctrlPr>
              <w:rPr>
                <w:rFonts w:ascii="Cambria Math" w:hAnsi="Cambria Math"/>
              </w:rPr>
            </m:ctrlPr>
          </m:sSubPr>
          <m:e>
            <m:r>
              <w:rPr>
                <w:rFonts w:ascii="Cambria Math" w:hAnsi="Cambria Math"/>
              </w:rPr>
              <m:t>r</m:t>
            </m:r>
          </m:e>
          <m:sub>
            <m:r>
              <w:rPr>
                <w:rFonts w:ascii="Cambria Math" w:hAnsi="Cambria Math"/>
              </w:rPr>
              <m:t>t</m:t>
            </m:r>
          </m:sub>
        </m:sSub>
      </m:oMath>
      <w:r w:rsidRPr="00673000">
        <w:rPr>
          <w:rFonts w:ascii="Times New Roman" w:hAnsi="Times New Roman"/>
        </w:rPr>
        <w:t xml:space="preserve">, </w:t>
      </w:r>
      <m:oMath>
        <m:r>
          <w:rPr>
            <w:rFonts w:ascii="Cambria Math" w:hAnsi="Cambria Math"/>
          </w:rPr>
          <m:t>t=1,⋯,</m:t>
        </m:r>
        <m:sSub>
          <m:sSubPr>
            <m:ctrlPr>
              <w:rPr>
                <w:rFonts w:ascii="Cambria Math" w:hAnsi="Cambria Math"/>
              </w:rPr>
            </m:ctrlPr>
          </m:sSubPr>
          <m:e>
            <m:r>
              <w:rPr>
                <w:rFonts w:ascii="Cambria Math" w:hAnsi="Cambria Math"/>
              </w:rPr>
              <m:t>n</m:t>
            </m:r>
          </m:e>
          <m:sub>
            <m:r>
              <w:rPr>
                <w:rFonts w:ascii="Cambria Math" w:hAnsi="Cambria Math"/>
              </w:rPr>
              <m:t>III</m:t>
            </m:r>
          </m:sub>
        </m:sSub>
      </m:oMath>
      <w:r w:rsidRPr="00673000">
        <w:rPr>
          <w:rFonts w:ascii="Times New Roman" w:hAnsi="Times New Roman"/>
        </w:rPr>
        <w:t>, then the likelihood of complex transmission chains can be presented as,</w:t>
      </w:r>
    </w:p>
    <w:p w14:paraId="39A3085E" w14:textId="77777777" w:rsidR="00690F35" w:rsidRPr="00673000" w:rsidRDefault="00A30043">
      <w:pPr>
        <w:pStyle w:val="a0"/>
        <w:rPr>
          <w:rFonts w:ascii="Times New Roman" w:hAnsi="Times New Roman"/>
        </w:rPr>
      </w:pPr>
      <m:oMathPara>
        <m:oMathParaPr>
          <m:jc m:val="center"/>
        </m:oMathParaPr>
        <m:oMath>
          <m:sSub>
            <m:sSubPr>
              <m:ctrlPr>
                <w:rPr>
                  <w:rFonts w:ascii="Cambria Math" w:hAnsi="Cambria Math"/>
                </w:rPr>
              </m:ctrlPr>
            </m:sSubPr>
            <m:e>
              <m:r>
                <w:rPr>
                  <w:rFonts w:ascii="Cambria Math" w:hAnsi="Cambria Math"/>
                </w:rPr>
                <m:t>L</m:t>
              </m:r>
            </m:e>
            <m:sub>
              <m:r>
                <w:rPr>
                  <w:rFonts w:ascii="Cambria Math" w:hAnsi="Cambria Math"/>
                </w:rPr>
                <m:t>III</m:t>
              </m:r>
            </m:sub>
          </m:sSub>
          <m:r>
            <w:rPr>
              <w:rFonts w:ascii="Cambria Math" w:hAnsi="Cambria Math"/>
            </w:rPr>
            <m:t>(R,k)=</m:t>
          </m:r>
          <m:nary>
            <m:naryPr>
              <m:chr m:val="∏"/>
              <m:limLoc m:val="undOvr"/>
              <m:ctrlPr>
                <w:rPr>
                  <w:rFonts w:ascii="Cambria Math" w:hAnsi="Cambria Math"/>
                </w:rPr>
              </m:ctrlPr>
            </m:naryPr>
            <m:sub>
              <m:r>
                <w:rPr>
                  <w:rFonts w:ascii="Cambria Math" w:hAnsi="Cambria Math"/>
                </w:rPr>
                <m:t>t=1</m:t>
              </m:r>
            </m:sub>
            <m:sup>
              <m:sSub>
                <m:sSubPr>
                  <m:ctrlPr>
                    <w:rPr>
                      <w:rFonts w:ascii="Cambria Math" w:hAnsi="Cambria Math"/>
                    </w:rPr>
                  </m:ctrlPr>
                </m:sSubPr>
                <m:e>
                  <m:r>
                    <w:rPr>
                      <w:rFonts w:ascii="Cambria Math" w:hAnsi="Cambria Math"/>
                    </w:rPr>
                    <m:t>n</m:t>
                  </m:r>
                </m:e>
                <m:sub>
                  <m:r>
                    <w:rPr>
                      <w:rFonts w:ascii="Cambria Math" w:hAnsi="Cambria Math"/>
                    </w:rPr>
                    <m:t>III</m:t>
                  </m:r>
                </m:sub>
              </m:sSub>
            </m:sup>
            <m:e>
              <m:r>
                <w:rPr>
                  <w:rFonts w:ascii="Cambria Math" w:hAnsi="Cambria Math"/>
                </w:rPr>
                <m:t>(</m:t>
              </m:r>
            </m:e>
          </m:nary>
          <m:sSub>
            <m:sSubPr>
              <m:ctrlPr>
                <w:rPr>
                  <w:rFonts w:ascii="Cambria Math" w:hAnsi="Cambria Math"/>
                </w:rPr>
              </m:ctrlPr>
            </m:sSubPr>
            <m:e>
              <m:r>
                <w:rPr>
                  <w:rFonts w:ascii="Cambria Math" w:hAnsi="Cambria Math"/>
                </w:rPr>
                <m:t>δ</m:t>
              </m:r>
            </m:e>
            <m:sub>
              <m:r>
                <w:rPr>
                  <w:rFonts w:ascii="Cambria Math" w:hAnsi="Cambria Math"/>
                </w:rPr>
                <m:t>t</m:t>
              </m:r>
            </m:sub>
          </m:sSub>
          <m:sSub>
            <m:sSubPr>
              <m:ctrlPr>
                <w:rPr>
                  <w:rFonts w:ascii="Cambria Math" w:hAnsi="Cambria Math"/>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m</m:t>
              </m:r>
            </m:e>
            <m:sub>
              <m:r>
                <w:rPr>
                  <w:rFonts w:ascii="Cambria Math" w:hAnsi="Cambria Math"/>
                </w:rPr>
                <m:t>t</m:t>
              </m:r>
            </m:sub>
          </m:sSub>
          <m:r>
            <w:rPr>
              <w:rFonts w:ascii="Cambria Math" w:hAnsi="Cambria Math"/>
            </w:rPr>
            <m:t>;R,k)+(1-</m:t>
          </m:r>
          <m:sSub>
            <m:sSubPr>
              <m:ctrlPr>
                <w:rPr>
                  <w:rFonts w:ascii="Cambria Math" w:hAnsi="Cambria Math"/>
                </w:rPr>
              </m:ctrlPr>
            </m:sSubPr>
            <m:e>
              <m:r>
                <w:rPr>
                  <w:rFonts w:ascii="Cambria Math" w:hAnsi="Cambria Math"/>
                </w:rPr>
                <m:t>δ</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t</m:t>
              </m:r>
            </m:sub>
          </m:sSub>
          <m:r>
            <w:rPr>
              <w:rFonts w:ascii="Cambria Math" w:hAnsi="Cambria Math"/>
            </w:rPr>
            <m:t>+1;R,k))</m:t>
          </m:r>
        </m:oMath>
      </m:oMathPara>
    </w:p>
    <w:p w14:paraId="3E84E1CE" w14:textId="77777777" w:rsidR="00690F35" w:rsidRPr="00673000" w:rsidRDefault="008B4A6C">
      <w:pPr>
        <w:pStyle w:val="FirstParagraph"/>
        <w:rPr>
          <w:rFonts w:ascii="Times New Roman" w:hAnsi="Times New Roman"/>
        </w:rPr>
      </w:pPr>
      <w:r w:rsidRPr="00673000">
        <w:rPr>
          <w:rFonts w:ascii="Times New Roman" w:hAnsi="Times New Roman"/>
        </w:rPr>
        <w:t xml:space="preserve">The complete likelihood can be derived by a production of </w:t>
      </w:r>
      <m:oMath>
        <m:sSub>
          <m:sSubPr>
            <m:ctrlPr>
              <w:rPr>
                <w:rFonts w:ascii="Cambria Math" w:hAnsi="Cambria Math"/>
              </w:rPr>
            </m:ctrlPr>
          </m:sSubPr>
          <m:e>
            <m:r>
              <w:rPr>
                <w:rFonts w:ascii="Cambria Math" w:hAnsi="Cambria Math"/>
              </w:rPr>
              <m:t>L</m:t>
            </m:r>
          </m:e>
          <m:sub>
            <m:r>
              <w:rPr>
                <w:rFonts w:ascii="Cambria Math" w:hAnsi="Cambria Math"/>
              </w:rPr>
              <m:t>I</m:t>
            </m:r>
          </m:sub>
        </m:sSub>
        <m:r>
          <w:rPr>
            <w:rFonts w:ascii="Cambria Math" w:hAnsi="Cambria Math"/>
          </w:rPr>
          <m:t>(R,k),</m:t>
        </m:r>
        <m:sSub>
          <m:sSubPr>
            <m:ctrlPr>
              <w:rPr>
                <w:rFonts w:ascii="Cambria Math" w:hAnsi="Cambria Math"/>
              </w:rPr>
            </m:ctrlPr>
          </m:sSubPr>
          <m:e>
            <m:r>
              <w:rPr>
                <w:rFonts w:ascii="Cambria Math" w:hAnsi="Cambria Math"/>
              </w:rPr>
              <m:t>L</m:t>
            </m:r>
          </m:e>
          <m:sub>
            <m:r>
              <w:rPr>
                <w:rFonts w:ascii="Cambria Math" w:hAnsi="Cambria Math"/>
              </w:rPr>
              <m:t>II</m:t>
            </m:r>
          </m:sub>
        </m:sSub>
        <m:r>
          <w:rPr>
            <w:rFonts w:ascii="Cambria Math" w:hAnsi="Cambria Math"/>
          </w:rPr>
          <m:t>(R,k)</m:t>
        </m:r>
      </m:oMath>
      <w:r w:rsidRPr="00673000">
        <w:rPr>
          <w:rFonts w:ascii="Times New Roman" w:hAnsi="Times New Roman"/>
        </w:rPr>
        <w:t xml:space="preserve"> and </w:t>
      </w:r>
      <m:oMath>
        <m:sSub>
          <m:sSubPr>
            <m:ctrlPr>
              <w:rPr>
                <w:rFonts w:ascii="Cambria Math" w:hAnsi="Cambria Math"/>
              </w:rPr>
            </m:ctrlPr>
          </m:sSubPr>
          <m:e>
            <m:r>
              <w:rPr>
                <w:rFonts w:ascii="Cambria Math" w:hAnsi="Cambria Math"/>
              </w:rPr>
              <m:t>L</m:t>
            </m:r>
          </m:e>
          <m:sub>
            <m:r>
              <w:rPr>
                <w:rFonts w:ascii="Cambria Math" w:hAnsi="Cambria Math"/>
              </w:rPr>
              <m:t>III</m:t>
            </m:r>
          </m:sub>
        </m:sSub>
        <m:r>
          <w:rPr>
            <w:rFonts w:ascii="Cambria Math" w:hAnsi="Cambria Math"/>
          </w:rPr>
          <m:t>(R,k)</m:t>
        </m:r>
      </m:oMath>
      <w:hyperlink w:anchor="ref-zhang2020">
        <w:r w:rsidRPr="00673000">
          <w:rPr>
            <w:rStyle w:val="ae"/>
            <w:rFonts w:ascii="Times New Roman" w:hAnsi="Times New Roman"/>
            <w:vertAlign w:val="superscript"/>
          </w:rPr>
          <w:t>5</w:t>
        </w:r>
      </w:hyperlink>
      <w:r w:rsidRPr="00673000">
        <w:rPr>
          <w:rFonts w:ascii="Times New Roman" w:hAnsi="Times New Roman"/>
        </w:rPr>
        <w:t xml:space="preserve"> and thereby the estimation of </w:t>
      </w:r>
      <m:oMath>
        <m:r>
          <w:rPr>
            <w:rFonts w:ascii="Cambria Math" w:hAnsi="Cambria Math"/>
          </w:rPr>
          <m:t>R</m:t>
        </m:r>
      </m:oMath>
      <w:r w:rsidRPr="00673000">
        <w:rPr>
          <w:rFonts w:ascii="Times New Roman" w:hAnsi="Times New Roman"/>
        </w:rPr>
        <w:t xml:space="preserve"> and </w:t>
      </w:r>
      <m:oMath>
        <m:r>
          <w:rPr>
            <w:rFonts w:ascii="Cambria Math" w:hAnsi="Cambria Math"/>
          </w:rPr>
          <m:t>k</m:t>
        </m:r>
      </m:oMath>
      <w:r w:rsidRPr="00673000">
        <w:rPr>
          <w:rFonts w:ascii="Times New Roman" w:hAnsi="Times New Roman"/>
        </w:rPr>
        <w:t xml:space="preserve"> can be derived by maximum the mixed likelihood function.</w:t>
      </w:r>
    </w:p>
    <w:p w14:paraId="0AD765A5" w14:textId="77777777" w:rsidR="00690F35" w:rsidRPr="00673000" w:rsidRDefault="008B4A6C">
      <w:pPr>
        <w:pStyle w:val="1"/>
        <w:rPr>
          <w:rFonts w:ascii="Times New Roman" w:hAnsi="Times New Roman"/>
          <w:color w:val="000000" w:themeColor="text1"/>
        </w:rPr>
      </w:pPr>
      <w:bookmarkStart w:id="7" w:name="sec:ci"/>
      <w:bookmarkEnd w:id="6"/>
      <w:r w:rsidRPr="00673000">
        <w:rPr>
          <w:rFonts w:ascii="Times New Roman" w:hAnsi="Times New Roman"/>
          <w:color w:val="000000" w:themeColor="text1"/>
        </w:rPr>
        <w:t>Confidence interval</w:t>
      </w:r>
    </w:p>
    <w:p w14:paraId="04631B33" w14:textId="77777777" w:rsidR="00690F35" w:rsidRPr="00673000" w:rsidRDefault="008B4A6C">
      <w:pPr>
        <w:pStyle w:val="2"/>
        <w:rPr>
          <w:rFonts w:ascii="Times New Roman" w:hAnsi="Times New Roman"/>
          <w:color w:val="000000" w:themeColor="text1"/>
        </w:rPr>
      </w:pPr>
      <w:bookmarkStart w:id="8" w:name="likelihood-ratio-test"/>
      <w:r w:rsidRPr="00673000">
        <w:rPr>
          <w:rFonts w:ascii="Times New Roman" w:hAnsi="Times New Roman"/>
          <w:color w:val="000000" w:themeColor="text1"/>
        </w:rPr>
        <w:t>Likelihood ratio test</w:t>
      </w:r>
    </w:p>
    <w:p w14:paraId="6917261A" w14:textId="77777777" w:rsidR="00690F35" w:rsidRPr="00673000" w:rsidRDefault="008B4A6C">
      <w:pPr>
        <w:pStyle w:val="FirstParagraph"/>
        <w:rPr>
          <w:rFonts w:ascii="Times New Roman" w:hAnsi="Times New Roman"/>
        </w:rPr>
      </w:pPr>
      <w:r w:rsidRPr="00673000">
        <w:rPr>
          <w:rFonts w:ascii="Times New Roman" w:hAnsi="Times New Roman"/>
        </w:rPr>
        <w:t xml:space="preserve">To derive the confidence interval of </w:t>
      </w:r>
      <m:oMath>
        <m:r>
          <w:rPr>
            <w:rFonts w:ascii="Cambria Math" w:hAnsi="Cambria Math"/>
          </w:rPr>
          <m:t>R</m:t>
        </m:r>
      </m:oMath>
      <w:r w:rsidRPr="00673000">
        <w:rPr>
          <w:rFonts w:ascii="Times New Roman" w:hAnsi="Times New Roman"/>
        </w:rPr>
        <w:t xml:space="preserve"> and </w:t>
      </w:r>
      <m:oMath>
        <m:r>
          <w:rPr>
            <w:rFonts w:ascii="Cambria Math" w:hAnsi="Cambria Math"/>
          </w:rPr>
          <m:t>k</m:t>
        </m:r>
      </m:oMath>
      <w:r w:rsidRPr="00673000">
        <w:rPr>
          <w:rFonts w:ascii="Times New Roman" w:hAnsi="Times New Roman"/>
        </w:rPr>
        <w:t xml:space="preserve"> simultaneously, we deploy likelihood ratio test for asymptotic estimation. Traditional likelihood ratio test can be described as follows; under the null hypothesis </w:t>
      </w:r>
      <m:oMath>
        <m:sSub>
          <m:sSubPr>
            <m:ctrlPr>
              <w:rPr>
                <w:rFonts w:ascii="Cambria Math" w:hAnsi="Cambria Math"/>
              </w:rPr>
            </m:ctrlPr>
          </m:sSubPr>
          <m:e>
            <m:r>
              <w:rPr>
                <w:rFonts w:ascii="Cambria Math" w:hAnsi="Cambria Math"/>
              </w:rPr>
              <m:t>H</m:t>
            </m:r>
          </m:e>
          <m:sub>
            <m:r>
              <w:rPr>
                <w:rFonts w:ascii="Cambria Math" w:hAnsi="Cambria Math"/>
              </w:rPr>
              <m:t>0</m:t>
            </m:r>
          </m:sub>
        </m:sSub>
        <m:r>
          <w:rPr>
            <w:rFonts w:ascii="Cambria Math" w:hAnsi="Cambria Math"/>
          </w:rPr>
          <m:t>:θ∈</m:t>
        </m:r>
        <m:sSub>
          <m:sSubPr>
            <m:ctrlPr>
              <w:rPr>
                <w:rFonts w:ascii="Cambria Math" w:hAnsi="Cambria Math"/>
              </w:rPr>
            </m:ctrlPr>
          </m:sSubPr>
          <m:e>
            <m:r>
              <w:rPr>
                <w:rFonts w:ascii="Cambria Math" w:hAnsi="Cambria Math"/>
              </w:rPr>
              <m:t>Ω</m:t>
            </m:r>
          </m:e>
          <m:sub>
            <m:r>
              <w:rPr>
                <w:rFonts w:ascii="Cambria Math" w:hAnsi="Cambria Math"/>
              </w:rPr>
              <m:t>0</m:t>
            </m:r>
          </m:sub>
        </m:sSub>
      </m:oMath>
      <w:r w:rsidRPr="00673000">
        <w:rPr>
          <w:rFonts w:ascii="Times New Roman" w:hAnsi="Times New Roman"/>
        </w:rPr>
        <w:t xml:space="preserve">, the likelihood ratio asymptotically follows a </w:t>
      </w:r>
      <m:oMath>
        <m:sSup>
          <m:sSupPr>
            <m:ctrlPr>
              <w:rPr>
                <w:rFonts w:ascii="Cambria Math" w:hAnsi="Cambria Math"/>
              </w:rPr>
            </m:ctrlPr>
          </m:sSupPr>
          <m:e>
            <m:r>
              <w:rPr>
                <w:rFonts w:ascii="Cambria Math" w:hAnsi="Cambria Math"/>
              </w:rPr>
              <m:t>χ</m:t>
            </m:r>
          </m:e>
          <m:sup>
            <m:r>
              <w:rPr>
                <w:rFonts w:ascii="Cambria Math" w:hAnsi="Cambria Math"/>
              </w:rPr>
              <m:t>2</m:t>
            </m:r>
          </m:sup>
        </m:sSup>
      </m:oMath>
      <w:r w:rsidRPr="00673000">
        <w:rPr>
          <w:rFonts w:ascii="Times New Roman" w:hAnsi="Times New Roman"/>
        </w:rPr>
        <w:t xml:space="preserve"> distribution,</w:t>
      </w:r>
    </w:p>
    <w:p w14:paraId="381DA496" w14:textId="77777777" w:rsidR="00690F35" w:rsidRPr="00673000" w:rsidRDefault="00A30043">
      <w:pPr>
        <w:pStyle w:val="a0"/>
        <w:rPr>
          <w:rFonts w:ascii="Times New Roman" w:hAnsi="Times New Roman"/>
        </w:rPr>
      </w:pPr>
      <m:oMathPara>
        <m:oMathParaPr>
          <m:jc m:val="center"/>
        </m:oMathParaPr>
        <m:oMath>
          <m:m>
            <m:mPr>
              <m:plcHide m:val="1"/>
              <m:mcs>
                <m:mc>
                  <m:mcPr>
                    <m:count m:val="1"/>
                    <m:mcJc m:val="right"/>
                  </m:mcPr>
                </m:mc>
                <m:mc>
                  <m:mcPr>
                    <m:count m:val="1"/>
                    <m:mcJc m:val="left"/>
                  </m:mcPr>
                </m:mc>
              </m:mcs>
              <m:ctrlPr>
                <w:rPr>
                  <w:rFonts w:ascii="Cambria Math" w:hAnsi="Cambria Math"/>
                </w:rPr>
              </m:ctrlPr>
            </m:mPr>
            <m:mr>
              <m:e>
                <m:sSub>
                  <m:sSubPr>
                    <m:ctrlPr>
                      <w:rPr>
                        <w:rFonts w:ascii="Cambria Math" w:hAnsi="Cambria Math"/>
                      </w:rPr>
                    </m:ctrlPr>
                  </m:sSubPr>
                  <m:e>
                    <m:r>
                      <w:rPr>
                        <w:rFonts w:ascii="Cambria Math" w:hAnsi="Cambria Math"/>
                      </w:rPr>
                      <m:t>Λ</m:t>
                    </m:r>
                  </m:e>
                  <m:sub>
                    <m:r>
                      <w:rPr>
                        <w:rFonts w:ascii="Cambria Math" w:hAnsi="Cambria Math"/>
                      </w:rPr>
                      <m:t>n</m:t>
                    </m:r>
                  </m:sub>
                </m:sSub>
              </m:e>
              <m:e>
                <m:r>
                  <w:rPr>
                    <w:rFonts w:ascii="Cambria Math" w:hAnsi="Cambria Math"/>
                  </w:rPr>
                  <m:t>=</m:t>
                </m:r>
                <m:f>
                  <m:fPr>
                    <m:ctrlPr>
                      <w:rPr>
                        <w:rFonts w:ascii="Cambria Math" w:hAnsi="Cambria Math"/>
                      </w:rPr>
                    </m:ctrlPr>
                  </m:fPr>
                  <m:num>
                    <m:limLow>
                      <m:limLowPr>
                        <m:ctrlPr>
                          <w:rPr>
                            <w:rFonts w:ascii="Cambria Math" w:hAnsi="Cambria Math"/>
                          </w:rPr>
                        </m:ctrlPr>
                      </m:limLowPr>
                      <m:e>
                        <m:r>
                          <m:rPr>
                            <m:nor/>
                          </m:rPr>
                          <w:rPr>
                            <w:rFonts w:ascii="Times New Roman" w:hAnsi="Times New Roman"/>
                          </w:rPr>
                          <m:t>max</m:t>
                        </m:r>
                      </m:e>
                      <m:lim>
                        <m:r>
                          <w:rPr>
                            <w:rFonts w:ascii="Cambria Math" w:hAnsi="Cambria Math"/>
                          </w:rPr>
                          <m:t>θ∈</m:t>
                        </m:r>
                        <m:sSub>
                          <m:sSubPr>
                            <m:ctrlPr>
                              <w:rPr>
                                <w:rFonts w:ascii="Cambria Math" w:hAnsi="Cambria Math"/>
                              </w:rPr>
                            </m:ctrlPr>
                          </m:sSubPr>
                          <m:e>
                            <m:r>
                              <w:rPr>
                                <w:rFonts w:ascii="Cambria Math" w:hAnsi="Cambria Math"/>
                              </w:rPr>
                              <m:t>Ω</m:t>
                            </m:r>
                          </m:e>
                          <m:sub>
                            <m:r>
                              <w:rPr>
                                <w:rFonts w:ascii="Cambria Math" w:hAnsi="Cambria Math"/>
                              </w:rPr>
                              <m:t>0</m:t>
                            </m:r>
                          </m:sub>
                        </m:sSub>
                      </m:lim>
                    </m:limLow>
                    <m:r>
                      <w:rPr>
                        <w:rFonts w:ascii="Cambria Math" w:hAnsi="Cambria Math"/>
                      </w:rPr>
                      <m:t>L(x;θ)</m:t>
                    </m:r>
                  </m:num>
                  <m:den>
                    <m:limLow>
                      <m:limLowPr>
                        <m:ctrlPr>
                          <w:rPr>
                            <w:rFonts w:ascii="Cambria Math" w:hAnsi="Cambria Math"/>
                          </w:rPr>
                        </m:ctrlPr>
                      </m:limLowPr>
                      <m:e>
                        <m:r>
                          <m:rPr>
                            <m:nor/>
                          </m:rPr>
                          <w:rPr>
                            <w:rFonts w:ascii="Times New Roman" w:hAnsi="Times New Roman"/>
                          </w:rPr>
                          <m:t>max</m:t>
                        </m:r>
                      </m:e>
                      <m:lim>
                        <m:r>
                          <w:rPr>
                            <w:rFonts w:ascii="Cambria Math" w:hAnsi="Cambria Math"/>
                          </w:rPr>
                          <m:t>θ∈Ω</m:t>
                        </m:r>
                      </m:lim>
                    </m:limLow>
                    <m:r>
                      <w:rPr>
                        <w:rFonts w:ascii="Cambria Math" w:hAnsi="Cambria Math"/>
                      </w:rPr>
                      <m:t>L(x;θ)</m:t>
                    </m:r>
                  </m:den>
                </m:f>
              </m:e>
            </m:mr>
            <m:mr>
              <m:e>
                <m:r>
                  <w:rPr>
                    <w:rFonts w:ascii="Cambria Math" w:hAnsi="Cambria Math"/>
                  </w:rPr>
                  <m:t>-2</m:t>
                </m:r>
                <m:r>
                  <m:rPr>
                    <m:nor/>
                  </m:rPr>
                  <w:rPr>
                    <w:rFonts w:ascii="Times New Roman" w:hAnsi="Times New Roman"/>
                  </w:rPr>
                  <m:t>log</m:t>
                </m:r>
                <m: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n</m:t>
                    </m:r>
                  </m:sub>
                </m:sSub>
                <m:r>
                  <w:rPr>
                    <w:rFonts w:ascii="Cambria Math" w:hAnsi="Cambria Math"/>
                  </w:rPr>
                  <m:t>)</m:t>
                </m:r>
              </m:e>
              <m:e>
                <m:r>
                  <w:rPr>
                    <w:rFonts w:ascii="Cambria Math" w:hAnsi="Cambria Math"/>
                  </w:rPr>
                  <m:t>∼</m:t>
                </m:r>
                <m:sSubSup>
                  <m:sSubSupPr>
                    <m:ctrlPr>
                      <w:rPr>
                        <w:rFonts w:ascii="Cambria Math" w:hAnsi="Cambria Math"/>
                      </w:rPr>
                    </m:ctrlPr>
                  </m:sSubSupPr>
                  <m:e>
                    <m:r>
                      <w:rPr>
                        <w:rFonts w:ascii="Cambria Math" w:hAnsi="Cambria Math"/>
                      </w:rPr>
                      <m:t>χ</m:t>
                    </m:r>
                  </m:e>
                  <m:sub>
                    <m:r>
                      <w:rPr>
                        <w:rFonts w:ascii="Cambria Math" w:hAnsi="Cambria Math"/>
                      </w:rPr>
                      <m:t>dim(Ω)-dim(</m:t>
                    </m:r>
                    <m:sSub>
                      <m:sSubPr>
                        <m:ctrlPr>
                          <w:rPr>
                            <w:rFonts w:ascii="Cambria Math" w:hAnsi="Cambria Math"/>
                          </w:rPr>
                        </m:ctrlPr>
                      </m:sSubPr>
                      <m:e>
                        <m:r>
                          <w:rPr>
                            <w:rFonts w:ascii="Cambria Math" w:hAnsi="Cambria Math"/>
                          </w:rPr>
                          <m:t>Ω</m:t>
                        </m:r>
                      </m:e>
                      <m:sub>
                        <m:r>
                          <w:rPr>
                            <w:rFonts w:ascii="Cambria Math" w:hAnsi="Cambria Math"/>
                          </w:rPr>
                          <m:t>0</m:t>
                        </m:r>
                      </m:sub>
                    </m:sSub>
                    <m:r>
                      <w:rPr>
                        <w:rFonts w:ascii="Cambria Math" w:hAnsi="Cambria Math"/>
                      </w:rPr>
                      <m:t>)</m:t>
                    </m:r>
                  </m:sub>
                  <m:sup>
                    <m:r>
                      <w:rPr>
                        <w:rFonts w:ascii="Cambria Math" w:hAnsi="Cambria Math"/>
                      </w:rPr>
                      <m:t>2</m:t>
                    </m:r>
                  </m:sup>
                </m:sSubSup>
              </m:e>
            </m:mr>
          </m:m>
        </m:oMath>
      </m:oMathPara>
    </w:p>
    <w:p w14:paraId="643FF2F8" w14:textId="77777777" w:rsidR="00690F35" w:rsidRPr="00673000" w:rsidRDefault="008B4A6C">
      <w:pPr>
        <w:pStyle w:val="FirstParagraph"/>
        <w:rPr>
          <w:rFonts w:ascii="Times New Roman" w:hAnsi="Times New Roman"/>
        </w:rPr>
      </w:pPr>
      <w:r w:rsidRPr="00673000">
        <w:rPr>
          <w:rFonts w:ascii="Times New Roman" w:hAnsi="Times New Roman"/>
        </w:rPr>
        <w:t xml:space="preserve">Thus, let </w:t>
      </w:r>
      <m:oMath>
        <m:acc>
          <m:accPr>
            <m:ctrlPr>
              <w:rPr>
                <w:rFonts w:ascii="Cambria Math" w:hAnsi="Cambria Math"/>
              </w:rPr>
            </m:ctrlPr>
          </m:accPr>
          <m:e>
            <m:r>
              <w:rPr>
                <w:rFonts w:ascii="Cambria Math" w:hAnsi="Cambria Math"/>
              </w:rPr>
              <m:t>R</m:t>
            </m:r>
          </m:e>
        </m:acc>
      </m:oMath>
      <w:r w:rsidRPr="00673000">
        <w:rPr>
          <w:rFonts w:ascii="Times New Roman" w:hAnsi="Times New Roman"/>
        </w:rPr>
        <w:t xml:space="preserve"> and </w:t>
      </w:r>
      <m:oMath>
        <m:acc>
          <m:accPr>
            <m:ctrlPr>
              <w:rPr>
                <w:rFonts w:ascii="Cambria Math" w:hAnsi="Cambria Math"/>
              </w:rPr>
            </m:ctrlPr>
          </m:accPr>
          <m:e>
            <m:r>
              <w:rPr>
                <w:rFonts w:ascii="Cambria Math" w:hAnsi="Cambria Math"/>
              </w:rPr>
              <m:t>k</m:t>
            </m:r>
          </m:e>
        </m:acc>
      </m:oMath>
      <w:r w:rsidRPr="00673000">
        <w:rPr>
          <w:rFonts w:ascii="Times New Roman" w:hAnsi="Times New Roman"/>
        </w:rPr>
        <w:t xml:space="preserve"> denotes the maximum likelihood estimation. The corresponding confidence interval are constructed by letting </w:t>
      </w:r>
      <m:oMath>
        <m:sSub>
          <m:sSubPr>
            <m:ctrlPr>
              <w:rPr>
                <w:rFonts w:ascii="Cambria Math" w:hAnsi="Cambria Math"/>
              </w:rPr>
            </m:ctrlPr>
          </m:sSubPr>
          <m:e>
            <m:r>
              <w:rPr>
                <w:rFonts w:ascii="Cambria Math" w:hAnsi="Cambria Math"/>
              </w:rPr>
              <m:t>Ω</m:t>
            </m:r>
          </m:e>
          <m:sub>
            <m:r>
              <w:rPr>
                <w:rFonts w:ascii="Cambria Math" w:hAnsi="Cambria Math"/>
              </w:rPr>
              <m:t>0</m:t>
            </m:r>
          </m:sub>
        </m:sSub>
        <m:r>
          <w:rPr>
            <w:rFonts w:ascii="Cambria Math" w:hAnsi="Cambria Math"/>
          </w:rPr>
          <m:t>={R∈(0,+∞),k=</m:t>
        </m:r>
        <m:acc>
          <m:accPr>
            <m:ctrlPr>
              <w:rPr>
                <w:rFonts w:ascii="Cambria Math" w:hAnsi="Cambria Math"/>
              </w:rPr>
            </m:ctrlPr>
          </m:accPr>
          <m:e>
            <m:r>
              <w:rPr>
                <w:rFonts w:ascii="Cambria Math" w:hAnsi="Cambria Math"/>
              </w:rPr>
              <m:t>k</m:t>
            </m:r>
          </m:e>
        </m:acc>
        <m:r>
          <w:rPr>
            <w:rFonts w:ascii="Cambria Math" w:hAnsi="Cambria Math"/>
          </w:rPr>
          <m:t>}</m:t>
        </m:r>
      </m:oMath>
      <w:r w:rsidRPr="00673000">
        <w:rPr>
          <w:rFonts w:ascii="Times New Roman" w:hAnsi="Times New Roman"/>
        </w:rPr>
        <w:t xml:space="preserve"> and </w:t>
      </w:r>
      <m:oMath>
        <m:sSub>
          <m:sSubPr>
            <m:ctrlPr>
              <w:rPr>
                <w:rFonts w:ascii="Cambria Math" w:hAnsi="Cambria Math"/>
              </w:rPr>
            </m:ctrlPr>
          </m:sSubPr>
          <m:e>
            <m:r>
              <w:rPr>
                <w:rFonts w:ascii="Cambria Math" w:hAnsi="Cambria Math"/>
              </w:rPr>
              <m:t>Ω</m:t>
            </m:r>
          </m:e>
          <m:sub>
            <m:r>
              <w:rPr>
                <w:rFonts w:ascii="Cambria Math" w:hAnsi="Cambria Math"/>
              </w:rPr>
              <m:t>0</m:t>
            </m:r>
          </m:sub>
        </m:sSub>
        <m:r>
          <w:rPr>
            <w:rFonts w:ascii="Cambria Math" w:hAnsi="Cambria Math"/>
          </w:rPr>
          <m:t>={R=</m:t>
        </m:r>
        <m:acc>
          <m:accPr>
            <m:ctrlPr>
              <w:rPr>
                <w:rFonts w:ascii="Cambria Math" w:hAnsi="Cambria Math"/>
              </w:rPr>
            </m:ctrlPr>
          </m:accPr>
          <m:e>
            <m:r>
              <w:rPr>
                <w:rFonts w:ascii="Cambria Math" w:hAnsi="Cambria Math"/>
              </w:rPr>
              <m:t>R</m:t>
            </m:r>
          </m:e>
        </m:acc>
        <m:r>
          <w:rPr>
            <w:rFonts w:ascii="Cambria Math" w:hAnsi="Cambria Math"/>
          </w:rPr>
          <m:t>,k∈(0,+∞)}</m:t>
        </m:r>
      </m:oMath>
      <w:r w:rsidRPr="00673000">
        <w:rPr>
          <w:rFonts w:ascii="Times New Roman" w:hAnsi="Times New Roman"/>
        </w:rPr>
        <w:t xml:space="preserve"> respectively.</w:t>
      </w:r>
    </w:p>
    <w:p w14:paraId="04590431" w14:textId="438CE7F8" w:rsidR="00690F35" w:rsidRPr="00673000" w:rsidRDefault="00862B5B">
      <w:pPr>
        <w:pStyle w:val="2"/>
        <w:rPr>
          <w:rFonts w:ascii="Times New Roman" w:hAnsi="Times New Roman"/>
          <w:color w:val="000000" w:themeColor="text1"/>
        </w:rPr>
      </w:pPr>
      <w:bookmarkStart w:id="9" w:name="biased-corrected-bootstrap"/>
      <w:bookmarkEnd w:id="8"/>
      <w:r w:rsidRPr="00673000">
        <w:rPr>
          <w:rFonts w:ascii="Times New Roman" w:hAnsi="Times New Roman"/>
          <w:color w:val="000000" w:themeColor="text1"/>
        </w:rPr>
        <w:lastRenderedPageBreak/>
        <w:t>B</w:t>
      </w:r>
      <w:r w:rsidR="00846D0B" w:rsidRPr="00673000">
        <w:rPr>
          <w:rFonts w:ascii="Times New Roman" w:hAnsi="Times New Roman"/>
          <w:color w:val="000000" w:themeColor="text1"/>
        </w:rPr>
        <w:t>iased-correlated and accelerated</w:t>
      </w:r>
      <w:r w:rsidR="008B4A6C" w:rsidRPr="00673000">
        <w:rPr>
          <w:rFonts w:ascii="Times New Roman" w:hAnsi="Times New Roman"/>
          <w:color w:val="000000" w:themeColor="text1"/>
        </w:rPr>
        <w:t xml:space="preserve"> bootstrap</w:t>
      </w:r>
    </w:p>
    <w:p w14:paraId="66027516" w14:textId="77777777" w:rsidR="00690F35" w:rsidRPr="00673000" w:rsidRDefault="008B4A6C">
      <w:pPr>
        <w:pStyle w:val="FirstParagraph"/>
        <w:rPr>
          <w:rFonts w:ascii="Times New Roman" w:hAnsi="Times New Roman"/>
          <w:color w:val="000000" w:themeColor="text1"/>
        </w:rPr>
      </w:pPr>
      <w:r w:rsidRPr="00673000">
        <w:rPr>
          <w:rFonts w:ascii="Times New Roman" w:hAnsi="Times New Roman"/>
          <w:color w:val="000000" w:themeColor="text1"/>
        </w:rPr>
        <w:t xml:space="preserve">As a stochastic approach for constructing confidence interval for most complex conditions, bootstrapping plays an important role in the field of statistical inference. The basic bootstrap method, however, might perform poorly if the distribution is highly skewed. To guarantee the accuracy of confidence interval, we adopt a biased-correlated and accelerated confidence interval with R package </w:t>
      </w:r>
      <m:oMath>
        <m:r>
          <w:rPr>
            <w:rFonts w:ascii="Cambria Math" w:hAnsi="Cambria Math"/>
            <w:color w:val="000000" w:themeColor="text1"/>
          </w:rPr>
          <m:t>bootstrap</m:t>
        </m:r>
      </m:oMath>
      <w:r w:rsidRPr="00673000">
        <w:rPr>
          <w:rFonts w:ascii="Times New Roman" w:hAnsi="Times New Roman"/>
          <w:color w:val="000000" w:themeColor="text1"/>
        </w:rPr>
        <w:t xml:space="preserve"> (BC</w:t>
      </w:r>
      <m:oMath>
        <m:sSub>
          <m:sSubPr>
            <m:ctrlPr>
              <w:rPr>
                <w:rFonts w:ascii="Cambria Math" w:hAnsi="Cambria Math"/>
                <w:color w:val="000000" w:themeColor="text1"/>
              </w:rPr>
            </m:ctrlPr>
          </m:sSubPr>
          <m:e>
            <m:r>
              <w:rPr>
                <w:rFonts w:ascii="Cambria Math" w:hAnsi="Cambria Math"/>
                <w:color w:val="000000" w:themeColor="text1"/>
              </w:rPr>
              <m:t>​</m:t>
            </m:r>
          </m:e>
          <m:sub>
            <m:r>
              <w:rPr>
                <w:rFonts w:ascii="Cambria Math" w:hAnsi="Cambria Math"/>
                <w:color w:val="000000" w:themeColor="text1"/>
              </w:rPr>
              <m:t>a</m:t>
            </m:r>
          </m:sub>
        </m:sSub>
      </m:oMath>
      <w:r w:rsidRPr="00673000">
        <w:rPr>
          <w:rFonts w:ascii="Times New Roman" w:hAnsi="Times New Roman"/>
          <w:color w:val="000000" w:themeColor="text1"/>
        </w:rPr>
        <w:t>).</w:t>
      </w:r>
      <w:hyperlink w:anchor="ref-hall1988">
        <w:r w:rsidRPr="00673000">
          <w:rPr>
            <w:rStyle w:val="ae"/>
            <w:rFonts w:ascii="Times New Roman" w:hAnsi="Times New Roman"/>
            <w:color w:val="000000" w:themeColor="text1"/>
            <w:vertAlign w:val="superscript"/>
          </w:rPr>
          <w:t>6</w:t>
        </w:r>
      </w:hyperlink>
    </w:p>
    <w:p w14:paraId="0752AA0F" w14:textId="77777777" w:rsidR="00690F35" w:rsidRPr="00673000" w:rsidRDefault="008B4A6C">
      <w:pPr>
        <w:pStyle w:val="1"/>
        <w:rPr>
          <w:rFonts w:ascii="Times New Roman" w:hAnsi="Times New Roman"/>
          <w:color w:val="000000" w:themeColor="text1"/>
        </w:rPr>
      </w:pPr>
      <w:bookmarkStart w:id="10" w:name="definition-of-contact-type"/>
      <w:bookmarkEnd w:id="7"/>
      <w:bookmarkEnd w:id="9"/>
      <w:r w:rsidRPr="00673000">
        <w:rPr>
          <w:rFonts w:ascii="Times New Roman" w:hAnsi="Times New Roman"/>
          <w:color w:val="000000" w:themeColor="text1"/>
        </w:rPr>
        <w:t>Definition of contact type</w:t>
      </w:r>
    </w:p>
    <w:p w14:paraId="0952A57E" w14:textId="77777777" w:rsidR="00690F35" w:rsidRPr="00673000" w:rsidRDefault="008B4A6C">
      <w:pPr>
        <w:numPr>
          <w:ilvl w:val="0"/>
          <w:numId w:val="2"/>
        </w:numPr>
        <w:rPr>
          <w:rFonts w:ascii="Times New Roman" w:hAnsi="Times New Roman"/>
        </w:rPr>
      </w:pPr>
      <w:r w:rsidRPr="00673000">
        <w:rPr>
          <w:rFonts w:ascii="Times New Roman" w:hAnsi="Times New Roman"/>
        </w:rPr>
        <w:t>Primary case: The individual who was first infected in a cluster.</w:t>
      </w:r>
    </w:p>
    <w:p w14:paraId="42A39469" w14:textId="77777777" w:rsidR="00690F35" w:rsidRPr="00673000" w:rsidRDefault="008B4A6C">
      <w:pPr>
        <w:numPr>
          <w:ilvl w:val="0"/>
          <w:numId w:val="2"/>
        </w:numPr>
        <w:rPr>
          <w:rFonts w:ascii="Times New Roman" w:hAnsi="Times New Roman"/>
        </w:rPr>
      </w:pPr>
      <w:r w:rsidRPr="00673000">
        <w:rPr>
          <w:rFonts w:ascii="Times New Roman" w:hAnsi="Times New Roman"/>
        </w:rPr>
        <w:t>Household: A household member living with a SARS-CoV-2 infected individual.</w:t>
      </w:r>
    </w:p>
    <w:p w14:paraId="18815E7B" w14:textId="77777777" w:rsidR="00690F35" w:rsidRPr="00673000" w:rsidRDefault="008B4A6C">
      <w:pPr>
        <w:numPr>
          <w:ilvl w:val="0"/>
          <w:numId w:val="2"/>
        </w:numPr>
        <w:rPr>
          <w:rFonts w:ascii="Times New Roman" w:hAnsi="Times New Roman"/>
        </w:rPr>
      </w:pPr>
      <w:r w:rsidRPr="00673000">
        <w:rPr>
          <w:rFonts w:ascii="Times New Roman" w:hAnsi="Times New Roman"/>
        </w:rPr>
        <w:t>Social: Friends, coworkers and classmates who study, work or are in close contact with the primary case.</w:t>
      </w:r>
    </w:p>
    <w:p w14:paraId="36126276" w14:textId="77777777" w:rsidR="00690F35" w:rsidRPr="00673000" w:rsidRDefault="008B4A6C">
      <w:pPr>
        <w:numPr>
          <w:ilvl w:val="0"/>
          <w:numId w:val="2"/>
        </w:numPr>
        <w:rPr>
          <w:rFonts w:ascii="Times New Roman" w:hAnsi="Times New Roman"/>
        </w:rPr>
      </w:pPr>
      <w:r w:rsidRPr="00673000">
        <w:rPr>
          <w:rFonts w:ascii="Times New Roman" w:hAnsi="Times New Roman"/>
        </w:rPr>
        <w:t>Community: Individual who interacts with SARS-CoV-2 infections in restaurants, entertainment venues, or other service settings.</w:t>
      </w:r>
    </w:p>
    <w:p w14:paraId="7A58112B" w14:textId="77777777" w:rsidR="00690F35" w:rsidRPr="00673000" w:rsidRDefault="008B4A6C">
      <w:pPr>
        <w:pStyle w:val="1"/>
        <w:rPr>
          <w:rFonts w:ascii="Times New Roman" w:hAnsi="Times New Roman"/>
          <w:color w:val="000000" w:themeColor="text1"/>
        </w:rPr>
      </w:pPr>
      <w:bookmarkStart w:id="11" w:name="sec::ac"/>
      <w:bookmarkEnd w:id="10"/>
      <w:r w:rsidRPr="00673000">
        <w:rPr>
          <w:rFonts w:ascii="Times New Roman" w:hAnsi="Times New Roman"/>
          <w:color w:val="000000" w:themeColor="text1"/>
        </w:rPr>
        <w:t>Estimating the accumulative size of infected cases</w:t>
      </w:r>
    </w:p>
    <w:p w14:paraId="1F97A9B1" w14:textId="77777777" w:rsidR="00690F35" w:rsidRPr="00673000" w:rsidRDefault="008B4A6C">
      <w:pPr>
        <w:pStyle w:val="FirstParagraph"/>
        <w:rPr>
          <w:rFonts w:ascii="Times New Roman" w:hAnsi="Times New Roman"/>
        </w:rPr>
      </w:pPr>
      <w:r w:rsidRPr="00673000">
        <w:rPr>
          <w:rFonts w:ascii="Times New Roman" w:hAnsi="Times New Roman"/>
        </w:rPr>
        <w:t>Assuming the transmission follows a Galton-Watson branching process, we can reconstruct the transmission chain and predict the ongoing transmission process by simulation. The complete procedure is displayed as follows,</w:t>
      </w:r>
    </w:p>
    <w:p w14:paraId="1855A393" w14:textId="77777777" w:rsidR="00690F35" w:rsidRPr="00673000" w:rsidRDefault="008B4A6C">
      <w:pPr>
        <w:numPr>
          <w:ilvl w:val="0"/>
          <w:numId w:val="3"/>
        </w:numPr>
        <w:rPr>
          <w:rFonts w:ascii="Times New Roman" w:hAnsi="Times New Roman"/>
        </w:rPr>
      </w:pPr>
      <w:r w:rsidRPr="00673000">
        <w:rPr>
          <w:rFonts w:ascii="Times New Roman" w:hAnsi="Times New Roman"/>
        </w:rPr>
        <w:t xml:space="preserve">According to the collected transmission chain, we define </w:t>
      </w:r>
      <m:oMath>
        <m:r>
          <w:rPr>
            <w:rFonts w:ascii="Cambria Math" w:hAnsi="Cambria Math"/>
          </w:rPr>
          <m:t>m</m:t>
        </m:r>
      </m:oMath>
      <w:r w:rsidRPr="00673000">
        <w:rPr>
          <w:rFonts w:ascii="Times New Roman" w:hAnsi="Times New Roman"/>
        </w:rPr>
        <w:t xml:space="preserve"> primary cases with </w:t>
      </w:r>
      <m:oMath>
        <m:r>
          <w:rPr>
            <w:rFonts w:ascii="Cambria Math" w:hAnsi="Cambria Math"/>
          </w:rPr>
          <m:t>m</m:t>
        </m:r>
      </m:oMath>
      <w:r w:rsidRPr="00673000">
        <w:rPr>
          <w:rFonts w:ascii="Times New Roman" w:hAnsi="Times New Roman"/>
        </w:rPr>
        <w:t xml:space="preserve"> transmission chains. All the subsequent infected cases belong to one of </w:t>
      </w:r>
      <m:oMath>
        <m:r>
          <w:rPr>
            <w:rFonts w:ascii="Cambria Math" w:hAnsi="Cambria Math"/>
          </w:rPr>
          <m:t>m</m:t>
        </m:r>
      </m:oMath>
      <w:r w:rsidRPr="00673000">
        <w:rPr>
          <w:rFonts w:ascii="Times New Roman" w:hAnsi="Times New Roman"/>
        </w:rPr>
        <w:t xml:space="preserve"> chains.</w:t>
      </w:r>
    </w:p>
    <w:p w14:paraId="287101B1" w14:textId="77777777" w:rsidR="00690F35" w:rsidRPr="00673000" w:rsidRDefault="008B4A6C">
      <w:pPr>
        <w:numPr>
          <w:ilvl w:val="0"/>
          <w:numId w:val="3"/>
        </w:numPr>
        <w:rPr>
          <w:rFonts w:ascii="Times New Roman" w:hAnsi="Times New Roman"/>
        </w:rPr>
      </w:pPr>
      <w:r w:rsidRPr="00673000">
        <w:rPr>
          <w:rFonts w:ascii="Times New Roman" w:hAnsi="Times New Roman"/>
        </w:rPr>
        <w:t xml:space="preserve">Set the simulation times </w:t>
      </w:r>
      <m:oMath>
        <m:r>
          <w:rPr>
            <w:rFonts w:ascii="Cambria Math" w:hAnsi="Cambria Math"/>
          </w:rPr>
          <m:t>B=1000</m:t>
        </m:r>
      </m:oMath>
      <w:r w:rsidRPr="00673000">
        <w:rPr>
          <w:rFonts w:ascii="Times New Roman" w:hAnsi="Times New Roman"/>
        </w:rPr>
        <w:t>; Here we simulation 1000 times of transmission process.</w:t>
      </w:r>
    </w:p>
    <w:p w14:paraId="125A9B20" w14:textId="77777777" w:rsidR="00690F35" w:rsidRPr="00673000" w:rsidRDefault="008B4A6C">
      <w:pPr>
        <w:numPr>
          <w:ilvl w:val="0"/>
          <w:numId w:val="3"/>
        </w:numPr>
        <w:rPr>
          <w:rFonts w:ascii="Times New Roman" w:hAnsi="Times New Roman"/>
        </w:rPr>
      </w:pPr>
      <w:r w:rsidRPr="00673000">
        <w:rPr>
          <w:rFonts w:ascii="Times New Roman" w:hAnsi="Times New Roman"/>
        </w:rPr>
        <w:t xml:space="preserve">For </w:t>
      </w:r>
      <m:oMath>
        <m:r>
          <w:rPr>
            <w:rFonts w:ascii="Cambria Math" w:hAnsi="Cambria Math"/>
          </w:rPr>
          <m:t>i</m:t>
        </m:r>
      </m:oMath>
      <w:r w:rsidRPr="00673000">
        <w:rPr>
          <w:rFonts w:ascii="Times New Roman" w:hAnsi="Times New Roman"/>
        </w:rPr>
        <w:t xml:space="preserve">-th transmission chain, </w:t>
      </w:r>
      <m:oMath>
        <m:r>
          <w:rPr>
            <w:rFonts w:ascii="Cambria Math" w:hAnsi="Cambria Math"/>
          </w:rPr>
          <m:t>i=1,⋯,m</m:t>
        </m:r>
      </m:oMath>
      <w:r w:rsidRPr="00673000">
        <w:rPr>
          <w:rFonts w:ascii="Times New Roman" w:hAnsi="Times New Roman"/>
        </w:rPr>
        <w:t xml:space="preserve">, we simulate an independent branching process. The secondary cases are generated by sampling from the mixture of binomial distribution </w:t>
      </w:r>
      <w:hyperlink w:anchor="eq1">
        <w:r w:rsidRPr="00673000">
          <w:rPr>
            <w:rStyle w:val="ae"/>
            <w:rFonts w:ascii="Times New Roman" w:hAnsi="Times New Roman"/>
          </w:rPr>
          <w:t>[eq1]</w:t>
        </w:r>
      </w:hyperlink>
      <w:r w:rsidRPr="00673000">
        <w:rPr>
          <w:rFonts w:ascii="Times New Roman" w:hAnsi="Times New Roman"/>
        </w:rPr>
        <w:t xml:space="preserve"> and the infected time of secondary cases are approximated through sampling from the estimated generation time which follows a weibull distribution(</w:t>
      </w:r>
      <m:oMath>
        <m:r>
          <w:rPr>
            <w:rFonts w:ascii="Cambria Math" w:hAnsi="Cambria Math"/>
          </w:rPr>
          <m:t>α=2.015,β=6.632</m:t>
        </m:r>
      </m:oMath>
      <w:r w:rsidRPr="00673000">
        <w:rPr>
          <w:rFonts w:ascii="Times New Roman" w:hAnsi="Times New Roman"/>
        </w:rPr>
        <w:t>).</w:t>
      </w:r>
    </w:p>
    <w:p w14:paraId="38FDDA77" w14:textId="77777777" w:rsidR="00690F35" w:rsidRPr="00673000" w:rsidRDefault="008B4A6C">
      <w:pPr>
        <w:numPr>
          <w:ilvl w:val="0"/>
          <w:numId w:val="3"/>
        </w:numPr>
        <w:rPr>
          <w:rFonts w:ascii="Times New Roman" w:hAnsi="Times New Roman"/>
        </w:rPr>
      </w:pPr>
      <w:r w:rsidRPr="00673000">
        <w:rPr>
          <w:rFonts w:ascii="Times New Roman" w:hAnsi="Times New Roman"/>
        </w:rPr>
        <w:t xml:space="preserve">Calculate the summation of cases in </w:t>
      </w:r>
      <m:oMath>
        <m:r>
          <w:rPr>
            <w:rFonts w:ascii="Cambria Math" w:hAnsi="Cambria Math"/>
          </w:rPr>
          <m:t>m</m:t>
        </m:r>
      </m:oMath>
      <w:r w:rsidRPr="00673000">
        <w:rPr>
          <w:rFonts w:ascii="Times New Roman" w:hAnsi="Times New Roman"/>
        </w:rPr>
        <w:t xml:space="preserve"> chains who are infected before a certain date as the estimation of overall size of infection before the date.</w:t>
      </w:r>
    </w:p>
    <w:p w14:paraId="7DB2D7C6" w14:textId="77777777" w:rsidR="00690F35" w:rsidRPr="00673000" w:rsidRDefault="008B4A6C">
      <w:pPr>
        <w:numPr>
          <w:ilvl w:val="0"/>
          <w:numId w:val="3"/>
        </w:numPr>
        <w:rPr>
          <w:rFonts w:ascii="Times New Roman" w:hAnsi="Times New Roman"/>
        </w:rPr>
      </w:pPr>
      <w:r w:rsidRPr="00673000">
        <w:rPr>
          <w:rFonts w:ascii="Times New Roman" w:hAnsi="Times New Roman"/>
        </w:rPr>
        <w:t xml:space="preserve">Repeat </w:t>
      </w:r>
      <w:r w:rsidRPr="00673000">
        <w:rPr>
          <w:rFonts w:ascii="Times New Roman" w:hAnsi="Times New Roman"/>
          <w:b/>
          <w:bCs/>
        </w:rPr>
        <w:t>Step 3-4</w:t>
      </w:r>
      <w:r w:rsidRPr="00673000">
        <w:rPr>
          <w:rFonts w:ascii="Times New Roman" w:hAnsi="Times New Roman"/>
        </w:rPr>
        <w:t xml:space="preserve"> for </w:t>
      </w:r>
      <m:oMath>
        <m:r>
          <w:rPr>
            <w:rFonts w:ascii="Cambria Math" w:hAnsi="Cambria Math"/>
          </w:rPr>
          <m:t>B</m:t>
        </m:r>
      </m:oMath>
      <w:r w:rsidRPr="00673000">
        <w:rPr>
          <w:rFonts w:ascii="Times New Roman" w:hAnsi="Times New Roman"/>
        </w:rPr>
        <w:t xml:space="preserve"> times. Assume the collected numbers are </w:t>
      </w:r>
      <m:oMath>
        <m:r>
          <w:rPr>
            <w:rFonts w:ascii="Cambria Math" w:hAnsi="Cambria Math"/>
          </w:rPr>
          <m:t>S=</m:t>
        </m:r>
        <m:sSub>
          <m:sSubPr>
            <m:ctrlPr>
              <w:rPr>
                <w:rFonts w:ascii="Cambria Math" w:hAnsi="Cambria Math"/>
              </w:rPr>
            </m:ctrlPr>
          </m:sSubPr>
          <m:e>
            <m:r>
              <w:rPr>
                <w:rFonts w:ascii="Cambria Math" w:hAnsi="Cambria Math"/>
              </w:rPr>
              <m:t>q</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2</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B</m:t>
            </m:r>
          </m:sub>
        </m:sSub>
      </m:oMath>
      <w:r w:rsidRPr="00673000">
        <w:rPr>
          <w:rFonts w:ascii="Times New Roman" w:hAnsi="Times New Roman"/>
        </w:rPr>
        <w:t xml:space="preserve">. The confidence interval is derived by taking </w:t>
      </w:r>
      <m:oMath>
        <m:r>
          <w:rPr>
            <w:rFonts w:ascii="Cambria Math" w:hAnsi="Cambria Math"/>
          </w:rPr>
          <m:t>2.5%</m:t>
        </m:r>
      </m:oMath>
      <w:r w:rsidRPr="00673000">
        <w:rPr>
          <w:rFonts w:ascii="Times New Roman" w:hAnsi="Times New Roman"/>
        </w:rPr>
        <w:t xml:space="preserve"> and </w:t>
      </w:r>
      <m:oMath>
        <m:r>
          <w:rPr>
            <w:rFonts w:ascii="Cambria Math" w:hAnsi="Cambria Math"/>
          </w:rPr>
          <m:t>97.5%</m:t>
        </m:r>
      </m:oMath>
      <w:r w:rsidRPr="00673000">
        <w:rPr>
          <w:rFonts w:ascii="Times New Roman" w:hAnsi="Times New Roman"/>
        </w:rPr>
        <w:t xml:space="preserve"> quantiles in the set </w:t>
      </w:r>
      <m:oMath>
        <m:r>
          <w:rPr>
            <w:rFonts w:ascii="Cambria Math" w:hAnsi="Cambria Math"/>
          </w:rPr>
          <m:t>S</m:t>
        </m:r>
      </m:oMath>
      <w:r w:rsidRPr="00673000">
        <w:rPr>
          <w:rFonts w:ascii="Times New Roman" w:hAnsi="Times New Roman"/>
        </w:rPr>
        <w:t>.</w:t>
      </w:r>
    </w:p>
    <w:p w14:paraId="510CD13F" w14:textId="77777777" w:rsidR="00690F35" w:rsidRPr="00673000" w:rsidRDefault="008B4A6C">
      <w:pPr>
        <w:pStyle w:val="FirstParagraph"/>
        <w:rPr>
          <w:rFonts w:ascii="Times New Roman" w:hAnsi="Times New Roman"/>
        </w:rPr>
      </w:pPr>
      <w:r w:rsidRPr="00673000">
        <w:rPr>
          <w:rFonts w:ascii="Times New Roman" w:hAnsi="Times New Roman"/>
        </w:rPr>
        <w:t xml:space="preserve">Thus, we can reconstruct the transmission process and predict the overall size of secondary infections by a certain date if no external infected cases are detected. To simplify the procedure of simulation, we assume all the secondary cases infected by a </w:t>
      </w:r>
      <w:r w:rsidRPr="00673000">
        <w:rPr>
          <w:rFonts w:ascii="Times New Roman" w:hAnsi="Times New Roman"/>
        </w:rPr>
        <w:lastRenderedPageBreak/>
        <w:t>single infected case have identical generation time. Nevertheless, the generation time of those infected by different cases are set to be different and sampled independently.</w:t>
      </w:r>
    </w:p>
    <w:p w14:paraId="73C443B6" w14:textId="77777777" w:rsidR="00690F35" w:rsidRPr="00673000" w:rsidRDefault="008B4A6C">
      <w:pPr>
        <w:pStyle w:val="1"/>
        <w:rPr>
          <w:rFonts w:ascii="Times New Roman" w:hAnsi="Times New Roman"/>
          <w:color w:val="000000" w:themeColor="text1"/>
        </w:rPr>
      </w:pPr>
      <w:bookmarkStart w:id="12" w:name="assessment-of-the-effect-of-vaccination"/>
      <w:bookmarkEnd w:id="11"/>
      <w:r w:rsidRPr="00673000">
        <w:rPr>
          <w:rFonts w:ascii="Times New Roman" w:hAnsi="Times New Roman"/>
          <w:color w:val="000000" w:themeColor="text1"/>
        </w:rPr>
        <w:t>Assessment of the effect of vaccination</w:t>
      </w:r>
    </w:p>
    <w:p w14:paraId="4B66978D" w14:textId="77777777" w:rsidR="00690F35" w:rsidRPr="00673000" w:rsidRDefault="008B4A6C">
      <w:pPr>
        <w:pStyle w:val="FirstParagraph"/>
        <w:rPr>
          <w:rFonts w:ascii="Times New Roman" w:hAnsi="Times New Roman"/>
        </w:rPr>
      </w:pPr>
      <w:r w:rsidRPr="00673000">
        <w:rPr>
          <w:rFonts w:ascii="Times New Roman" w:hAnsi="Times New Roman"/>
        </w:rPr>
        <w:t xml:space="preserve">To evaluate the effect of vaccination, we estimate the overall size of secondary infections as of 31 Mar 2020. Assuming the efficacy of vaccination is 80%, which is equivalent to a population wide control with control effort </w:t>
      </w:r>
      <m:oMath>
        <m:r>
          <w:rPr>
            <w:rFonts w:ascii="Cambria Math" w:hAnsi="Cambria Math"/>
          </w:rPr>
          <m:t>c=0.8</m:t>
        </m:r>
      </m:oMath>
      <w:r w:rsidRPr="00673000">
        <w:rPr>
          <w:rFonts w:ascii="Times New Roman" w:hAnsi="Times New Roman"/>
        </w:rPr>
        <w:t xml:space="preserve"> mentioned in.</w:t>
      </w:r>
      <w:hyperlink w:anchor="ref-nature2005">
        <w:r w:rsidRPr="00673000">
          <w:rPr>
            <w:rStyle w:val="ae"/>
            <w:rFonts w:ascii="Times New Roman" w:hAnsi="Times New Roman"/>
            <w:vertAlign w:val="superscript"/>
          </w:rPr>
          <w:t>2</w:t>
        </w:r>
      </w:hyperlink>
      <w:r w:rsidRPr="00673000">
        <w:rPr>
          <w:rFonts w:ascii="Times New Roman" w:hAnsi="Times New Roman"/>
        </w:rPr>
        <w:t xml:space="preserve"> The vaccination induced a population level effect identical to a reduction of average reproduction number </w:t>
      </w:r>
      <m:oMath>
        <m:r>
          <w:rPr>
            <w:rFonts w:ascii="Cambria Math" w:hAnsi="Cambria Math"/>
          </w:rPr>
          <m:t>R</m:t>
        </m:r>
      </m:oMath>
      <w:r w:rsidRPr="00673000">
        <w:rPr>
          <w:rFonts w:ascii="Times New Roman" w:hAnsi="Times New Roman"/>
        </w:rPr>
        <w:t xml:space="preserve"> to </w:t>
      </w:r>
      <m:oMath>
        <m:r>
          <w:rPr>
            <w:rFonts w:ascii="Cambria Math" w:hAnsi="Cambria Math"/>
          </w:rPr>
          <m:t>0.2R</m:t>
        </m:r>
      </m:oMath>
      <w:r w:rsidRPr="00673000">
        <w:rPr>
          <w:rFonts w:ascii="Times New Roman" w:hAnsi="Times New Roman"/>
        </w:rPr>
        <w:t xml:space="preserve">, where the offspring distribution of one infection </w:t>
      </w:r>
      <w:hyperlink w:anchor="eq1">
        <w:r w:rsidRPr="00673000">
          <w:rPr>
            <w:rStyle w:val="ae"/>
            <w:rFonts w:ascii="Times New Roman" w:hAnsi="Times New Roman"/>
          </w:rPr>
          <w:t>[eq1]</w:t>
        </w:r>
      </w:hyperlink>
      <w:r w:rsidRPr="00673000">
        <w:rPr>
          <w:rFonts w:ascii="Times New Roman" w:hAnsi="Times New Roman"/>
        </w:rPr>
        <w:t xml:space="preserve"> is subsequently altered. The estimation of number of secondary infections is obtained by the simulation procedures illustrated in Section 6.</w:t>
      </w:r>
    </w:p>
    <w:p w14:paraId="39D0CE92" w14:textId="0CBC1559" w:rsidR="00B22CFD" w:rsidRPr="00673000" w:rsidRDefault="008B4A6C">
      <w:pPr>
        <w:pStyle w:val="a0"/>
        <w:rPr>
          <w:rFonts w:ascii="Times New Roman" w:hAnsi="Times New Roman"/>
        </w:rPr>
      </w:pPr>
      <w:r w:rsidRPr="00673000">
        <w:rPr>
          <w:rFonts w:ascii="Times New Roman" w:hAnsi="Times New Roman"/>
        </w:rPr>
        <w:t xml:space="preserve">Additionally, we also assess the effect of vaccinating a proportion of population. Assuming the proportion of vaccination is </w:t>
      </w:r>
      <m:oMath>
        <m:r>
          <w:rPr>
            <w:rFonts w:ascii="Cambria Math" w:hAnsi="Cambria Math"/>
          </w:rPr>
          <m:t>q</m:t>
        </m:r>
      </m:oMath>
      <w:r w:rsidRPr="00673000">
        <w:rPr>
          <w:rFonts w:ascii="Times New Roman" w:hAnsi="Times New Roman"/>
        </w:rPr>
        <w:t xml:space="preserve">%, we estimate the effect of partial vaccination by randomly letting </w:t>
      </w:r>
      <m:oMath>
        <m:r>
          <w:rPr>
            <w:rFonts w:ascii="Cambria Math" w:hAnsi="Cambria Math"/>
          </w:rPr>
          <m:t>q</m:t>
        </m:r>
      </m:oMath>
      <w:r w:rsidRPr="00673000">
        <w:rPr>
          <w:rFonts w:ascii="Times New Roman" w:hAnsi="Times New Roman"/>
        </w:rPr>
        <w:t xml:space="preserve">% of transmission chains share the average average reproductive number as </w:t>
      </w:r>
      <m:oMath>
        <m:r>
          <w:rPr>
            <w:rFonts w:ascii="Cambria Math" w:hAnsi="Cambria Math"/>
          </w:rPr>
          <m:t>0.2R</m:t>
        </m:r>
      </m:oMath>
      <w:r w:rsidRPr="00673000">
        <w:rPr>
          <w:rFonts w:ascii="Times New Roman" w:hAnsi="Times New Roman"/>
        </w:rPr>
        <w:t xml:space="preserve"> and the average average reproductive number of rest transmission chains takes the value of </w:t>
      </w:r>
      <m:oMath>
        <m:r>
          <w:rPr>
            <w:rFonts w:ascii="Cambria Math" w:hAnsi="Cambria Math"/>
          </w:rPr>
          <m:t>R</m:t>
        </m:r>
      </m:oMath>
      <w:r w:rsidRPr="00673000">
        <w:rPr>
          <w:rFonts w:ascii="Times New Roman" w:hAnsi="Times New Roman"/>
        </w:rPr>
        <w:t>. We then estimate the overall size of secondary infection based on Section 6.</w:t>
      </w:r>
    </w:p>
    <w:p w14:paraId="2867EAFA" w14:textId="6C38E26B" w:rsidR="007C74E4" w:rsidRPr="00673000" w:rsidRDefault="00B22CFD" w:rsidP="00B22CFD">
      <w:pPr>
        <w:rPr>
          <w:rFonts w:ascii="Times New Roman" w:hAnsi="Times New Roman"/>
        </w:rPr>
      </w:pPr>
      <w:r w:rsidRPr="00673000">
        <w:rPr>
          <w:rFonts w:ascii="Times New Roman" w:hAnsi="Times New Roman"/>
        </w:rPr>
        <w:br w:type="page"/>
      </w:r>
    </w:p>
    <w:p w14:paraId="02C4FFC5" w14:textId="4BC50226" w:rsidR="00261221" w:rsidRPr="002E1D72" w:rsidRDefault="00261221" w:rsidP="00261221">
      <w:pPr>
        <w:pStyle w:val="1"/>
        <w:rPr>
          <w:rFonts w:ascii="Times New Roman" w:hAnsi="Times New Roman"/>
          <w:color w:val="000000" w:themeColor="text1"/>
        </w:rPr>
      </w:pPr>
      <w:r w:rsidRPr="002E1D72">
        <w:rPr>
          <w:rFonts w:ascii="Times New Roman" w:hAnsi="Times New Roman" w:hint="eastAsia"/>
          <w:color w:val="000000" w:themeColor="text1"/>
        </w:rPr>
        <w:lastRenderedPageBreak/>
        <w:t>R</w:t>
      </w:r>
      <w:r w:rsidRPr="002E1D72">
        <w:rPr>
          <w:rFonts w:ascii="Times New Roman" w:hAnsi="Times New Roman"/>
          <w:color w:val="000000" w:themeColor="text1"/>
        </w:rPr>
        <w:t>eference</w:t>
      </w:r>
    </w:p>
    <w:p w14:paraId="1A91826B" w14:textId="77777777" w:rsidR="00690F35" w:rsidRPr="00673000" w:rsidRDefault="008B4A6C">
      <w:pPr>
        <w:pStyle w:val="a8"/>
        <w:rPr>
          <w:rFonts w:ascii="Times New Roman" w:hAnsi="Times New Roman"/>
        </w:rPr>
      </w:pPr>
      <w:bookmarkStart w:id="13" w:name="ref-blumberg2013"/>
      <w:bookmarkStart w:id="14" w:name="refs"/>
      <w:r w:rsidRPr="00673000">
        <w:rPr>
          <w:rFonts w:ascii="Times New Roman" w:hAnsi="Times New Roman"/>
        </w:rPr>
        <w:t xml:space="preserve">1. </w:t>
      </w:r>
      <w:r w:rsidRPr="00673000">
        <w:rPr>
          <w:rFonts w:ascii="Times New Roman" w:hAnsi="Times New Roman"/>
        </w:rPr>
        <w:tab/>
        <w:t xml:space="preserve">Blumberg S, Lloyd-Smith JO. Inference of r 0 and transmission heterogeneity from the size distribution of stuttering chains. </w:t>
      </w:r>
      <w:r w:rsidRPr="00673000">
        <w:rPr>
          <w:rFonts w:ascii="Times New Roman" w:hAnsi="Times New Roman"/>
          <w:i/>
          <w:iCs/>
        </w:rPr>
        <w:t>PLoS Comput Biol</w:t>
      </w:r>
      <w:r w:rsidRPr="00673000">
        <w:rPr>
          <w:rFonts w:ascii="Times New Roman" w:hAnsi="Times New Roman"/>
        </w:rPr>
        <w:t>. 2013;9(5):e1002993.</w:t>
      </w:r>
    </w:p>
    <w:p w14:paraId="5B45125E" w14:textId="77777777" w:rsidR="00690F35" w:rsidRPr="00673000" w:rsidRDefault="008B4A6C">
      <w:pPr>
        <w:pStyle w:val="a8"/>
        <w:rPr>
          <w:rFonts w:ascii="Times New Roman" w:hAnsi="Times New Roman"/>
        </w:rPr>
      </w:pPr>
      <w:bookmarkStart w:id="15" w:name="ref-nature2005"/>
      <w:bookmarkEnd w:id="13"/>
      <w:r w:rsidRPr="00673000">
        <w:rPr>
          <w:rFonts w:ascii="Times New Roman" w:hAnsi="Times New Roman"/>
        </w:rPr>
        <w:t xml:space="preserve">2. </w:t>
      </w:r>
      <w:r w:rsidRPr="00673000">
        <w:rPr>
          <w:rFonts w:ascii="Times New Roman" w:hAnsi="Times New Roman"/>
        </w:rPr>
        <w:tab/>
        <w:t xml:space="preserve">Lloyd-Smith JO, Schreiber SJ, Kopp PE, Getz WM. Superspreading and the effect of individual variation on disease emergence. </w:t>
      </w:r>
      <w:r w:rsidRPr="00673000">
        <w:rPr>
          <w:rFonts w:ascii="Times New Roman" w:hAnsi="Times New Roman"/>
          <w:i/>
          <w:iCs/>
        </w:rPr>
        <w:t>Nature</w:t>
      </w:r>
      <w:r w:rsidRPr="00673000">
        <w:rPr>
          <w:rFonts w:ascii="Times New Roman" w:hAnsi="Times New Roman"/>
        </w:rPr>
        <w:t>. 2005;438(7066):355-359.</w:t>
      </w:r>
    </w:p>
    <w:p w14:paraId="03DE95A4" w14:textId="77777777" w:rsidR="00690F35" w:rsidRPr="00673000" w:rsidRDefault="008B4A6C">
      <w:pPr>
        <w:pStyle w:val="a8"/>
        <w:rPr>
          <w:rFonts w:ascii="Times New Roman" w:hAnsi="Times New Roman"/>
        </w:rPr>
      </w:pPr>
      <w:bookmarkStart w:id="16" w:name="ref-sayampanathan2021infectivity"/>
      <w:bookmarkEnd w:id="15"/>
      <w:r w:rsidRPr="00673000">
        <w:rPr>
          <w:rFonts w:ascii="Times New Roman" w:hAnsi="Times New Roman"/>
        </w:rPr>
        <w:t xml:space="preserve">3. </w:t>
      </w:r>
      <w:r w:rsidRPr="00673000">
        <w:rPr>
          <w:rFonts w:ascii="Times New Roman" w:hAnsi="Times New Roman"/>
        </w:rPr>
        <w:tab/>
        <w:t xml:space="preserve">Sayampanathan AA, Heng CS, Pin PH, Pang J, Leong TY, Lee VJ. Infectivity of asymptomatic versus symptomatic COVID-19. </w:t>
      </w:r>
      <w:r w:rsidRPr="00673000">
        <w:rPr>
          <w:rFonts w:ascii="Times New Roman" w:hAnsi="Times New Roman"/>
          <w:i/>
          <w:iCs/>
        </w:rPr>
        <w:t>The Lancet</w:t>
      </w:r>
      <w:r w:rsidRPr="00673000">
        <w:rPr>
          <w:rFonts w:ascii="Times New Roman" w:hAnsi="Times New Roman"/>
        </w:rPr>
        <w:t>. 2021;397(10269):93-94.</w:t>
      </w:r>
    </w:p>
    <w:p w14:paraId="0D1F60DD" w14:textId="77777777" w:rsidR="00690F35" w:rsidRPr="00673000" w:rsidRDefault="008B4A6C">
      <w:pPr>
        <w:pStyle w:val="a8"/>
        <w:rPr>
          <w:rFonts w:ascii="Times New Roman" w:hAnsi="Times New Roman"/>
        </w:rPr>
      </w:pPr>
      <w:bookmarkStart w:id="17" w:name="ref-blumberg2014"/>
      <w:bookmarkEnd w:id="16"/>
      <w:r w:rsidRPr="00673000">
        <w:rPr>
          <w:rFonts w:ascii="Times New Roman" w:hAnsi="Times New Roman"/>
        </w:rPr>
        <w:t xml:space="preserve">4. </w:t>
      </w:r>
      <w:r w:rsidRPr="00673000">
        <w:rPr>
          <w:rFonts w:ascii="Times New Roman" w:hAnsi="Times New Roman"/>
        </w:rPr>
        <w:tab/>
        <w:t xml:space="preserve">Blumberg S, Funk S, Pulliam JR. Detecting differential transmissibilities that affect the size of self-limited outbreaks. </w:t>
      </w:r>
      <w:r w:rsidRPr="00673000">
        <w:rPr>
          <w:rFonts w:ascii="Times New Roman" w:hAnsi="Times New Roman"/>
          <w:i/>
          <w:iCs/>
        </w:rPr>
        <w:t>PLoS Pathog</w:t>
      </w:r>
      <w:r w:rsidRPr="00673000">
        <w:rPr>
          <w:rFonts w:ascii="Times New Roman" w:hAnsi="Times New Roman"/>
        </w:rPr>
        <w:t>. 2014;10(10):e1004452.</w:t>
      </w:r>
    </w:p>
    <w:p w14:paraId="07D3BF2D" w14:textId="77777777" w:rsidR="00690F35" w:rsidRPr="00673000" w:rsidRDefault="008B4A6C">
      <w:pPr>
        <w:pStyle w:val="a8"/>
        <w:rPr>
          <w:rFonts w:ascii="Times New Roman" w:hAnsi="Times New Roman"/>
        </w:rPr>
      </w:pPr>
      <w:bookmarkStart w:id="18" w:name="ref-zhang2020"/>
      <w:bookmarkEnd w:id="17"/>
      <w:r w:rsidRPr="00673000">
        <w:rPr>
          <w:rFonts w:ascii="Times New Roman" w:hAnsi="Times New Roman"/>
        </w:rPr>
        <w:t xml:space="preserve">5. </w:t>
      </w:r>
      <w:r w:rsidRPr="00673000">
        <w:rPr>
          <w:rFonts w:ascii="Times New Roman" w:hAnsi="Times New Roman"/>
        </w:rPr>
        <w:tab/>
        <w:t xml:space="preserve">Zhang Y, Li Y, Wang L, Li M, Zhou X. Evaluating transmission heterogeneity and super-spreading event of COVID-19 in a metropolis of china. </w:t>
      </w:r>
      <w:r w:rsidRPr="00673000">
        <w:rPr>
          <w:rFonts w:ascii="Times New Roman" w:hAnsi="Times New Roman"/>
          <w:i/>
          <w:iCs/>
        </w:rPr>
        <w:t>International journal of environmental research and public health</w:t>
      </w:r>
      <w:r w:rsidRPr="00673000">
        <w:rPr>
          <w:rFonts w:ascii="Times New Roman" w:hAnsi="Times New Roman"/>
        </w:rPr>
        <w:t>. 2020;17(10):3705.</w:t>
      </w:r>
    </w:p>
    <w:p w14:paraId="6159E05C" w14:textId="77777777" w:rsidR="00690F35" w:rsidRPr="00673000" w:rsidRDefault="008B4A6C">
      <w:pPr>
        <w:pStyle w:val="a8"/>
        <w:rPr>
          <w:rFonts w:ascii="Times New Roman" w:hAnsi="Times New Roman"/>
        </w:rPr>
      </w:pPr>
      <w:bookmarkStart w:id="19" w:name="ref-hall1988"/>
      <w:bookmarkEnd w:id="18"/>
      <w:r w:rsidRPr="00673000">
        <w:rPr>
          <w:rFonts w:ascii="Times New Roman" w:hAnsi="Times New Roman"/>
        </w:rPr>
        <w:t xml:space="preserve">6. </w:t>
      </w:r>
      <w:r w:rsidRPr="00673000">
        <w:rPr>
          <w:rFonts w:ascii="Times New Roman" w:hAnsi="Times New Roman"/>
        </w:rPr>
        <w:tab/>
        <w:t xml:space="preserve">Hall P. Theoretical comparison of bootstrap confidence intervals. </w:t>
      </w:r>
      <w:r w:rsidRPr="00673000">
        <w:rPr>
          <w:rFonts w:ascii="Times New Roman" w:hAnsi="Times New Roman"/>
          <w:i/>
          <w:iCs/>
        </w:rPr>
        <w:t>The Annals of Statistics</w:t>
      </w:r>
      <w:r w:rsidRPr="00673000">
        <w:rPr>
          <w:rFonts w:ascii="Times New Roman" w:hAnsi="Times New Roman"/>
        </w:rPr>
        <w:t>. Published online 1988:927-953.</w:t>
      </w:r>
      <w:bookmarkEnd w:id="12"/>
      <w:bookmarkEnd w:id="14"/>
      <w:bookmarkEnd w:id="19"/>
    </w:p>
    <w:sectPr w:rsidR="00690F35" w:rsidRPr="00673000">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ACF538" w14:textId="77777777" w:rsidR="00A30043" w:rsidRDefault="00A30043">
      <w:pPr>
        <w:spacing w:after="0"/>
      </w:pPr>
      <w:r>
        <w:separator/>
      </w:r>
    </w:p>
  </w:endnote>
  <w:endnote w:type="continuationSeparator" w:id="0">
    <w:p w14:paraId="5B71E653" w14:textId="77777777" w:rsidR="00A30043" w:rsidRDefault="00A3004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7DEE23" w14:textId="77777777" w:rsidR="00A30043" w:rsidRDefault="00A30043">
      <w:r>
        <w:separator/>
      </w:r>
    </w:p>
  </w:footnote>
  <w:footnote w:type="continuationSeparator" w:id="0">
    <w:p w14:paraId="6167EE53" w14:textId="77777777" w:rsidR="00A30043" w:rsidRDefault="00A3004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A454B4C"/>
    <w:multiLevelType w:val="multilevel"/>
    <w:tmpl w:val="3E40A272"/>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1" w15:restartNumberingAfterBreak="0">
    <w:nsid w:val="2C1AE401"/>
    <w:multiLevelType w:val="multilevel"/>
    <w:tmpl w:val="14460D6C"/>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1"/>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15769A"/>
    <w:rsid w:val="00261221"/>
    <w:rsid w:val="00297106"/>
    <w:rsid w:val="002E1D72"/>
    <w:rsid w:val="00413B4F"/>
    <w:rsid w:val="00425EB4"/>
    <w:rsid w:val="004939D9"/>
    <w:rsid w:val="004E29B3"/>
    <w:rsid w:val="00567F4B"/>
    <w:rsid w:val="00590D07"/>
    <w:rsid w:val="00673000"/>
    <w:rsid w:val="00674DA8"/>
    <w:rsid w:val="00690F35"/>
    <w:rsid w:val="006B2C87"/>
    <w:rsid w:val="006C0116"/>
    <w:rsid w:val="006E5800"/>
    <w:rsid w:val="006F0D89"/>
    <w:rsid w:val="006F20DA"/>
    <w:rsid w:val="00730BA0"/>
    <w:rsid w:val="0073460D"/>
    <w:rsid w:val="00784D58"/>
    <w:rsid w:val="007C74E4"/>
    <w:rsid w:val="00846D0B"/>
    <w:rsid w:val="00862B5B"/>
    <w:rsid w:val="008B4A6C"/>
    <w:rsid w:val="008D6863"/>
    <w:rsid w:val="0093266C"/>
    <w:rsid w:val="00A30043"/>
    <w:rsid w:val="00B22CFD"/>
    <w:rsid w:val="00B4284B"/>
    <w:rsid w:val="00B86B75"/>
    <w:rsid w:val="00BC48D5"/>
    <w:rsid w:val="00C36279"/>
    <w:rsid w:val="00DB71D3"/>
    <w:rsid w:val="00E279B0"/>
    <w:rsid w:val="00E315A3"/>
    <w:rsid w:val="00F50D68"/>
    <w:rsid w:val="00F5344B"/>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3AE398"/>
  <w15:docId w15:val="{68F5892D-0139-0243-97D6-393CA828D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link w:val="a5"/>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6">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7">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8">
    <w:name w:val="Bibliography"/>
    <w:basedOn w:val="a"/>
    <w:qFormat/>
  </w:style>
  <w:style w:type="paragraph" w:styleId="a9">
    <w:name w:val="Block Text"/>
    <w:basedOn w:val="a0"/>
    <w:next w:val="a0"/>
    <w:uiPriority w:val="9"/>
    <w:unhideWhenUsed/>
    <w:qFormat/>
    <w:pPr>
      <w:spacing w:before="100" w:after="100"/>
      <w:ind w:left="480" w:right="480"/>
    </w:pPr>
  </w:style>
  <w:style w:type="paragraph" w:styleId="aa">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b">
    <w:name w:val="caption"/>
    <w:basedOn w:val="a"/>
    <w:link w:val="ac"/>
    <w:pPr>
      <w:spacing w:after="120"/>
    </w:pPr>
    <w:rPr>
      <w:i/>
    </w:rPr>
  </w:style>
  <w:style w:type="paragraph" w:customStyle="1" w:styleId="TableCaption">
    <w:name w:val="Table Caption"/>
    <w:basedOn w:val="ab"/>
    <w:pPr>
      <w:keepNext/>
    </w:pPr>
  </w:style>
  <w:style w:type="paragraph" w:customStyle="1" w:styleId="ImageCaption">
    <w:name w:val="Image Caption"/>
    <w:basedOn w:val="ab"/>
  </w:style>
  <w:style w:type="paragraph" w:customStyle="1" w:styleId="Figure">
    <w:name w:val="Figure"/>
    <w:basedOn w:val="a"/>
  </w:style>
  <w:style w:type="paragraph" w:customStyle="1" w:styleId="CaptionedFigure">
    <w:name w:val="Captioned Figure"/>
    <w:basedOn w:val="Figure"/>
    <w:pPr>
      <w:keepNext/>
    </w:pPr>
  </w:style>
  <w:style w:type="character" w:customStyle="1" w:styleId="ac">
    <w:name w:val="题注 字符"/>
    <w:basedOn w:val="a1"/>
    <w:link w:val="ab"/>
  </w:style>
  <w:style w:type="character" w:customStyle="1" w:styleId="VerbatimChar">
    <w:name w:val="Verbatim Char"/>
    <w:basedOn w:val="ac"/>
    <w:link w:val="SourceCode"/>
    <w:rPr>
      <w:rFonts w:ascii="Consolas" w:hAnsi="Consolas"/>
      <w:sz w:val="22"/>
    </w:rPr>
  </w:style>
  <w:style w:type="character" w:customStyle="1" w:styleId="SectionNumber">
    <w:name w:val="Section Number"/>
    <w:basedOn w:val="ac"/>
  </w:style>
  <w:style w:type="character" w:styleId="ad">
    <w:name w:val="footnote reference"/>
    <w:basedOn w:val="ac"/>
    <w:rPr>
      <w:vertAlign w:val="superscript"/>
    </w:rPr>
  </w:style>
  <w:style w:type="character" w:styleId="ae">
    <w:name w:val="Hyperlink"/>
    <w:basedOn w:val="ac"/>
    <w:rPr>
      <w:color w:val="4F81BD" w:themeColor="accent1"/>
    </w:rPr>
  </w:style>
  <w:style w:type="paragraph" w:styleId="TO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a5">
    <w:name w:val="标题 字符"/>
    <w:basedOn w:val="a1"/>
    <w:link w:val="a4"/>
    <w:rsid w:val="00261221"/>
    <w:rPr>
      <w:rFonts w:asciiTheme="majorHAnsi" w:eastAsiaTheme="majorEastAsia" w:hAnsiTheme="majorHAnsi" w:cstheme="majorBidi"/>
      <w:b/>
      <w:bCs/>
      <w:color w:val="345A8A" w:themeColor="accent1" w:themeShade="B5"/>
      <w:sz w:val="36"/>
      <w:szCs w:val="36"/>
    </w:rPr>
  </w:style>
  <w:style w:type="character" w:styleId="af">
    <w:name w:val="annotation reference"/>
    <w:basedOn w:val="a1"/>
    <w:semiHidden/>
    <w:unhideWhenUsed/>
    <w:rsid w:val="0015769A"/>
    <w:rPr>
      <w:sz w:val="21"/>
      <w:szCs w:val="21"/>
    </w:rPr>
  </w:style>
  <w:style w:type="paragraph" w:styleId="af0">
    <w:name w:val="annotation text"/>
    <w:basedOn w:val="a"/>
    <w:link w:val="af1"/>
    <w:semiHidden/>
    <w:unhideWhenUsed/>
    <w:rsid w:val="0015769A"/>
  </w:style>
  <w:style w:type="character" w:customStyle="1" w:styleId="af1">
    <w:name w:val="批注文字 字符"/>
    <w:basedOn w:val="a1"/>
    <w:link w:val="af0"/>
    <w:semiHidden/>
    <w:rsid w:val="0015769A"/>
  </w:style>
  <w:style w:type="paragraph" w:styleId="af2">
    <w:name w:val="annotation subject"/>
    <w:basedOn w:val="af0"/>
    <w:next w:val="af0"/>
    <w:link w:val="af3"/>
    <w:semiHidden/>
    <w:unhideWhenUsed/>
    <w:rsid w:val="0015769A"/>
    <w:rPr>
      <w:b/>
      <w:bCs/>
    </w:rPr>
  </w:style>
  <w:style w:type="character" w:customStyle="1" w:styleId="af3">
    <w:name w:val="批注主题 字符"/>
    <w:basedOn w:val="af1"/>
    <w:link w:val="af2"/>
    <w:semiHidden/>
    <w:rsid w:val="0015769A"/>
    <w:rPr>
      <w:b/>
      <w:bCs/>
    </w:rPr>
  </w:style>
  <w:style w:type="paragraph" w:styleId="af4">
    <w:name w:val="Balloon Text"/>
    <w:basedOn w:val="a"/>
    <w:link w:val="af5"/>
    <w:semiHidden/>
    <w:unhideWhenUsed/>
    <w:rsid w:val="0015769A"/>
    <w:pPr>
      <w:spacing w:after="0"/>
    </w:pPr>
    <w:rPr>
      <w:sz w:val="18"/>
      <w:szCs w:val="18"/>
    </w:rPr>
  </w:style>
  <w:style w:type="character" w:customStyle="1" w:styleId="af5">
    <w:name w:val="批注框文本 字符"/>
    <w:basedOn w:val="a1"/>
    <w:link w:val="af4"/>
    <w:semiHidden/>
    <w:rsid w:val="0015769A"/>
    <w:rPr>
      <w:sz w:val="18"/>
      <w:szCs w:val="18"/>
    </w:rPr>
  </w:style>
  <w:style w:type="character" w:styleId="af6">
    <w:name w:val="Placeholder Text"/>
    <w:basedOn w:val="a1"/>
    <w:semiHidden/>
    <w:rsid w:val="006C0116"/>
    <w:rPr>
      <w:color w:val="808080"/>
    </w:rPr>
  </w:style>
  <w:style w:type="paragraph" w:styleId="af7">
    <w:name w:val="header"/>
    <w:basedOn w:val="a"/>
    <w:link w:val="af8"/>
    <w:unhideWhenUsed/>
    <w:rsid w:val="00F50D68"/>
    <w:pPr>
      <w:pBdr>
        <w:bottom w:val="single" w:sz="6" w:space="1" w:color="auto"/>
      </w:pBdr>
      <w:tabs>
        <w:tab w:val="center" w:pos="4153"/>
        <w:tab w:val="right" w:pos="8306"/>
      </w:tabs>
      <w:snapToGrid w:val="0"/>
      <w:jc w:val="center"/>
    </w:pPr>
    <w:rPr>
      <w:sz w:val="18"/>
      <w:szCs w:val="18"/>
    </w:rPr>
  </w:style>
  <w:style w:type="character" w:customStyle="1" w:styleId="af8">
    <w:name w:val="页眉 字符"/>
    <w:basedOn w:val="a1"/>
    <w:link w:val="af7"/>
    <w:rsid w:val="00F50D68"/>
    <w:rPr>
      <w:sz w:val="18"/>
      <w:szCs w:val="18"/>
    </w:rPr>
  </w:style>
  <w:style w:type="paragraph" w:styleId="af9">
    <w:name w:val="footer"/>
    <w:basedOn w:val="a"/>
    <w:link w:val="afa"/>
    <w:unhideWhenUsed/>
    <w:rsid w:val="00F50D68"/>
    <w:pPr>
      <w:tabs>
        <w:tab w:val="center" w:pos="4153"/>
        <w:tab w:val="right" w:pos="8306"/>
      </w:tabs>
      <w:snapToGrid w:val="0"/>
    </w:pPr>
    <w:rPr>
      <w:sz w:val="18"/>
      <w:szCs w:val="18"/>
    </w:rPr>
  </w:style>
  <w:style w:type="character" w:customStyle="1" w:styleId="afa">
    <w:name w:val="页脚 字符"/>
    <w:basedOn w:val="a1"/>
    <w:link w:val="af9"/>
    <w:rsid w:val="00F50D68"/>
    <w:rPr>
      <w:sz w:val="18"/>
      <w:szCs w:val="18"/>
    </w:rPr>
  </w:style>
  <w:style w:type="character" w:styleId="afb">
    <w:name w:val="FollowedHyperlink"/>
    <w:basedOn w:val="a1"/>
    <w:semiHidden/>
    <w:unhideWhenUsed/>
    <w:rsid w:val="00673000"/>
    <w:rPr>
      <w:color w:val="800080" w:themeColor="followedHyperlink"/>
      <w:u w:val="single"/>
    </w:rPr>
  </w:style>
  <w:style w:type="table" w:styleId="afc">
    <w:name w:val="Table Grid"/>
    <w:basedOn w:val="a2"/>
    <w:rsid w:val="00DB71D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zhou@math.pk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2080</Words>
  <Characters>11859</Characters>
  <Application>Microsoft Office Word</Application>
  <DocSecurity>0</DocSecurity>
  <Lines>98</Lines>
  <Paragraphs>27</Paragraphs>
  <ScaleCrop>false</ScaleCrop>
  <Company>Peking University</Company>
  <LinksUpToDate>false</LinksUpToDate>
  <CharactersWithSpaces>13912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Transmission heterogeneity and Controllability: SARS-CoV-2 transmission in the rural area</dc:title>
  <dc:creator>Yuying Li;Taojun Hu;Xin Gai;Xiaohua Zhou</dc:creator>
  <cp:keywords/>
  <cp:lastModifiedBy>Liyuying</cp:lastModifiedBy>
  <cp:revision>2</cp:revision>
  <dcterms:created xsi:type="dcterms:W3CDTF">2021-03-20T16:35:00Z</dcterms:created>
  <dcterms:modified xsi:type="dcterms:W3CDTF">2021-03-20T16:35:00Z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cas-refs.bib</vt:lpwstr>
  </property>
  <property fmtid="{D5CDD505-2E9C-101B-9397-08002B2CF9AE}" pid="3" name="csl">
    <vt:lpwstr>/Users/johnnyhu/Documents/styles-master/dependent/jama.csl</vt:lpwstr>
  </property>
  <property fmtid="{D5CDD505-2E9C-101B-9397-08002B2CF9AE}" pid="4" name="link-citations">
    <vt:lpwstr>True</vt:lpwstr>
  </property>
</Properties>
</file>