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9F6C9" w14:textId="77777777" w:rsidR="0076521C" w:rsidRPr="007059B5" w:rsidRDefault="0076521C" w:rsidP="0076521C">
      <w:pPr>
        <w:keepNext/>
      </w:pPr>
      <w:r>
        <w:rPr>
          <w:noProof/>
          <w:lang w:eastAsia="ru-RU"/>
        </w:rPr>
        <w:drawing>
          <wp:inline distT="0" distB="0" distL="0" distR="0" wp14:anchorId="1EA1E643" wp14:editId="440B63A5">
            <wp:extent cx="4320000" cy="3778195"/>
            <wp:effectExtent l="0" t="0" r="4445" b="0"/>
            <wp:docPr id="7" name="Рисунок 7" descr="D:\Work\10 Articles-in-progress\-11 Anthracene Struct Chem\To-be-sent\Schemes\Schem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10 Articles-in-progress\-11 Anthracene Struct Chem\To-be-sent\Schemes\Schem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7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D2002" w14:textId="77777777" w:rsidR="0076521C" w:rsidRPr="007059B5" w:rsidRDefault="0076521C" w:rsidP="0076521C">
      <w:pPr>
        <w:pStyle w:val="Caption"/>
        <w:spacing w:after="240"/>
        <w:jc w:val="both"/>
        <w:rPr>
          <w:lang w:val="en-US"/>
        </w:rPr>
      </w:pPr>
      <w:bookmarkStart w:id="0" w:name="_Ref148610067"/>
      <w:r w:rsidRPr="007059B5">
        <w:rPr>
          <w:b/>
          <w:i w:val="0"/>
          <w:lang w:val="en-US"/>
        </w:rPr>
        <w:t xml:space="preserve">Scheme </w:t>
      </w:r>
      <w:r w:rsidRPr="007059B5">
        <w:rPr>
          <w:b/>
          <w:i w:val="0"/>
        </w:rPr>
        <w:fldChar w:fldCharType="begin"/>
      </w:r>
      <w:r w:rsidRPr="007059B5">
        <w:rPr>
          <w:b/>
          <w:i w:val="0"/>
          <w:lang w:val="en-US"/>
        </w:rPr>
        <w:instrText xml:space="preserve"> SEQ Scheme \* ARABIC </w:instrText>
      </w:r>
      <w:r w:rsidRPr="007059B5">
        <w:rPr>
          <w:b/>
          <w:i w:val="0"/>
        </w:rPr>
        <w:fldChar w:fldCharType="separate"/>
      </w:r>
      <w:r>
        <w:rPr>
          <w:b/>
          <w:i w:val="0"/>
          <w:noProof/>
          <w:lang w:val="en-US"/>
        </w:rPr>
        <w:t>1</w:t>
      </w:r>
      <w:r w:rsidRPr="007059B5">
        <w:rPr>
          <w:b/>
          <w:i w:val="0"/>
        </w:rPr>
        <w:fldChar w:fldCharType="end"/>
      </w:r>
      <w:bookmarkEnd w:id="0"/>
      <w:r w:rsidRPr="007059B5">
        <w:rPr>
          <w:lang w:val="en-US"/>
        </w:rPr>
        <w:t xml:space="preserve">. </w:t>
      </w:r>
      <w:r w:rsidRPr="007059B5">
        <w:rPr>
          <w:i w:val="0"/>
          <w:lang w:val="en-US"/>
        </w:rPr>
        <w:t>Three types of anthracenide rare earth complexes and different types of the dianionic ligand coordination mode: (</w:t>
      </w:r>
      <w:r w:rsidRPr="007059B5">
        <w:rPr>
          <w:lang w:val="en-US"/>
        </w:rPr>
        <w:t>Type I</w:t>
      </w:r>
      <w:r w:rsidRPr="007059B5">
        <w:rPr>
          <w:i w:val="0"/>
          <w:lang w:val="en-US"/>
        </w:rPr>
        <w:t xml:space="preserve">) </w:t>
      </w:r>
      <w:r w:rsidRPr="007059B5">
        <w:rPr>
          <w:lang w:val="en-US"/>
        </w:rPr>
        <w:t>bis</w:t>
      </w:r>
      <w:r w:rsidRPr="007059B5">
        <w:rPr>
          <w:i w:val="0"/>
          <w:lang w:val="en-US"/>
        </w:rPr>
        <w:t>-allylic μ</w:t>
      </w:r>
      <w:r w:rsidRPr="007059B5">
        <w:rPr>
          <w:i w:val="0"/>
          <w:vertAlign w:val="subscript"/>
          <w:lang w:val="en-US"/>
        </w:rPr>
        <w:t>2</w:t>
      </w:r>
      <w:r w:rsidRPr="007059B5">
        <w:rPr>
          <w:i w:val="0"/>
          <w:lang w:val="en-US"/>
        </w:rPr>
        <w:t>-η</w:t>
      </w:r>
      <w:r w:rsidRPr="007059B5">
        <w:rPr>
          <w:i w:val="0"/>
          <w:vertAlign w:val="superscript"/>
          <w:lang w:val="en-US"/>
        </w:rPr>
        <w:t>3</w:t>
      </w:r>
      <w:r w:rsidRPr="007059B5">
        <w:rPr>
          <w:i w:val="0"/>
          <w:lang w:val="en-US"/>
        </w:rPr>
        <w:t>:η</w:t>
      </w:r>
      <w:r w:rsidRPr="007059B5">
        <w:rPr>
          <w:i w:val="0"/>
          <w:vertAlign w:val="superscript"/>
          <w:lang w:val="en-US"/>
        </w:rPr>
        <w:t>3</w:t>
      </w:r>
      <w:r w:rsidRPr="007059B5">
        <w:rPr>
          <w:i w:val="0"/>
          <w:lang w:val="en-US"/>
        </w:rPr>
        <w:t xml:space="preserve"> bridging mode, (</w:t>
      </w:r>
      <w:r w:rsidRPr="007059B5">
        <w:rPr>
          <w:lang w:val="en-US"/>
        </w:rPr>
        <w:t>Type II</w:t>
      </w:r>
      <w:r w:rsidRPr="007059B5">
        <w:rPr>
          <w:i w:val="0"/>
          <w:lang w:val="en-US"/>
        </w:rPr>
        <w:t>) μ</w:t>
      </w:r>
      <w:r w:rsidRPr="007059B5">
        <w:rPr>
          <w:i w:val="0"/>
          <w:vertAlign w:val="subscript"/>
          <w:lang w:val="en-US"/>
        </w:rPr>
        <w:t>2</w:t>
      </w:r>
      <w:r w:rsidRPr="007059B5">
        <w:rPr>
          <w:i w:val="0"/>
          <w:lang w:val="en-US"/>
        </w:rPr>
        <w:t>-η</w:t>
      </w:r>
      <w:r w:rsidRPr="007059B5">
        <w:rPr>
          <w:i w:val="0"/>
          <w:vertAlign w:val="superscript"/>
          <w:lang w:val="en-US"/>
        </w:rPr>
        <w:t>4</w:t>
      </w:r>
      <w:r w:rsidRPr="007059B5">
        <w:rPr>
          <w:i w:val="0"/>
          <w:lang w:val="en-US"/>
        </w:rPr>
        <w:t>:η</w:t>
      </w:r>
      <w:r w:rsidRPr="007059B5">
        <w:rPr>
          <w:i w:val="0"/>
          <w:vertAlign w:val="superscript"/>
          <w:lang w:val="en-US"/>
        </w:rPr>
        <w:t>4</w:t>
      </w:r>
      <w:r w:rsidRPr="007059B5">
        <w:rPr>
          <w:i w:val="0"/>
          <w:lang w:val="en-US"/>
        </w:rPr>
        <w:t xml:space="preserve"> or μ</w:t>
      </w:r>
      <w:r w:rsidRPr="007059B5">
        <w:rPr>
          <w:i w:val="0"/>
          <w:vertAlign w:val="subscript"/>
          <w:lang w:val="en-US"/>
        </w:rPr>
        <w:t>2</w:t>
      </w:r>
      <w:r w:rsidRPr="007059B5">
        <w:rPr>
          <w:i w:val="0"/>
          <w:lang w:val="en-US"/>
        </w:rPr>
        <w:noBreakHyphen/>
        <w:t>η</w:t>
      </w:r>
      <w:r w:rsidRPr="007059B5">
        <w:rPr>
          <w:i w:val="0"/>
          <w:vertAlign w:val="superscript"/>
          <w:lang w:val="en-US"/>
        </w:rPr>
        <w:t>6</w:t>
      </w:r>
      <w:r w:rsidRPr="007059B5">
        <w:rPr>
          <w:i w:val="0"/>
          <w:lang w:val="en-US"/>
        </w:rPr>
        <w:t>:η</w:t>
      </w:r>
      <w:r w:rsidRPr="007059B5">
        <w:rPr>
          <w:i w:val="0"/>
          <w:vertAlign w:val="superscript"/>
          <w:lang w:val="en-US"/>
        </w:rPr>
        <w:t>6</w:t>
      </w:r>
      <w:r w:rsidRPr="007059B5">
        <w:rPr>
          <w:i w:val="0"/>
          <w:lang w:val="en-US"/>
        </w:rPr>
        <w:t xml:space="preserve"> bridging modes, (</w:t>
      </w:r>
      <w:r w:rsidRPr="007059B5">
        <w:rPr>
          <w:lang w:val="en-US"/>
        </w:rPr>
        <w:t>Type III</w:t>
      </w:r>
      <w:r w:rsidRPr="007059B5">
        <w:rPr>
          <w:i w:val="0"/>
          <w:lang w:val="en-US"/>
        </w:rPr>
        <w:t>) η</w:t>
      </w:r>
      <w:r w:rsidRPr="007059B5">
        <w:rPr>
          <w:i w:val="0"/>
          <w:vertAlign w:val="superscript"/>
          <w:lang w:val="en-US"/>
        </w:rPr>
        <w:t>2</w:t>
      </w:r>
      <w:r w:rsidRPr="007059B5">
        <w:rPr>
          <w:i w:val="0"/>
          <w:lang w:val="en-US"/>
        </w:rPr>
        <w:t>-coordination mode.</w:t>
      </w:r>
    </w:p>
    <w:p w14:paraId="53A50835" w14:textId="4F8CBE73" w:rsidR="003F1652" w:rsidRDefault="003F1652"/>
    <w:p w14:paraId="657319F7" w14:textId="0BB810EB" w:rsidR="0076521C" w:rsidRDefault="0076521C"/>
    <w:p w14:paraId="5B8E5722" w14:textId="77777777" w:rsidR="0076521C" w:rsidRPr="00E923CA" w:rsidRDefault="0076521C" w:rsidP="0076521C">
      <w:pPr>
        <w:keepNext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D657841" wp14:editId="38C342C9">
            <wp:extent cx="5760000" cy="1616412"/>
            <wp:effectExtent l="0" t="0" r="0" b="3175"/>
            <wp:docPr id="5" name="Рисунок 5" descr="D:\Work\10 Articles-in-progress\-11 Anthracene Struct Chem\To-be-sent\Schemes\Schem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10 Articles-in-progress\-11 Anthracene Struct Chem\To-be-sent\Schemes\Scheme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61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1931B" w14:textId="77777777" w:rsidR="0076521C" w:rsidRPr="00A43D24" w:rsidRDefault="0076521C" w:rsidP="0076521C">
      <w:pPr>
        <w:pStyle w:val="Caption"/>
        <w:jc w:val="both"/>
        <w:rPr>
          <w:b/>
          <w:i w:val="0"/>
          <w:lang w:val="en-US"/>
        </w:rPr>
      </w:pPr>
      <w:bookmarkStart w:id="1" w:name="_Ref148888589"/>
      <w:r w:rsidRPr="00DB258D">
        <w:rPr>
          <w:b/>
          <w:i w:val="0"/>
          <w:lang w:val="en-US"/>
        </w:rPr>
        <w:t xml:space="preserve">Scheme </w:t>
      </w:r>
      <w:r w:rsidRPr="00DB258D">
        <w:rPr>
          <w:b/>
          <w:i w:val="0"/>
        </w:rPr>
        <w:fldChar w:fldCharType="begin"/>
      </w:r>
      <w:r w:rsidRPr="00DB258D">
        <w:rPr>
          <w:b/>
          <w:i w:val="0"/>
          <w:lang w:val="en-US"/>
        </w:rPr>
        <w:instrText xml:space="preserve"> SEQ Scheme \* ARABIC </w:instrText>
      </w:r>
      <w:r w:rsidRPr="00DB258D">
        <w:rPr>
          <w:b/>
          <w:i w:val="0"/>
        </w:rPr>
        <w:fldChar w:fldCharType="separate"/>
      </w:r>
      <w:r>
        <w:rPr>
          <w:b/>
          <w:i w:val="0"/>
          <w:noProof/>
          <w:lang w:val="en-US"/>
        </w:rPr>
        <w:t>2</w:t>
      </w:r>
      <w:r w:rsidRPr="00DB258D">
        <w:rPr>
          <w:b/>
          <w:i w:val="0"/>
        </w:rPr>
        <w:fldChar w:fldCharType="end"/>
      </w:r>
      <w:bookmarkEnd w:id="1"/>
      <w:r w:rsidRPr="00DB258D">
        <w:rPr>
          <w:b/>
          <w:i w:val="0"/>
          <w:lang w:val="en-US"/>
        </w:rPr>
        <w:t>.</w:t>
      </w:r>
      <w:r>
        <w:rPr>
          <w:b/>
          <w:i w:val="0"/>
          <w:lang w:val="en-US"/>
        </w:rPr>
        <w:t xml:space="preserve"> </w:t>
      </w:r>
      <w:r w:rsidRPr="00DB258D">
        <w:rPr>
          <w:i w:val="0"/>
          <w:lang w:val="en-US"/>
        </w:rPr>
        <w:t>A one-</w:t>
      </w:r>
      <w:r w:rsidRPr="00C74CFA">
        <w:rPr>
          <w:i w:val="0"/>
          <w:lang w:val="en-US"/>
        </w:rPr>
        <w:t>pot synthesis of complexes [(</w:t>
      </w:r>
      <w:r w:rsidRPr="00C74CFA">
        <w:rPr>
          <w:i w:val="0"/>
        </w:rPr>
        <w:t>η</w:t>
      </w:r>
      <w:r w:rsidRPr="00C74CFA">
        <w:rPr>
          <w:i w:val="0"/>
          <w:vertAlign w:val="superscript"/>
          <w:lang w:val="en-US"/>
        </w:rPr>
        <w:t>5</w:t>
      </w:r>
      <w:r w:rsidRPr="00C74CFA">
        <w:rPr>
          <w:i w:val="0"/>
          <w:lang w:val="en-US"/>
        </w:rPr>
        <w:t>-Ph</w:t>
      </w:r>
      <w:r w:rsidRPr="00C74CFA">
        <w:rPr>
          <w:i w:val="0"/>
          <w:vertAlign w:val="subscript"/>
          <w:lang w:val="en-US"/>
        </w:rPr>
        <w:t>n</w:t>
      </w:r>
      <w:r w:rsidRPr="00C74CFA">
        <w:rPr>
          <w:i w:val="0"/>
          <w:lang w:val="en-US"/>
        </w:rPr>
        <w:t>C</w:t>
      </w:r>
      <w:r w:rsidRPr="00C74CFA">
        <w:rPr>
          <w:i w:val="0"/>
          <w:vertAlign w:val="subscript"/>
          <w:lang w:val="en-US"/>
        </w:rPr>
        <w:t>5</w:t>
      </w:r>
      <w:r w:rsidRPr="00C74CFA">
        <w:rPr>
          <w:i w:val="0"/>
          <w:lang w:val="en-US"/>
        </w:rPr>
        <w:t>H</w:t>
      </w:r>
      <w:r w:rsidRPr="00C74CFA">
        <w:rPr>
          <w:i w:val="0"/>
          <w:vertAlign w:val="subscript"/>
          <w:lang w:val="en-US"/>
        </w:rPr>
        <w:t>5-n</w:t>
      </w:r>
      <w:r w:rsidRPr="00C74CFA">
        <w:rPr>
          <w:i w:val="0"/>
          <w:lang w:val="en-US"/>
        </w:rPr>
        <w:t>)(</w:t>
      </w:r>
      <w:r w:rsidRPr="00C74CFA">
        <w:rPr>
          <w:i w:val="0"/>
        </w:rPr>
        <w:t>η</w:t>
      </w:r>
      <w:r w:rsidRPr="00C74CFA">
        <w:rPr>
          <w:i w:val="0"/>
          <w:vertAlign w:val="superscript"/>
          <w:lang w:val="en-US"/>
        </w:rPr>
        <w:t>2</w:t>
      </w:r>
      <w:r w:rsidRPr="00C74CFA">
        <w:rPr>
          <w:i w:val="0"/>
          <w:lang w:val="en-US"/>
        </w:rPr>
        <w:t>-2,6-R</w:t>
      </w:r>
      <w:r w:rsidRPr="00C74CFA">
        <w:rPr>
          <w:i w:val="0"/>
          <w:vertAlign w:val="subscript"/>
          <w:lang w:val="en-US"/>
        </w:rPr>
        <w:t>2</w:t>
      </w:r>
      <w:r w:rsidRPr="00C74CFA">
        <w:rPr>
          <w:i w:val="0"/>
          <w:lang w:val="en-US"/>
        </w:rPr>
        <w:t>C</w:t>
      </w:r>
      <w:r w:rsidRPr="00C74CFA">
        <w:rPr>
          <w:i w:val="0"/>
          <w:vertAlign w:val="subscript"/>
          <w:lang w:val="en-US"/>
        </w:rPr>
        <w:t>14</w:t>
      </w:r>
      <w:r w:rsidRPr="00C74CFA">
        <w:rPr>
          <w:i w:val="0"/>
          <w:lang w:val="en-US"/>
        </w:rPr>
        <w:t>H</w:t>
      </w:r>
      <w:r w:rsidRPr="00C74CFA">
        <w:rPr>
          <w:i w:val="0"/>
          <w:vertAlign w:val="subscript"/>
          <w:lang w:val="en-US"/>
        </w:rPr>
        <w:t>8</w:t>
      </w:r>
      <w:r w:rsidRPr="00C74CFA">
        <w:rPr>
          <w:i w:val="0"/>
          <w:lang w:val="en-US"/>
        </w:rPr>
        <w:t>)Ln(THF)</w:t>
      </w:r>
      <w:r w:rsidRPr="00C74CFA">
        <w:rPr>
          <w:i w:val="0"/>
          <w:vertAlign w:val="subscript"/>
          <w:lang w:val="en-US"/>
        </w:rPr>
        <w:t>2</w:t>
      </w:r>
      <w:r w:rsidRPr="00C74CFA">
        <w:rPr>
          <w:i w:val="0"/>
          <w:lang w:val="en-US"/>
        </w:rPr>
        <w:t xml:space="preserve">] (Ln=Lu, Y; n=2,3; R=H, </w:t>
      </w:r>
      <w:r w:rsidRPr="00C74CFA">
        <w:rPr>
          <w:i w:val="0"/>
          <w:vertAlign w:val="superscript"/>
          <w:lang w:val="en-US"/>
        </w:rPr>
        <w:t>t</w:t>
      </w:r>
      <w:r w:rsidRPr="00C74CFA">
        <w:rPr>
          <w:i w:val="0"/>
          <w:lang w:val="en-US"/>
        </w:rPr>
        <w:t>Bu).</w:t>
      </w:r>
      <w:r>
        <w:rPr>
          <w:i w:val="0"/>
          <w:lang w:val="en-US"/>
        </w:rPr>
        <w:t xml:space="preserve"> </w:t>
      </w:r>
    </w:p>
    <w:p w14:paraId="2F6DC856" w14:textId="7C501F5B" w:rsidR="0076521C" w:rsidRDefault="0076521C"/>
    <w:p w14:paraId="28CFE85C" w14:textId="4B11E677" w:rsidR="0076521C" w:rsidRDefault="0076521C"/>
    <w:p w14:paraId="45F9427A" w14:textId="77777777" w:rsidR="0076521C" w:rsidRPr="00457BEB" w:rsidRDefault="0076521C" w:rsidP="0076521C">
      <w:pPr>
        <w:pStyle w:val="ListParagraph"/>
        <w:ind w:left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9477DC8" wp14:editId="56B13C05">
            <wp:extent cx="5760000" cy="564322"/>
            <wp:effectExtent l="0" t="0" r="0" b="7620"/>
            <wp:docPr id="4" name="Рисунок 4" descr="D:\Work\10 Articles-in-progress\-11 Anthracene Struct Chem\To-be-sent\Schemes\Schem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10 Articles-in-progress\-11 Anthracene Struct Chem\To-be-sent\Schemes\Schem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6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81EEF" w14:textId="77777777" w:rsidR="0076521C" w:rsidRPr="00457BEB" w:rsidRDefault="0076521C" w:rsidP="0076521C">
      <w:pPr>
        <w:pStyle w:val="Caption"/>
        <w:spacing w:before="0" w:line="360" w:lineRule="auto"/>
        <w:jc w:val="both"/>
        <w:rPr>
          <w:i w:val="0"/>
          <w:lang w:val="en-US"/>
        </w:rPr>
      </w:pPr>
      <w:bookmarkStart w:id="2" w:name="_Ref150338655"/>
      <w:r w:rsidRPr="00457BEB">
        <w:rPr>
          <w:b/>
          <w:i w:val="0"/>
          <w:lang w:val="en-US"/>
        </w:rPr>
        <w:t xml:space="preserve">Scheme </w:t>
      </w:r>
      <w:r w:rsidRPr="00457BEB">
        <w:rPr>
          <w:b/>
          <w:i w:val="0"/>
        </w:rPr>
        <w:fldChar w:fldCharType="begin"/>
      </w:r>
      <w:r w:rsidRPr="00457BEB">
        <w:rPr>
          <w:b/>
          <w:i w:val="0"/>
          <w:lang w:val="en-US"/>
        </w:rPr>
        <w:instrText xml:space="preserve"> SEQ Scheme \* ARABIC </w:instrText>
      </w:r>
      <w:r w:rsidRPr="00457BEB">
        <w:rPr>
          <w:b/>
          <w:i w:val="0"/>
        </w:rPr>
        <w:fldChar w:fldCharType="separate"/>
      </w:r>
      <w:r>
        <w:rPr>
          <w:b/>
          <w:i w:val="0"/>
          <w:noProof/>
          <w:lang w:val="en-US"/>
        </w:rPr>
        <w:t>3</w:t>
      </w:r>
      <w:r w:rsidRPr="00457BEB">
        <w:rPr>
          <w:b/>
          <w:i w:val="0"/>
        </w:rPr>
        <w:fldChar w:fldCharType="end"/>
      </w:r>
      <w:bookmarkEnd w:id="2"/>
      <w:r w:rsidRPr="00457BEB">
        <w:rPr>
          <w:b/>
          <w:i w:val="0"/>
          <w:lang w:val="en-US"/>
        </w:rPr>
        <w:t xml:space="preserve">. </w:t>
      </w:r>
      <w:r w:rsidRPr="00457BEB">
        <w:rPr>
          <w:i w:val="0"/>
          <w:lang w:val="en-US"/>
        </w:rPr>
        <w:t>Polymerization tests.</w:t>
      </w:r>
    </w:p>
    <w:p w14:paraId="08C3434B" w14:textId="77777777" w:rsidR="0076521C" w:rsidRDefault="0076521C"/>
    <w:sectPr w:rsidR="007652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1C"/>
    <w:rsid w:val="003F1652"/>
    <w:rsid w:val="0076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B60D7"/>
  <w15:chartTrackingRefBased/>
  <w15:docId w15:val="{25EEA5B2-16C2-48F7-AD9C-31D5677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21C"/>
    <w:pPr>
      <w:spacing w:after="0" w:line="360" w:lineRule="auto"/>
    </w:pPr>
    <w:rPr>
      <w:rFonts w:ascii="Times New Roman" w:hAnsi="Times New Roman"/>
      <w:sz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76521C"/>
    <w:pPr>
      <w:suppressLineNumbers/>
      <w:suppressAutoHyphens/>
      <w:spacing w:before="120" w:after="120" w:line="320" w:lineRule="atLeast"/>
    </w:pPr>
    <w:rPr>
      <w:rFonts w:eastAsia="Times New Roman" w:cs="Droid Sans Fallback"/>
      <w:i/>
      <w:iCs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76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408</Characters>
  <Application>Microsoft Office Word</Application>
  <DocSecurity>0</DocSecurity>
  <Lines>3</Lines>
  <Paragraphs>1</Paragraphs>
  <ScaleCrop>false</ScaleCrop>
  <Company>Springer Nature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2023-11-18T07:07:00Z</dcterms:created>
  <dcterms:modified xsi:type="dcterms:W3CDTF">2023-11-18T07:07:00Z</dcterms:modified>
</cp:coreProperties>
</file>