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73D4D" w14:textId="77777777" w:rsidR="00A765E8" w:rsidRDefault="00A765E8" w:rsidP="00A765E8">
      <w:pPr>
        <w:pStyle w:val="Authornames"/>
        <w:jc w:val="center"/>
        <w:rPr>
          <w:b/>
          <w:bCs/>
          <w:szCs w:val="28"/>
          <w:lang w:val="en-US"/>
        </w:rPr>
      </w:pPr>
      <w:bookmarkStart w:id="0" w:name="_Hlk147766629"/>
      <w:r>
        <w:rPr>
          <w:b/>
          <w:bCs/>
          <w:szCs w:val="28"/>
          <w:lang w:val="en-US"/>
        </w:rPr>
        <w:t xml:space="preserve">Interactive effects of selected pharmaceutical products (metronidazole, diclofenac, ibuprofen) and differently functionalized nanoplastics on marine algae </w:t>
      </w:r>
      <w:r>
        <w:rPr>
          <w:b/>
          <w:bCs/>
          <w:i/>
          <w:iCs/>
          <w:szCs w:val="28"/>
          <w:lang w:val="en-US"/>
        </w:rPr>
        <w:t xml:space="preserve">Chlorella </w:t>
      </w:r>
      <w:r>
        <w:rPr>
          <w:b/>
          <w:bCs/>
          <w:szCs w:val="28"/>
          <w:lang w:val="en-US"/>
        </w:rPr>
        <w:t>sp.</w:t>
      </w:r>
      <w:bookmarkEnd w:id="0"/>
    </w:p>
    <w:p w14:paraId="06467A06" w14:textId="2C2B6A60" w:rsidR="006B3030" w:rsidRPr="004B35E5" w:rsidRDefault="006B3030" w:rsidP="006B3030">
      <w:pPr>
        <w:pStyle w:val="Authornames"/>
        <w:jc w:val="center"/>
        <w:rPr>
          <w:sz w:val="24"/>
          <w:lang w:val="pt-BR"/>
        </w:rPr>
      </w:pPr>
      <w:r w:rsidRPr="004B35E5">
        <w:rPr>
          <w:sz w:val="24"/>
          <w:lang w:val="pt-BR"/>
        </w:rPr>
        <w:t>Camil Rex, Bikram Poddar</w:t>
      </w:r>
      <w:r w:rsidR="00CF3355" w:rsidRPr="004B35E5">
        <w:rPr>
          <w:sz w:val="24"/>
          <w:vertAlign w:val="subscript"/>
          <w:lang w:val="pt-BR"/>
        </w:rPr>
        <w:t xml:space="preserve">, </w:t>
      </w:r>
      <w:r w:rsidR="00CF3355" w:rsidRPr="004B35E5">
        <w:rPr>
          <w:sz w:val="24"/>
          <w:lang w:val="pt-BR"/>
        </w:rPr>
        <w:t>Soupam Das</w:t>
      </w:r>
      <w:r w:rsidRPr="004B35E5">
        <w:rPr>
          <w:sz w:val="24"/>
          <w:lang w:val="pt-BR"/>
        </w:rPr>
        <w:t xml:space="preserve"> and Amitava Mukherjee</w:t>
      </w:r>
      <w:r w:rsidRPr="004B35E5">
        <w:rPr>
          <w:sz w:val="24"/>
          <w:vertAlign w:val="superscript"/>
          <w:lang w:val="pt-BR"/>
        </w:rPr>
        <w:t>a</w:t>
      </w:r>
      <w:r w:rsidRPr="004B35E5">
        <w:rPr>
          <w:sz w:val="24"/>
          <w:lang w:val="pt-BR"/>
        </w:rPr>
        <w:t>*</w:t>
      </w:r>
    </w:p>
    <w:p w14:paraId="08E4713E" w14:textId="77777777" w:rsidR="00F5227D" w:rsidRPr="004B35E5" w:rsidRDefault="00F5227D" w:rsidP="00186B7D">
      <w:pPr>
        <w:rPr>
          <w:rFonts w:ascii="Times New Roman" w:hAnsi="Times New Roman"/>
          <w:sz w:val="24"/>
          <w:szCs w:val="24"/>
          <w:lang w:val="pt-BR" w:eastAsia="en-GB"/>
        </w:rPr>
      </w:pPr>
    </w:p>
    <w:p w14:paraId="2BAFBB84" w14:textId="50A2E8F2" w:rsidR="00101053" w:rsidRPr="00CF3355" w:rsidRDefault="00101053" w:rsidP="00186B7D">
      <w:pPr>
        <w:jc w:val="center"/>
        <w:rPr>
          <w:rFonts w:ascii="Times New Roman" w:hAnsi="Times New Roman"/>
          <w:i/>
          <w:iCs/>
          <w:sz w:val="24"/>
          <w:szCs w:val="24"/>
        </w:rPr>
      </w:pPr>
      <w:r w:rsidRPr="00CF3355">
        <w:rPr>
          <w:rFonts w:ascii="Times New Roman" w:hAnsi="Times New Roman"/>
          <w:i/>
          <w:iCs/>
          <w:sz w:val="24"/>
          <w:szCs w:val="24"/>
        </w:rPr>
        <w:t>Centre for Nanobiotechnology, VIT, Vellore, Tamil Nadu, India</w:t>
      </w:r>
    </w:p>
    <w:p w14:paraId="0FB989AD" w14:textId="77777777" w:rsidR="00101053" w:rsidRPr="00CF3355" w:rsidRDefault="00101053" w:rsidP="00186B7D">
      <w:pPr>
        <w:spacing w:line="480" w:lineRule="auto"/>
        <w:jc w:val="both"/>
        <w:rPr>
          <w:rFonts w:ascii="Times New Roman" w:hAnsi="Times New Roman"/>
          <w:sz w:val="24"/>
          <w:szCs w:val="24"/>
        </w:rPr>
      </w:pP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r>
      <w:r w:rsidRPr="00CF3355">
        <w:rPr>
          <w:rFonts w:ascii="Times New Roman" w:hAnsi="Times New Roman"/>
          <w:sz w:val="24"/>
          <w:szCs w:val="24"/>
        </w:rPr>
        <w:tab/>
        <w:t xml:space="preserve">               </w:t>
      </w:r>
      <w:r w:rsidRPr="00CF3355">
        <w:rPr>
          <w:rFonts w:ascii="Times New Roman" w:hAnsi="Times New Roman"/>
          <w:b/>
          <w:bCs/>
          <w:sz w:val="24"/>
          <w:szCs w:val="24"/>
        </w:rPr>
        <w:t>* Corresponding Author</w:t>
      </w:r>
    </w:p>
    <w:p w14:paraId="5BE379B4" w14:textId="77777777" w:rsidR="00101053" w:rsidRPr="00CF3355" w:rsidRDefault="00101053" w:rsidP="00186B7D">
      <w:pPr>
        <w:spacing w:line="480" w:lineRule="auto"/>
        <w:jc w:val="both"/>
        <w:rPr>
          <w:rFonts w:ascii="Times New Roman" w:hAnsi="Times New Roman"/>
          <w:sz w:val="24"/>
          <w:szCs w:val="24"/>
          <w:lang w:val="en-US"/>
        </w:rPr>
      </w:pPr>
      <w:r w:rsidRPr="00CF3355">
        <w:rPr>
          <w:rFonts w:ascii="Times New Roman" w:hAnsi="Times New Roman"/>
          <w:sz w:val="24"/>
          <w:szCs w:val="24"/>
          <w:lang w:val="en-US"/>
        </w:rPr>
        <w:t>Amitava Mukherjee</w:t>
      </w:r>
    </w:p>
    <w:p w14:paraId="40C0CFA6" w14:textId="77777777" w:rsidR="00101053" w:rsidRPr="00CF3355" w:rsidRDefault="00101053" w:rsidP="00186B7D">
      <w:pPr>
        <w:spacing w:line="480" w:lineRule="auto"/>
        <w:jc w:val="both"/>
        <w:rPr>
          <w:rFonts w:ascii="Times New Roman" w:hAnsi="Times New Roman"/>
          <w:sz w:val="24"/>
          <w:szCs w:val="24"/>
          <w:lang w:val="en-US"/>
        </w:rPr>
      </w:pPr>
      <w:r w:rsidRPr="00CF3355">
        <w:rPr>
          <w:rFonts w:ascii="Times New Roman" w:hAnsi="Times New Roman"/>
          <w:sz w:val="24"/>
          <w:szCs w:val="24"/>
          <w:lang w:val="en-US"/>
        </w:rPr>
        <w:t>Senior Professor and Director</w:t>
      </w:r>
    </w:p>
    <w:p w14:paraId="3FEAE44D" w14:textId="77777777" w:rsidR="00101053" w:rsidRPr="00CF3355" w:rsidRDefault="00101053" w:rsidP="00186B7D">
      <w:pPr>
        <w:spacing w:line="480" w:lineRule="auto"/>
        <w:jc w:val="both"/>
        <w:rPr>
          <w:rFonts w:ascii="Times New Roman" w:hAnsi="Times New Roman"/>
          <w:sz w:val="24"/>
          <w:szCs w:val="24"/>
        </w:rPr>
      </w:pPr>
      <w:r w:rsidRPr="00CF3355">
        <w:rPr>
          <w:rFonts w:ascii="Times New Roman" w:hAnsi="Times New Roman"/>
          <w:sz w:val="24"/>
          <w:szCs w:val="24"/>
        </w:rPr>
        <w:t>Centre for Nanobiotechnology</w:t>
      </w:r>
    </w:p>
    <w:p w14:paraId="31454560" w14:textId="77777777" w:rsidR="00101053" w:rsidRPr="00CF3355" w:rsidRDefault="00101053" w:rsidP="00186B7D">
      <w:pPr>
        <w:spacing w:line="480" w:lineRule="auto"/>
        <w:jc w:val="both"/>
        <w:rPr>
          <w:rFonts w:ascii="Times New Roman" w:hAnsi="Times New Roman"/>
          <w:sz w:val="24"/>
          <w:szCs w:val="24"/>
        </w:rPr>
      </w:pPr>
      <w:r w:rsidRPr="00CF3355">
        <w:rPr>
          <w:rFonts w:ascii="Times New Roman" w:hAnsi="Times New Roman"/>
          <w:sz w:val="24"/>
          <w:szCs w:val="24"/>
        </w:rPr>
        <w:t>Vellore Institute of Technology, Vellore 632014, India</w:t>
      </w:r>
    </w:p>
    <w:p w14:paraId="498340D3" w14:textId="77777777" w:rsidR="00101053" w:rsidRPr="00CF3355" w:rsidRDefault="00101053" w:rsidP="00186B7D">
      <w:pPr>
        <w:spacing w:line="480" w:lineRule="auto"/>
        <w:jc w:val="both"/>
        <w:rPr>
          <w:rFonts w:ascii="Times New Roman" w:hAnsi="Times New Roman"/>
          <w:b/>
          <w:bCs/>
          <w:sz w:val="24"/>
          <w:szCs w:val="24"/>
        </w:rPr>
      </w:pPr>
      <w:r w:rsidRPr="00CF3355">
        <w:rPr>
          <w:rFonts w:ascii="Times New Roman" w:hAnsi="Times New Roman"/>
          <w:sz w:val="24"/>
          <w:szCs w:val="24"/>
        </w:rPr>
        <w:t xml:space="preserve">Email: </w:t>
      </w:r>
      <w:hyperlink r:id="rId7" w:history="1">
        <w:r w:rsidRPr="00CF3355">
          <w:rPr>
            <w:rStyle w:val="Hyperlink"/>
            <w:rFonts w:ascii="Times New Roman" w:hAnsi="Times New Roman"/>
            <w:sz w:val="24"/>
            <w:szCs w:val="24"/>
          </w:rPr>
          <w:t>amitav@vit.ac.in, amit.mookerjea@gmail.com</w:t>
        </w:r>
      </w:hyperlink>
      <w:r w:rsidRPr="00CF3355">
        <w:rPr>
          <w:rFonts w:ascii="Times New Roman" w:hAnsi="Times New Roman"/>
          <w:sz w:val="24"/>
          <w:szCs w:val="24"/>
        </w:rPr>
        <w:t xml:space="preserve"> </w:t>
      </w:r>
      <w:r w:rsidRPr="00CF3355">
        <w:rPr>
          <w:rFonts w:ascii="Times New Roman" w:hAnsi="Times New Roman"/>
          <w:sz w:val="24"/>
          <w:szCs w:val="24"/>
        </w:rPr>
        <w:br w:type="page"/>
      </w:r>
    </w:p>
    <w:p w14:paraId="4B5ACD65" w14:textId="77777777" w:rsidR="00101053" w:rsidRPr="00CF3355" w:rsidRDefault="00101053" w:rsidP="00186B7D">
      <w:pPr>
        <w:spacing w:line="480" w:lineRule="auto"/>
        <w:jc w:val="center"/>
        <w:rPr>
          <w:rFonts w:ascii="Times New Roman" w:hAnsi="Times New Roman"/>
          <w:b/>
          <w:sz w:val="24"/>
          <w:szCs w:val="24"/>
          <w:u w:val="single"/>
          <w:lang w:val="en-GB"/>
        </w:rPr>
      </w:pPr>
      <w:r w:rsidRPr="00CF3355">
        <w:rPr>
          <w:rFonts w:ascii="Times New Roman" w:hAnsi="Times New Roman"/>
          <w:b/>
          <w:sz w:val="24"/>
          <w:szCs w:val="24"/>
          <w:u w:val="single"/>
          <w:lang w:val="en-GB"/>
        </w:rPr>
        <w:lastRenderedPageBreak/>
        <w:t>Supplementary Information</w:t>
      </w:r>
    </w:p>
    <w:p w14:paraId="7586875C" w14:textId="77777777" w:rsidR="00101053" w:rsidRPr="00CF3355" w:rsidRDefault="00101053" w:rsidP="00186B7D">
      <w:pPr>
        <w:spacing w:line="480" w:lineRule="auto"/>
        <w:jc w:val="both"/>
        <w:rPr>
          <w:rFonts w:ascii="Times New Roman" w:hAnsi="Times New Roman"/>
          <w:b/>
          <w:sz w:val="24"/>
          <w:szCs w:val="24"/>
          <w:u w:val="single"/>
          <w:lang w:val="en-GB"/>
        </w:rPr>
      </w:pPr>
      <w:r w:rsidRPr="00CF3355">
        <w:rPr>
          <w:rFonts w:ascii="Times New Roman" w:hAnsi="Times New Roman"/>
          <w:b/>
          <w:sz w:val="24"/>
          <w:szCs w:val="24"/>
          <w:u w:val="single"/>
          <w:lang w:val="en-GB"/>
        </w:rPr>
        <w:t xml:space="preserve">Tables: </w:t>
      </w:r>
    </w:p>
    <w:p w14:paraId="4503D54C" w14:textId="77777777" w:rsidR="00101053" w:rsidRPr="00CF3355" w:rsidRDefault="00101053" w:rsidP="00186B7D">
      <w:pPr>
        <w:spacing w:after="0" w:line="480" w:lineRule="auto"/>
        <w:jc w:val="both"/>
        <w:rPr>
          <w:rFonts w:ascii="Times New Roman" w:eastAsia="Times New Roman" w:hAnsi="Times New Roman"/>
          <w:b/>
          <w:sz w:val="24"/>
          <w:szCs w:val="24"/>
          <w:u w:val="single"/>
        </w:rPr>
      </w:pPr>
      <w:r w:rsidRPr="00CF3355">
        <w:rPr>
          <w:rFonts w:ascii="Times New Roman" w:eastAsia="Times New Roman" w:hAnsi="Times New Roman"/>
          <w:b/>
          <w:sz w:val="24"/>
          <w:szCs w:val="24"/>
        </w:rPr>
        <w:t xml:space="preserve">Table S1. Composition of Artificial Sea Water per 1000 ml </w:t>
      </w:r>
    </w:p>
    <w:p w14:paraId="3F1AAEA2" w14:textId="77777777" w:rsidR="00101053" w:rsidRPr="00CF3355" w:rsidRDefault="00101053" w:rsidP="00186B7D">
      <w:pPr>
        <w:spacing w:after="0" w:line="480" w:lineRule="auto"/>
        <w:jc w:val="both"/>
        <w:rPr>
          <w:rFonts w:ascii="Times New Roman" w:eastAsia="Times New Roman" w:hAnsi="Times New Roman"/>
          <w:color w:val="000000"/>
          <w:sz w:val="24"/>
          <w:szCs w:val="24"/>
          <w:u w:val="single"/>
        </w:rPr>
      </w:pPr>
    </w:p>
    <w:tbl>
      <w:tblPr>
        <w:tblStyle w:val="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101053" w:rsidRPr="00CF3355" w14:paraId="22A8D7B9" w14:textId="77777777" w:rsidTr="000249F2">
        <w:tc>
          <w:tcPr>
            <w:tcW w:w="4675" w:type="dxa"/>
          </w:tcPr>
          <w:p w14:paraId="7DAA5783" w14:textId="77777777" w:rsidR="00101053" w:rsidRPr="00CF3355" w:rsidRDefault="00101053" w:rsidP="000249F2">
            <w:pPr>
              <w:spacing w:line="480" w:lineRule="auto"/>
              <w:jc w:val="center"/>
              <w:rPr>
                <w:rFonts w:ascii="Times New Roman" w:eastAsia="Times New Roman" w:hAnsi="Times New Roman"/>
                <w:b/>
                <w:sz w:val="24"/>
                <w:szCs w:val="24"/>
              </w:rPr>
            </w:pPr>
            <w:r w:rsidRPr="00CF3355">
              <w:rPr>
                <w:rFonts w:ascii="Times New Roman" w:eastAsia="Times New Roman" w:hAnsi="Times New Roman"/>
                <w:b/>
                <w:sz w:val="24"/>
                <w:szCs w:val="24"/>
              </w:rPr>
              <w:t>Chemicals</w:t>
            </w:r>
          </w:p>
        </w:tc>
        <w:tc>
          <w:tcPr>
            <w:tcW w:w="4675" w:type="dxa"/>
          </w:tcPr>
          <w:p w14:paraId="0AEC348E" w14:textId="77777777" w:rsidR="00101053" w:rsidRPr="00CF3355" w:rsidRDefault="00101053" w:rsidP="000249F2">
            <w:pPr>
              <w:spacing w:line="480" w:lineRule="auto"/>
              <w:jc w:val="center"/>
              <w:rPr>
                <w:rFonts w:ascii="Times New Roman" w:eastAsia="Times New Roman" w:hAnsi="Times New Roman"/>
                <w:b/>
                <w:sz w:val="24"/>
                <w:szCs w:val="24"/>
              </w:rPr>
            </w:pPr>
            <w:r w:rsidRPr="00CF3355">
              <w:rPr>
                <w:rFonts w:ascii="Times New Roman" w:eastAsia="Times New Roman" w:hAnsi="Times New Roman"/>
                <w:b/>
                <w:sz w:val="24"/>
                <w:szCs w:val="24"/>
              </w:rPr>
              <w:t>Grams</w:t>
            </w:r>
          </w:p>
        </w:tc>
      </w:tr>
      <w:tr w:rsidR="00101053" w:rsidRPr="00CF3355" w14:paraId="48B7630B" w14:textId="77777777" w:rsidTr="000249F2">
        <w:tc>
          <w:tcPr>
            <w:tcW w:w="4675" w:type="dxa"/>
          </w:tcPr>
          <w:p w14:paraId="42688729"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Sodium Chloride</w:t>
            </w:r>
          </w:p>
        </w:tc>
        <w:tc>
          <w:tcPr>
            <w:tcW w:w="4675" w:type="dxa"/>
          </w:tcPr>
          <w:p w14:paraId="3F15F727"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26.29</w:t>
            </w:r>
          </w:p>
        </w:tc>
      </w:tr>
      <w:tr w:rsidR="00101053" w:rsidRPr="00CF3355" w14:paraId="48EC41AC" w14:textId="77777777" w:rsidTr="000249F2">
        <w:tc>
          <w:tcPr>
            <w:tcW w:w="4675" w:type="dxa"/>
          </w:tcPr>
          <w:p w14:paraId="3E5F6899"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Potassium chloride</w:t>
            </w:r>
          </w:p>
        </w:tc>
        <w:tc>
          <w:tcPr>
            <w:tcW w:w="4675" w:type="dxa"/>
          </w:tcPr>
          <w:p w14:paraId="6D3C99FC"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0.74</w:t>
            </w:r>
          </w:p>
        </w:tc>
      </w:tr>
      <w:tr w:rsidR="00101053" w:rsidRPr="00CF3355" w14:paraId="04D6E2CB" w14:textId="77777777" w:rsidTr="000249F2">
        <w:tc>
          <w:tcPr>
            <w:tcW w:w="4675" w:type="dxa"/>
          </w:tcPr>
          <w:p w14:paraId="2AA03755"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Calcium chloride</w:t>
            </w:r>
          </w:p>
        </w:tc>
        <w:tc>
          <w:tcPr>
            <w:tcW w:w="4675" w:type="dxa"/>
          </w:tcPr>
          <w:p w14:paraId="5F77752B"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0.99</w:t>
            </w:r>
          </w:p>
        </w:tc>
      </w:tr>
      <w:tr w:rsidR="00101053" w:rsidRPr="00CF3355" w14:paraId="2232C655" w14:textId="77777777" w:rsidTr="000249F2">
        <w:tc>
          <w:tcPr>
            <w:tcW w:w="4675" w:type="dxa"/>
          </w:tcPr>
          <w:p w14:paraId="42C73600"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Magnesium chloride</w:t>
            </w:r>
          </w:p>
        </w:tc>
        <w:tc>
          <w:tcPr>
            <w:tcW w:w="4675" w:type="dxa"/>
          </w:tcPr>
          <w:p w14:paraId="6F6F76F0"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6.09</w:t>
            </w:r>
          </w:p>
        </w:tc>
      </w:tr>
      <w:tr w:rsidR="00101053" w:rsidRPr="00CF3355" w14:paraId="0EEF6195" w14:textId="77777777" w:rsidTr="000249F2">
        <w:tc>
          <w:tcPr>
            <w:tcW w:w="4675" w:type="dxa"/>
          </w:tcPr>
          <w:p w14:paraId="10EF6926"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Magnesium sulphate heptahydrate</w:t>
            </w:r>
          </w:p>
        </w:tc>
        <w:tc>
          <w:tcPr>
            <w:tcW w:w="4675" w:type="dxa"/>
          </w:tcPr>
          <w:p w14:paraId="4BA1881B"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3.94</w:t>
            </w:r>
          </w:p>
        </w:tc>
      </w:tr>
    </w:tbl>
    <w:p w14:paraId="107F4894" w14:textId="77777777" w:rsidR="00101053" w:rsidRPr="00CF3355" w:rsidRDefault="00101053" w:rsidP="00186B7D">
      <w:pPr>
        <w:spacing w:line="480" w:lineRule="auto"/>
        <w:jc w:val="both"/>
        <w:rPr>
          <w:rFonts w:ascii="Times New Roman" w:hAnsi="Times New Roman"/>
          <w:b/>
          <w:sz w:val="24"/>
          <w:szCs w:val="24"/>
          <w:lang w:val="en-GB"/>
        </w:rPr>
      </w:pPr>
    </w:p>
    <w:p w14:paraId="7E10191F" w14:textId="77777777" w:rsidR="00101053" w:rsidRPr="00CF3355" w:rsidRDefault="00101053" w:rsidP="00186B7D">
      <w:pPr>
        <w:spacing w:line="480" w:lineRule="auto"/>
        <w:rPr>
          <w:rFonts w:ascii="Times New Roman" w:eastAsia="Times New Roman" w:hAnsi="Times New Roman"/>
          <w:b/>
          <w:color w:val="000000"/>
          <w:sz w:val="24"/>
          <w:szCs w:val="24"/>
        </w:rPr>
      </w:pPr>
      <w:r w:rsidRPr="00CF3355">
        <w:rPr>
          <w:rFonts w:ascii="Times New Roman" w:eastAsia="Times New Roman" w:hAnsi="Times New Roman"/>
          <w:b/>
          <w:color w:val="000000"/>
          <w:sz w:val="24"/>
          <w:szCs w:val="24"/>
        </w:rPr>
        <w:t>Table S2. Preparation of Conway medium</w:t>
      </w:r>
    </w:p>
    <w:p w14:paraId="4AA0C5C7" w14:textId="77777777" w:rsidR="00101053" w:rsidRPr="00CF3355" w:rsidRDefault="00101053" w:rsidP="00186B7D">
      <w:pPr>
        <w:spacing w:line="480" w:lineRule="auto"/>
        <w:rPr>
          <w:rFonts w:ascii="Times New Roman" w:eastAsia="Times New Roman" w:hAnsi="Times New Roman"/>
          <w:b/>
          <w:color w:val="000000"/>
          <w:sz w:val="24"/>
          <w:szCs w:val="24"/>
        </w:rPr>
      </w:pPr>
      <w:r w:rsidRPr="00CF3355">
        <w:rPr>
          <w:rFonts w:ascii="Times New Roman" w:eastAsia="Times New Roman" w:hAnsi="Times New Roman"/>
          <w:b/>
          <w:color w:val="000000"/>
          <w:sz w:val="24"/>
          <w:szCs w:val="24"/>
        </w:rPr>
        <w:t>Table S2.</w:t>
      </w:r>
      <w:r w:rsidRPr="00CF3355">
        <w:rPr>
          <w:rFonts w:ascii="Times New Roman" w:hAnsi="Times New Roman"/>
          <w:sz w:val="24"/>
          <w:szCs w:val="24"/>
        </w:rPr>
        <w:t>1</w:t>
      </w:r>
      <w:r w:rsidRPr="00CF3355">
        <w:rPr>
          <w:rFonts w:ascii="Times New Roman" w:eastAsia="Times New Roman" w:hAnsi="Times New Roman"/>
          <w:b/>
          <w:color w:val="000000"/>
          <w:sz w:val="24"/>
          <w:szCs w:val="24"/>
        </w:rPr>
        <w:t xml:space="preserve"> Preparation of stock 1 per 100 ml</w:t>
      </w:r>
    </w:p>
    <w:tbl>
      <w:tblPr>
        <w:tblStyle w:val="3"/>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101053" w:rsidRPr="00CF3355" w14:paraId="6FA2FA52" w14:textId="77777777" w:rsidTr="000249F2">
        <w:trPr>
          <w:jc w:val="center"/>
        </w:trPr>
        <w:tc>
          <w:tcPr>
            <w:tcW w:w="4675" w:type="dxa"/>
          </w:tcPr>
          <w:p w14:paraId="14D04587"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b/>
                <w:color w:val="000000"/>
                <w:sz w:val="24"/>
                <w:szCs w:val="24"/>
              </w:rPr>
            </w:pPr>
            <w:r w:rsidRPr="00CF3355">
              <w:rPr>
                <w:rFonts w:ascii="Times New Roman" w:eastAsia="Times New Roman" w:hAnsi="Times New Roman"/>
                <w:b/>
                <w:color w:val="000000"/>
                <w:sz w:val="24"/>
                <w:szCs w:val="24"/>
              </w:rPr>
              <w:t>Chemicals</w:t>
            </w:r>
          </w:p>
        </w:tc>
        <w:tc>
          <w:tcPr>
            <w:tcW w:w="4675" w:type="dxa"/>
          </w:tcPr>
          <w:p w14:paraId="1508048B"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b/>
                <w:color w:val="000000"/>
                <w:sz w:val="24"/>
                <w:szCs w:val="24"/>
              </w:rPr>
            </w:pPr>
            <w:r w:rsidRPr="00CF3355">
              <w:rPr>
                <w:rFonts w:ascii="Times New Roman" w:eastAsia="Times New Roman" w:hAnsi="Times New Roman"/>
                <w:b/>
                <w:color w:val="000000"/>
                <w:sz w:val="24"/>
                <w:szCs w:val="24"/>
              </w:rPr>
              <w:t>Grams</w:t>
            </w:r>
          </w:p>
        </w:tc>
      </w:tr>
      <w:tr w:rsidR="00101053" w:rsidRPr="00CF3355" w14:paraId="6AE2CB00" w14:textId="77777777" w:rsidTr="000249F2">
        <w:trPr>
          <w:jc w:val="center"/>
        </w:trPr>
        <w:tc>
          <w:tcPr>
            <w:tcW w:w="4675" w:type="dxa"/>
          </w:tcPr>
          <w:p w14:paraId="5A6A13F9"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color w:val="000000"/>
                <w:sz w:val="24"/>
                <w:szCs w:val="24"/>
              </w:rPr>
            </w:pPr>
            <w:r w:rsidRPr="00CF3355">
              <w:rPr>
                <w:rFonts w:ascii="Times New Roman" w:eastAsia="Times New Roman" w:hAnsi="Times New Roman"/>
                <w:color w:val="000000"/>
                <w:sz w:val="24"/>
                <w:szCs w:val="24"/>
              </w:rPr>
              <w:t>Zinc chloride</w:t>
            </w:r>
          </w:p>
        </w:tc>
        <w:tc>
          <w:tcPr>
            <w:tcW w:w="4675" w:type="dxa"/>
          </w:tcPr>
          <w:p w14:paraId="328D1EC9"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color w:val="000000"/>
                <w:sz w:val="24"/>
                <w:szCs w:val="24"/>
              </w:rPr>
            </w:pPr>
            <w:r w:rsidRPr="00CF3355">
              <w:rPr>
                <w:rFonts w:ascii="Times New Roman" w:eastAsia="Times New Roman" w:hAnsi="Times New Roman"/>
                <w:color w:val="000000"/>
                <w:sz w:val="24"/>
                <w:szCs w:val="24"/>
              </w:rPr>
              <w:t>2.1</w:t>
            </w:r>
          </w:p>
        </w:tc>
      </w:tr>
      <w:tr w:rsidR="00101053" w:rsidRPr="00CF3355" w14:paraId="400F5009" w14:textId="77777777" w:rsidTr="000249F2">
        <w:trPr>
          <w:jc w:val="center"/>
        </w:trPr>
        <w:tc>
          <w:tcPr>
            <w:tcW w:w="4675" w:type="dxa"/>
          </w:tcPr>
          <w:p w14:paraId="1992B1DE"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color w:val="000000"/>
                <w:sz w:val="24"/>
                <w:szCs w:val="24"/>
              </w:rPr>
            </w:pPr>
            <w:r w:rsidRPr="00CF3355">
              <w:rPr>
                <w:rFonts w:ascii="Times New Roman" w:eastAsia="Times New Roman" w:hAnsi="Times New Roman"/>
                <w:color w:val="000000"/>
                <w:sz w:val="24"/>
                <w:szCs w:val="24"/>
              </w:rPr>
              <w:t>Cobalt chloride</w:t>
            </w:r>
          </w:p>
        </w:tc>
        <w:tc>
          <w:tcPr>
            <w:tcW w:w="4675" w:type="dxa"/>
          </w:tcPr>
          <w:p w14:paraId="2BBE56A9"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color w:val="000000"/>
                <w:sz w:val="24"/>
                <w:szCs w:val="24"/>
              </w:rPr>
            </w:pPr>
            <w:r w:rsidRPr="00CF3355">
              <w:rPr>
                <w:rFonts w:ascii="Times New Roman" w:eastAsia="Times New Roman" w:hAnsi="Times New Roman"/>
                <w:color w:val="000000"/>
                <w:sz w:val="24"/>
                <w:szCs w:val="24"/>
              </w:rPr>
              <w:t>2.0</w:t>
            </w:r>
          </w:p>
        </w:tc>
      </w:tr>
      <w:tr w:rsidR="00101053" w:rsidRPr="00CF3355" w14:paraId="277F7A2B" w14:textId="77777777" w:rsidTr="000249F2">
        <w:trPr>
          <w:jc w:val="center"/>
        </w:trPr>
        <w:tc>
          <w:tcPr>
            <w:tcW w:w="4675" w:type="dxa"/>
          </w:tcPr>
          <w:p w14:paraId="267E3D6A"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color w:val="000000"/>
                <w:sz w:val="24"/>
                <w:szCs w:val="24"/>
              </w:rPr>
            </w:pPr>
            <w:r w:rsidRPr="00CF3355">
              <w:rPr>
                <w:rFonts w:ascii="Times New Roman" w:eastAsia="Times New Roman" w:hAnsi="Times New Roman"/>
                <w:color w:val="000000"/>
                <w:sz w:val="24"/>
                <w:szCs w:val="24"/>
              </w:rPr>
              <w:t>Ammomium molybdate</w:t>
            </w:r>
          </w:p>
        </w:tc>
        <w:tc>
          <w:tcPr>
            <w:tcW w:w="4675" w:type="dxa"/>
          </w:tcPr>
          <w:p w14:paraId="5406E4AC"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color w:val="000000"/>
                <w:sz w:val="24"/>
                <w:szCs w:val="24"/>
              </w:rPr>
            </w:pPr>
            <w:r w:rsidRPr="00CF3355">
              <w:rPr>
                <w:rFonts w:ascii="Times New Roman" w:eastAsia="Times New Roman" w:hAnsi="Times New Roman"/>
                <w:color w:val="000000"/>
                <w:sz w:val="24"/>
                <w:szCs w:val="24"/>
              </w:rPr>
              <w:t>0.9</w:t>
            </w:r>
          </w:p>
        </w:tc>
      </w:tr>
      <w:tr w:rsidR="00101053" w:rsidRPr="00CF3355" w14:paraId="7434C909" w14:textId="77777777" w:rsidTr="000249F2">
        <w:trPr>
          <w:jc w:val="center"/>
        </w:trPr>
        <w:tc>
          <w:tcPr>
            <w:tcW w:w="4675" w:type="dxa"/>
          </w:tcPr>
          <w:p w14:paraId="607E9BBC"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color w:val="000000"/>
                <w:sz w:val="24"/>
                <w:szCs w:val="24"/>
              </w:rPr>
            </w:pPr>
            <w:r w:rsidRPr="00CF3355">
              <w:rPr>
                <w:rFonts w:ascii="Times New Roman" w:eastAsia="Times New Roman" w:hAnsi="Times New Roman"/>
                <w:color w:val="000000"/>
                <w:sz w:val="24"/>
                <w:szCs w:val="24"/>
              </w:rPr>
              <w:t>Copper sulphate</w:t>
            </w:r>
          </w:p>
        </w:tc>
        <w:tc>
          <w:tcPr>
            <w:tcW w:w="4675" w:type="dxa"/>
          </w:tcPr>
          <w:p w14:paraId="74296C83" w14:textId="77777777" w:rsidR="00101053" w:rsidRPr="00CF3355" w:rsidRDefault="00101053" w:rsidP="000249F2">
            <w:pPr>
              <w:pBdr>
                <w:top w:val="nil"/>
                <w:left w:val="nil"/>
                <w:bottom w:val="nil"/>
                <w:right w:val="nil"/>
                <w:between w:val="nil"/>
              </w:pBdr>
              <w:spacing w:line="480" w:lineRule="auto"/>
              <w:jc w:val="center"/>
              <w:rPr>
                <w:rFonts w:ascii="Times New Roman" w:eastAsia="Times New Roman" w:hAnsi="Times New Roman"/>
                <w:color w:val="000000"/>
                <w:sz w:val="24"/>
                <w:szCs w:val="24"/>
              </w:rPr>
            </w:pPr>
            <w:r w:rsidRPr="00CF3355">
              <w:rPr>
                <w:rFonts w:ascii="Times New Roman" w:eastAsia="Times New Roman" w:hAnsi="Times New Roman"/>
                <w:color w:val="000000"/>
                <w:sz w:val="24"/>
                <w:szCs w:val="24"/>
              </w:rPr>
              <w:t>2.0</w:t>
            </w:r>
          </w:p>
        </w:tc>
      </w:tr>
    </w:tbl>
    <w:p w14:paraId="28114A65" w14:textId="77777777" w:rsidR="00101053" w:rsidRPr="00CF3355" w:rsidRDefault="00101053" w:rsidP="00186B7D">
      <w:pPr>
        <w:pBdr>
          <w:top w:val="nil"/>
          <w:left w:val="nil"/>
          <w:bottom w:val="nil"/>
          <w:right w:val="nil"/>
          <w:between w:val="nil"/>
        </w:pBdr>
        <w:spacing w:after="0" w:line="480" w:lineRule="auto"/>
        <w:rPr>
          <w:rFonts w:ascii="Times New Roman" w:eastAsia="Times New Roman" w:hAnsi="Times New Roman"/>
          <w:b/>
          <w:color w:val="000000"/>
          <w:sz w:val="24"/>
          <w:szCs w:val="24"/>
        </w:rPr>
      </w:pPr>
    </w:p>
    <w:p w14:paraId="3A5FBC5D" w14:textId="77777777" w:rsidR="00101053" w:rsidRPr="00CF3355" w:rsidRDefault="00101053" w:rsidP="00186B7D">
      <w:pPr>
        <w:pBdr>
          <w:top w:val="nil"/>
          <w:left w:val="nil"/>
          <w:bottom w:val="nil"/>
          <w:right w:val="nil"/>
          <w:between w:val="nil"/>
        </w:pBdr>
        <w:spacing w:after="0" w:line="480" w:lineRule="auto"/>
        <w:rPr>
          <w:rFonts w:ascii="Times New Roman" w:eastAsia="Times New Roman" w:hAnsi="Times New Roman"/>
          <w:b/>
          <w:color w:val="000000"/>
          <w:sz w:val="24"/>
          <w:szCs w:val="24"/>
        </w:rPr>
      </w:pPr>
      <w:r w:rsidRPr="00CF3355">
        <w:rPr>
          <w:rFonts w:ascii="Times New Roman" w:eastAsia="Times New Roman" w:hAnsi="Times New Roman"/>
          <w:b/>
          <w:color w:val="000000"/>
          <w:sz w:val="24"/>
          <w:szCs w:val="24"/>
        </w:rPr>
        <w:lastRenderedPageBreak/>
        <w:t>Table S2.2 Preparation of stock 2 per 100ml</w:t>
      </w:r>
    </w:p>
    <w:tbl>
      <w:tblPr>
        <w:tblStyle w:val="2"/>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101053" w:rsidRPr="00CF3355" w14:paraId="4A0FF7CB" w14:textId="77777777" w:rsidTr="000249F2">
        <w:trPr>
          <w:jc w:val="center"/>
        </w:trPr>
        <w:tc>
          <w:tcPr>
            <w:tcW w:w="4675" w:type="dxa"/>
          </w:tcPr>
          <w:p w14:paraId="05CA140E" w14:textId="77777777" w:rsidR="00101053" w:rsidRPr="00CF3355" w:rsidRDefault="00101053" w:rsidP="000249F2">
            <w:pPr>
              <w:spacing w:line="480" w:lineRule="auto"/>
              <w:jc w:val="center"/>
              <w:rPr>
                <w:rFonts w:ascii="Times New Roman" w:eastAsia="Times New Roman" w:hAnsi="Times New Roman"/>
                <w:b/>
                <w:sz w:val="24"/>
                <w:szCs w:val="24"/>
              </w:rPr>
            </w:pPr>
            <w:r w:rsidRPr="00CF3355">
              <w:rPr>
                <w:rFonts w:ascii="Times New Roman" w:eastAsia="Times New Roman" w:hAnsi="Times New Roman"/>
                <w:b/>
                <w:sz w:val="24"/>
                <w:szCs w:val="24"/>
              </w:rPr>
              <w:t>Chemicals</w:t>
            </w:r>
          </w:p>
        </w:tc>
        <w:tc>
          <w:tcPr>
            <w:tcW w:w="4675" w:type="dxa"/>
          </w:tcPr>
          <w:p w14:paraId="34700F84" w14:textId="77777777" w:rsidR="00101053" w:rsidRPr="00CF3355" w:rsidRDefault="00101053" w:rsidP="000249F2">
            <w:pPr>
              <w:spacing w:line="480" w:lineRule="auto"/>
              <w:jc w:val="center"/>
              <w:rPr>
                <w:rFonts w:ascii="Times New Roman" w:eastAsia="Times New Roman" w:hAnsi="Times New Roman"/>
                <w:b/>
                <w:sz w:val="24"/>
                <w:szCs w:val="24"/>
              </w:rPr>
            </w:pPr>
            <w:r w:rsidRPr="00CF3355">
              <w:rPr>
                <w:rFonts w:ascii="Times New Roman" w:eastAsia="Times New Roman" w:hAnsi="Times New Roman"/>
                <w:b/>
                <w:sz w:val="24"/>
                <w:szCs w:val="24"/>
              </w:rPr>
              <w:t>Milligrams</w:t>
            </w:r>
          </w:p>
        </w:tc>
      </w:tr>
      <w:tr w:rsidR="00101053" w:rsidRPr="00CF3355" w14:paraId="03AFFD19" w14:textId="77777777" w:rsidTr="000249F2">
        <w:trPr>
          <w:jc w:val="center"/>
        </w:trPr>
        <w:tc>
          <w:tcPr>
            <w:tcW w:w="4675" w:type="dxa"/>
          </w:tcPr>
          <w:p w14:paraId="61A21377"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Vitamin B12</w:t>
            </w:r>
          </w:p>
        </w:tc>
        <w:tc>
          <w:tcPr>
            <w:tcW w:w="4675" w:type="dxa"/>
          </w:tcPr>
          <w:p w14:paraId="21D1AB93"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10</w:t>
            </w:r>
          </w:p>
        </w:tc>
      </w:tr>
      <w:tr w:rsidR="00101053" w:rsidRPr="00CF3355" w14:paraId="7962844B" w14:textId="77777777" w:rsidTr="000249F2">
        <w:trPr>
          <w:jc w:val="center"/>
        </w:trPr>
        <w:tc>
          <w:tcPr>
            <w:tcW w:w="4675" w:type="dxa"/>
          </w:tcPr>
          <w:p w14:paraId="118D61A1"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Vitamin B6</w:t>
            </w:r>
          </w:p>
        </w:tc>
        <w:tc>
          <w:tcPr>
            <w:tcW w:w="4675" w:type="dxa"/>
          </w:tcPr>
          <w:p w14:paraId="77E72424"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10</w:t>
            </w:r>
          </w:p>
        </w:tc>
      </w:tr>
    </w:tbl>
    <w:p w14:paraId="537A1DF7" w14:textId="77777777" w:rsidR="00101053" w:rsidRPr="00CF3355" w:rsidRDefault="00101053" w:rsidP="00186B7D">
      <w:pPr>
        <w:spacing w:line="480" w:lineRule="auto"/>
        <w:rPr>
          <w:rFonts w:ascii="Times New Roman" w:eastAsia="Times New Roman" w:hAnsi="Times New Roman"/>
          <w:sz w:val="24"/>
          <w:szCs w:val="24"/>
        </w:rPr>
      </w:pPr>
    </w:p>
    <w:p w14:paraId="0EDC7C27" w14:textId="77777777" w:rsidR="00101053" w:rsidRPr="00CF3355" w:rsidRDefault="00101053" w:rsidP="00186B7D">
      <w:pPr>
        <w:spacing w:line="480" w:lineRule="auto"/>
        <w:rPr>
          <w:rFonts w:ascii="Times New Roman" w:eastAsia="Times New Roman" w:hAnsi="Times New Roman"/>
          <w:b/>
          <w:sz w:val="24"/>
          <w:szCs w:val="24"/>
        </w:rPr>
      </w:pPr>
      <w:r w:rsidRPr="00CF3355">
        <w:rPr>
          <w:rFonts w:ascii="Times New Roman" w:eastAsia="Times New Roman" w:hAnsi="Times New Roman"/>
          <w:b/>
          <w:sz w:val="24"/>
          <w:szCs w:val="24"/>
        </w:rPr>
        <w:t>Table S2.3 Preparation of stock 3 per L</w:t>
      </w:r>
    </w:p>
    <w:tbl>
      <w:tblPr>
        <w:tblStyle w:val="1"/>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101053" w:rsidRPr="00CF3355" w14:paraId="68CD86D9" w14:textId="77777777" w:rsidTr="000249F2">
        <w:trPr>
          <w:jc w:val="center"/>
        </w:trPr>
        <w:tc>
          <w:tcPr>
            <w:tcW w:w="4675" w:type="dxa"/>
          </w:tcPr>
          <w:p w14:paraId="3B939B77" w14:textId="77777777" w:rsidR="00101053" w:rsidRPr="00CF3355" w:rsidRDefault="00101053" w:rsidP="000249F2">
            <w:pPr>
              <w:spacing w:line="480" w:lineRule="auto"/>
              <w:jc w:val="center"/>
              <w:rPr>
                <w:rFonts w:ascii="Times New Roman" w:eastAsia="Times New Roman" w:hAnsi="Times New Roman"/>
                <w:b/>
                <w:sz w:val="24"/>
                <w:szCs w:val="24"/>
              </w:rPr>
            </w:pPr>
            <w:r w:rsidRPr="00CF3355">
              <w:rPr>
                <w:rFonts w:ascii="Times New Roman" w:eastAsia="Times New Roman" w:hAnsi="Times New Roman"/>
                <w:b/>
                <w:sz w:val="24"/>
                <w:szCs w:val="24"/>
              </w:rPr>
              <w:t>Chemicals</w:t>
            </w:r>
          </w:p>
        </w:tc>
        <w:tc>
          <w:tcPr>
            <w:tcW w:w="4675" w:type="dxa"/>
          </w:tcPr>
          <w:p w14:paraId="28C00005" w14:textId="77777777" w:rsidR="00101053" w:rsidRPr="00CF3355" w:rsidRDefault="00101053" w:rsidP="000249F2">
            <w:pPr>
              <w:spacing w:line="480" w:lineRule="auto"/>
              <w:jc w:val="center"/>
              <w:rPr>
                <w:rFonts w:ascii="Times New Roman" w:eastAsia="Times New Roman" w:hAnsi="Times New Roman"/>
                <w:b/>
                <w:sz w:val="24"/>
                <w:szCs w:val="24"/>
              </w:rPr>
            </w:pPr>
            <w:r w:rsidRPr="00CF3355">
              <w:rPr>
                <w:rFonts w:ascii="Times New Roman" w:eastAsia="Times New Roman" w:hAnsi="Times New Roman"/>
                <w:b/>
                <w:sz w:val="24"/>
                <w:szCs w:val="24"/>
              </w:rPr>
              <w:t>Grams</w:t>
            </w:r>
          </w:p>
        </w:tc>
      </w:tr>
      <w:tr w:rsidR="00101053" w:rsidRPr="00CF3355" w14:paraId="4BE1D8FD" w14:textId="77777777" w:rsidTr="000249F2">
        <w:trPr>
          <w:jc w:val="center"/>
        </w:trPr>
        <w:tc>
          <w:tcPr>
            <w:tcW w:w="4675" w:type="dxa"/>
          </w:tcPr>
          <w:p w14:paraId="2FBB142A"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Iron chloride hexahydrate</w:t>
            </w:r>
          </w:p>
        </w:tc>
        <w:tc>
          <w:tcPr>
            <w:tcW w:w="4675" w:type="dxa"/>
          </w:tcPr>
          <w:p w14:paraId="37016739"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1.3</w:t>
            </w:r>
          </w:p>
        </w:tc>
      </w:tr>
      <w:tr w:rsidR="00101053" w:rsidRPr="00CF3355" w14:paraId="7BAF22E1" w14:textId="77777777" w:rsidTr="000249F2">
        <w:trPr>
          <w:jc w:val="center"/>
        </w:trPr>
        <w:tc>
          <w:tcPr>
            <w:tcW w:w="4675" w:type="dxa"/>
          </w:tcPr>
          <w:p w14:paraId="324E2F3D"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Manganese chloride</w:t>
            </w:r>
          </w:p>
        </w:tc>
        <w:tc>
          <w:tcPr>
            <w:tcW w:w="4675" w:type="dxa"/>
          </w:tcPr>
          <w:p w14:paraId="7C76FC04"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0.36</w:t>
            </w:r>
          </w:p>
        </w:tc>
      </w:tr>
      <w:tr w:rsidR="00101053" w:rsidRPr="00CF3355" w14:paraId="62045407" w14:textId="77777777" w:rsidTr="000249F2">
        <w:trPr>
          <w:jc w:val="center"/>
        </w:trPr>
        <w:tc>
          <w:tcPr>
            <w:tcW w:w="4675" w:type="dxa"/>
          </w:tcPr>
          <w:p w14:paraId="08DA14A4"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Boric chloride</w:t>
            </w:r>
          </w:p>
        </w:tc>
        <w:tc>
          <w:tcPr>
            <w:tcW w:w="4675" w:type="dxa"/>
          </w:tcPr>
          <w:p w14:paraId="315697A5"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33.6</w:t>
            </w:r>
          </w:p>
        </w:tc>
      </w:tr>
      <w:tr w:rsidR="00101053" w:rsidRPr="00CF3355" w14:paraId="4C3BCD1E" w14:textId="77777777" w:rsidTr="000249F2">
        <w:trPr>
          <w:jc w:val="center"/>
        </w:trPr>
        <w:tc>
          <w:tcPr>
            <w:tcW w:w="4675" w:type="dxa"/>
          </w:tcPr>
          <w:p w14:paraId="5B188E7F"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Ethylenediaminetetraacetic acid</w:t>
            </w:r>
          </w:p>
        </w:tc>
        <w:tc>
          <w:tcPr>
            <w:tcW w:w="4675" w:type="dxa"/>
          </w:tcPr>
          <w:p w14:paraId="581F84F0"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45.0</w:t>
            </w:r>
          </w:p>
        </w:tc>
      </w:tr>
      <w:tr w:rsidR="00101053" w:rsidRPr="00CF3355" w14:paraId="223C62A3" w14:textId="77777777" w:rsidTr="000249F2">
        <w:trPr>
          <w:jc w:val="center"/>
        </w:trPr>
        <w:tc>
          <w:tcPr>
            <w:tcW w:w="4675" w:type="dxa"/>
          </w:tcPr>
          <w:p w14:paraId="2D38E140"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Sodium dihydrogen phosphate dehydrate</w:t>
            </w:r>
          </w:p>
        </w:tc>
        <w:tc>
          <w:tcPr>
            <w:tcW w:w="4675" w:type="dxa"/>
          </w:tcPr>
          <w:p w14:paraId="7A26168F"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20.0</w:t>
            </w:r>
          </w:p>
        </w:tc>
      </w:tr>
      <w:tr w:rsidR="00101053" w:rsidRPr="00CF3355" w14:paraId="0B23069E" w14:textId="77777777" w:rsidTr="000249F2">
        <w:trPr>
          <w:jc w:val="center"/>
        </w:trPr>
        <w:tc>
          <w:tcPr>
            <w:tcW w:w="4675" w:type="dxa"/>
          </w:tcPr>
          <w:p w14:paraId="01A0D645"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Sodium nitrate</w:t>
            </w:r>
          </w:p>
        </w:tc>
        <w:tc>
          <w:tcPr>
            <w:tcW w:w="4675" w:type="dxa"/>
          </w:tcPr>
          <w:p w14:paraId="1248BA62" w14:textId="77777777" w:rsidR="00101053" w:rsidRPr="00CF3355" w:rsidRDefault="00101053" w:rsidP="000249F2">
            <w:pPr>
              <w:spacing w:line="480" w:lineRule="auto"/>
              <w:jc w:val="center"/>
              <w:rPr>
                <w:rFonts w:ascii="Times New Roman" w:eastAsia="Times New Roman" w:hAnsi="Times New Roman"/>
                <w:sz w:val="24"/>
                <w:szCs w:val="24"/>
              </w:rPr>
            </w:pPr>
            <w:r w:rsidRPr="00CF3355">
              <w:rPr>
                <w:rFonts w:ascii="Times New Roman" w:eastAsia="Times New Roman" w:hAnsi="Times New Roman"/>
                <w:sz w:val="24"/>
                <w:szCs w:val="24"/>
              </w:rPr>
              <w:t>100</w:t>
            </w:r>
          </w:p>
        </w:tc>
      </w:tr>
    </w:tbl>
    <w:p w14:paraId="59C17F2D" w14:textId="77777777" w:rsidR="00101053" w:rsidRPr="00CF3355" w:rsidRDefault="00101053" w:rsidP="00186B7D">
      <w:pPr>
        <w:spacing w:line="480" w:lineRule="auto"/>
        <w:jc w:val="both"/>
        <w:rPr>
          <w:rFonts w:ascii="Times New Roman" w:hAnsi="Times New Roman"/>
          <w:b/>
          <w:sz w:val="24"/>
          <w:szCs w:val="24"/>
          <w:lang w:val="en-GB"/>
        </w:rPr>
      </w:pPr>
      <w:r w:rsidRPr="00CF3355">
        <w:rPr>
          <w:rFonts w:ascii="Times New Roman" w:hAnsi="Times New Roman"/>
          <w:b/>
          <w:sz w:val="24"/>
          <w:szCs w:val="24"/>
          <w:lang w:val="en-GB"/>
        </w:rPr>
        <w:t xml:space="preserve">                        </w:t>
      </w:r>
    </w:p>
    <w:p w14:paraId="6F38C423" w14:textId="77777777" w:rsidR="00101053" w:rsidRPr="00CF3355" w:rsidRDefault="00101053" w:rsidP="00186B7D">
      <w:pPr>
        <w:spacing w:line="480" w:lineRule="auto"/>
        <w:jc w:val="both"/>
        <w:rPr>
          <w:rFonts w:ascii="Times New Roman" w:hAnsi="Times New Roman"/>
          <w:b/>
          <w:sz w:val="24"/>
          <w:szCs w:val="24"/>
          <w:lang w:val="en-GB"/>
        </w:rPr>
      </w:pPr>
    </w:p>
    <w:p w14:paraId="6FC972B1" w14:textId="77777777" w:rsidR="00101053" w:rsidRPr="00CF3355" w:rsidRDefault="00101053" w:rsidP="00186B7D">
      <w:pPr>
        <w:spacing w:line="480" w:lineRule="auto"/>
        <w:jc w:val="both"/>
        <w:rPr>
          <w:rFonts w:ascii="Times New Roman" w:hAnsi="Times New Roman"/>
          <w:b/>
          <w:sz w:val="24"/>
          <w:szCs w:val="24"/>
          <w:lang w:val="en-GB"/>
        </w:rPr>
      </w:pPr>
    </w:p>
    <w:p w14:paraId="1E41D36F" w14:textId="77777777" w:rsidR="00101053" w:rsidRPr="00CF3355" w:rsidRDefault="00101053" w:rsidP="00186B7D">
      <w:pPr>
        <w:spacing w:line="480" w:lineRule="auto"/>
        <w:jc w:val="both"/>
        <w:rPr>
          <w:rFonts w:ascii="Times New Roman" w:hAnsi="Times New Roman"/>
          <w:b/>
          <w:sz w:val="24"/>
          <w:szCs w:val="24"/>
          <w:lang w:val="en-GB"/>
        </w:rPr>
      </w:pPr>
    </w:p>
    <w:p w14:paraId="739A494A" w14:textId="77777777" w:rsidR="0048270F" w:rsidRPr="00CF3355" w:rsidRDefault="0048270F" w:rsidP="00186B7D">
      <w:pPr>
        <w:spacing w:line="480" w:lineRule="auto"/>
        <w:jc w:val="both"/>
        <w:rPr>
          <w:rFonts w:ascii="Times New Roman" w:hAnsi="Times New Roman"/>
          <w:b/>
          <w:sz w:val="24"/>
          <w:szCs w:val="24"/>
          <w:lang w:val="en-GB"/>
        </w:rPr>
      </w:pPr>
    </w:p>
    <w:p w14:paraId="18B30175" w14:textId="00FA9CFD" w:rsidR="00101053" w:rsidRPr="00CF3355" w:rsidRDefault="00101053" w:rsidP="00186B7D">
      <w:pPr>
        <w:spacing w:line="480" w:lineRule="auto"/>
        <w:jc w:val="both"/>
        <w:rPr>
          <w:rFonts w:ascii="Times New Roman" w:hAnsi="Times New Roman"/>
          <w:b/>
          <w:sz w:val="24"/>
          <w:szCs w:val="24"/>
          <w:u w:val="single"/>
          <w:lang w:val="en-GB"/>
        </w:rPr>
      </w:pPr>
      <w:r w:rsidRPr="00CF3355">
        <w:rPr>
          <w:rFonts w:ascii="Times New Roman" w:hAnsi="Times New Roman"/>
          <w:b/>
          <w:sz w:val="24"/>
          <w:szCs w:val="24"/>
          <w:u w:val="single"/>
          <w:lang w:val="en-GB"/>
        </w:rPr>
        <w:lastRenderedPageBreak/>
        <w:t>Materials and Methods</w:t>
      </w:r>
    </w:p>
    <w:p w14:paraId="264B9157" w14:textId="77777777" w:rsidR="00101053" w:rsidRPr="00CF3355" w:rsidRDefault="00101053" w:rsidP="00186B7D">
      <w:pPr>
        <w:spacing w:line="480" w:lineRule="auto"/>
        <w:jc w:val="both"/>
        <w:rPr>
          <w:rFonts w:ascii="Times New Roman" w:hAnsi="Times New Roman"/>
          <w:b/>
          <w:sz w:val="24"/>
          <w:szCs w:val="24"/>
          <w:lang w:val="en-GB"/>
        </w:rPr>
      </w:pPr>
      <w:r w:rsidRPr="00CF3355">
        <w:rPr>
          <w:rFonts w:ascii="Times New Roman" w:hAnsi="Times New Roman"/>
          <w:b/>
          <w:sz w:val="24"/>
          <w:szCs w:val="24"/>
          <w:lang w:val="en-GB"/>
        </w:rPr>
        <w:t xml:space="preserve">Methods S1: Chemical used </w:t>
      </w:r>
    </w:p>
    <w:p w14:paraId="3C13740C" w14:textId="77777777" w:rsidR="00101053" w:rsidRDefault="00101053" w:rsidP="00186B7D">
      <w:pPr>
        <w:spacing w:line="480" w:lineRule="auto"/>
        <w:jc w:val="both"/>
        <w:rPr>
          <w:rFonts w:ascii="Times New Roman" w:hAnsi="Times New Roman"/>
          <w:sz w:val="24"/>
          <w:szCs w:val="24"/>
          <w:lang w:val="en-GB"/>
        </w:rPr>
      </w:pPr>
      <w:r w:rsidRPr="00CF3355">
        <w:rPr>
          <w:rFonts w:ascii="Times New Roman" w:hAnsi="Times New Roman"/>
          <w:bCs/>
          <w:sz w:val="24"/>
          <w:szCs w:val="24"/>
          <w:lang w:val="en-GB"/>
        </w:rPr>
        <w:t xml:space="preserve"> </w:t>
      </w:r>
      <w:r w:rsidRPr="00CF3355">
        <w:rPr>
          <w:rFonts w:ascii="Times New Roman" w:hAnsi="Times New Roman"/>
          <w:sz w:val="24"/>
          <w:szCs w:val="24"/>
        </w:rPr>
        <w:t xml:space="preserve">Metronidazole, Diclofenac sodium salts, Ibuprofen and </w:t>
      </w:r>
      <w:r w:rsidRPr="00CF3355">
        <w:rPr>
          <w:rFonts w:ascii="Times New Roman" w:hAnsi="Times New Roman"/>
          <w:sz w:val="24"/>
          <w:szCs w:val="24"/>
          <w:lang w:val="en-GB"/>
        </w:rPr>
        <w:t>2′ ,7′ -dichlorofluorescein diacetate (DCFH-DA) were purchased from Sigma Aldrich.</w:t>
      </w:r>
      <w:r w:rsidRPr="00CF3355">
        <w:rPr>
          <w:rFonts w:ascii="Times New Roman" w:hAnsi="Times New Roman"/>
          <w:sz w:val="24"/>
          <w:szCs w:val="24"/>
        </w:rPr>
        <w:t xml:space="preserve"> </w:t>
      </w:r>
      <w:r w:rsidRPr="00CF3355">
        <w:rPr>
          <w:rFonts w:ascii="Times New Roman" w:hAnsi="Times New Roman"/>
          <w:bCs/>
          <w:sz w:val="24"/>
          <w:szCs w:val="24"/>
          <w:lang w:val="en-GB"/>
        </w:rPr>
        <w:t>Aminated (NH</w:t>
      </w:r>
      <w:r w:rsidRPr="00CF3355">
        <w:rPr>
          <w:rFonts w:ascii="Times New Roman" w:hAnsi="Times New Roman"/>
          <w:bCs/>
          <w:sz w:val="24"/>
          <w:szCs w:val="24"/>
          <w:vertAlign w:val="subscript"/>
          <w:lang w:val="en-GB"/>
        </w:rPr>
        <w:t>2</w:t>
      </w:r>
      <w:r w:rsidRPr="00CF3355">
        <w:rPr>
          <w:rFonts w:ascii="Times New Roman" w:hAnsi="Times New Roman"/>
          <w:bCs/>
          <w:sz w:val="24"/>
          <w:szCs w:val="24"/>
          <w:lang w:val="en-GB"/>
        </w:rPr>
        <w:t xml:space="preserve">) and carboxylated (COOH) polystyrene nanoplastics (600 nm) were purchased from </w:t>
      </w:r>
      <w:r w:rsidRPr="00CF3355">
        <w:rPr>
          <w:rFonts w:ascii="Times New Roman" w:hAnsi="Times New Roman"/>
          <w:sz w:val="24"/>
          <w:szCs w:val="24"/>
        </w:rPr>
        <w:t xml:space="preserve">Corpuscular, Inc, USA. </w:t>
      </w:r>
      <w:r w:rsidRPr="00CF3355">
        <w:rPr>
          <w:rFonts w:ascii="Times New Roman" w:hAnsi="Times New Roman"/>
          <w:sz w:val="24"/>
          <w:szCs w:val="24"/>
          <w:lang w:val="en-GB"/>
        </w:rPr>
        <w:t>DMSO (Dimethyl sulfoxide), Hydrogen peroxide (H</w:t>
      </w:r>
      <w:r w:rsidRPr="00CF3355">
        <w:rPr>
          <w:rFonts w:ascii="Times New Roman" w:hAnsi="Times New Roman"/>
          <w:sz w:val="24"/>
          <w:szCs w:val="24"/>
          <w:vertAlign w:val="subscript"/>
          <w:lang w:val="en-GB"/>
        </w:rPr>
        <w:t>2</w:t>
      </w:r>
      <w:r w:rsidRPr="00CF3355">
        <w:rPr>
          <w:rFonts w:ascii="Times New Roman" w:hAnsi="Times New Roman"/>
          <w:sz w:val="24"/>
          <w:szCs w:val="24"/>
          <w:lang w:val="en-GB"/>
        </w:rPr>
        <w:t>O</w:t>
      </w:r>
      <w:r w:rsidRPr="00CF3355">
        <w:rPr>
          <w:rFonts w:ascii="Times New Roman" w:hAnsi="Times New Roman"/>
          <w:sz w:val="24"/>
          <w:szCs w:val="24"/>
          <w:vertAlign w:val="subscript"/>
          <w:lang w:val="en-GB"/>
        </w:rPr>
        <w:t>2</w:t>
      </w:r>
      <w:r w:rsidRPr="00CF3355">
        <w:rPr>
          <w:rFonts w:ascii="Times New Roman" w:hAnsi="Times New Roman"/>
          <w:sz w:val="24"/>
          <w:szCs w:val="24"/>
          <w:lang w:val="en-GB"/>
        </w:rPr>
        <w:t>), and nitro blue tetrazolium (NBT) dye were purchased from SDFCL (Mumbai). Triton-X-100, Hydroxylamine hydrochloride, Trichloroacetic acid (TCA), and thiobarbituric acid (TBA) were purchased from Hi- Media Pvt. Ltd (Mumbai, India).</w:t>
      </w:r>
    </w:p>
    <w:p w14:paraId="1D7A6B0A" w14:textId="77777777" w:rsidR="00B03777" w:rsidRPr="00CF3355" w:rsidRDefault="00B03777" w:rsidP="00B03777">
      <w:pPr>
        <w:spacing w:line="480" w:lineRule="auto"/>
        <w:jc w:val="both"/>
        <w:rPr>
          <w:rFonts w:ascii="Times New Roman" w:hAnsi="Times New Roman"/>
          <w:b/>
          <w:sz w:val="24"/>
          <w:szCs w:val="24"/>
          <w:lang w:val="en-GB"/>
        </w:rPr>
      </w:pPr>
      <w:r w:rsidRPr="00CF3355">
        <w:rPr>
          <w:rFonts w:ascii="Times New Roman" w:hAnsi="Times New Roman"/>
          <w:b/>
          <w:sz w:val="24"/>
          <w:szCs w:val="24"/>
          <w:lang w:val="en-GB"/>
        </w:rPr>
        <w:t>Methods S</w:t>
      </w:r>
      <w:r>
        <w:rPr>
          <w:rFonts w:ascii="Times New Roman" w:hAnsi="Times New Roman"/>
          <w:b/>
          <w:sz w:val="24"/>
          <w:szCs w:val="24"/>
          <w:lang w:val="en-GB"/>
        </w:rPr>
        <w:t>2</w:t>
      </w:r>
      <w:r w:rsidRPr="00CF3355">
        <w:rPr>
          <w:rFonts w:ascii="Times New Roman" w:hAnsi="Times New Roman"/>
          <w:b/>
          <w:sz w:val="24"/>
          <w:szCs w:val="24"/>
          <w:lang w:val="en-GB"/>
        </w:rPr>
        <w:t xml:space="preserve">: Growth inhibition </w:t>
      </w:r>
    </w:p>
    <w:p w14:paraId="7C691F5E" w14:textId="0D9B94AC" w:rsidR="00B03777" w:rsidRPr="00CF3355" w:rsidRDefault="00B03777" w:rsidP="00B03777">
      <w:pPr>
        <w:spacing w:line="480" w:lineRule="auto"/>
        <w:jc w:val="both"/>
        <w:rPr>
          <w:rFonts w:ascii="Times New Roman" w:hAnsi="Times New Roman"/>
          <w:bCs/>
          <w:sz w:val="24"/>
          <w:szCs w:val="24"/>
          <w:lang w:val="en-GB"/>
        </w:rPr>
      </w:pPr>
      <w:r w:rsidRPr="00CF3355">
        <w:rPr>
          <w:rFonts w:ascii="Times New Roman" w:hAnsi="Times New Roman"/>
          <w:bCs/>
          <w:sz w:val="24"/>
          <w:szCs w:val="24"/>
          <w:lang w:val="en-GB"/>
        </w:rPr>
        <w:t xml:space="preserve">Following a 72-hour incubation period, the algal cell density was (OD 680) was determined using </w:t>
      </w:r>
      <w:r w:rsidRPr="00CF3355">
        <w:rPr>
          <w:rFonts w:ascii="Times New Roman" w:eastAsiaTheme="minorHAnsi" w:hAnsi="Times New Roman"/>
          <w:sz w:val="24"/>
          <w:szCs w:val="24"/>
          <w:lang w:val="en-US"/>
          <w14:ligatures w14:val="standardContextual"/>
        </w:rPr>
        <w:t xml:space="preserve">ultraviolet-visible spectrophotometer (Evolution 220, Thermofisher). </w:t>
      </w:r>
      <w:r w:rsidRPr="00CF3355">
        <w:rPr>
          <w:rFonts w:ascii="Times New Roman" w:hAnsi="Times New Roman"/>
          <w:bCs/>
          <w:sz w:val="24"/>
          <w:szCs w:val="24"/>
          <w:lang w:val="en-GB"/>
        </w:rPr>
        <w:t xml:space="preserve"> The percentage of growth inhibition in algal cultures was determined by comparing them to a control group. Mathematically, the percentage of growth inhibition was calculated using the formula given below </w:t>
      </w:r>
      <w:sdt>
        <w:sdtPr>
          <w:rPr>
            <w:rFonts w:ascii="Times New Roman" w:hAnsi="Times New Roman"/>
            <w:bCs/>
            <w:color w:val="000000"/>
            <w:sz w:val="24"/>
            <w:szCs w:val="24"/>
            <w:lang w:val="en-GB"/>
          </w:rPr>
          <w:tag w:val="MENDELEY_CITATION_v3_eyJjaXRhdGlvbklEIjoiTUVOREVMRVlfQ0lUQVRJT05fZmU4MTgyZTctY2QzMS00NWVmLWE5N2MtZDY5MmNjYWM4YjI1IiwicHJvcGVydGllcyI6eyJub3RlSW5kZXgiOjB9LCJpc0VkaXRlZCI6ZmFsc2UsIm1hbnVhbE92ZXJyaWRlIjp7ImNpdGVwcm9jVGV4dCI6IihGYW4gZXQgYWwuLCAyMDE5OyBUaGlhZ2FyYWphbiBldCBhbC4sIDIwMjEpIiwiaXNNYW51YWxseU92ZXJyaWRkZW4iOmZhbHNlLCJtYW51YWxPdmVycmlkZVRleHQiOiIifSwiY2l0YXRpb25JdGVtcyI6W3siaWQiOiIzZTllY2NjNi1iYjlmLTVlMmUtYjMzYy02M2YxYjI4NzNjZmYiLCJpdGVtRGF0YSI6eyJJU1NOIjoiMDA0OC05Njk3IiwiYXV0aG9yIjpbeyJkcm9wcGluZy1wYXJ0aWNsZSI6IiIsImZhbWlseSI6IlRoaWFnYXJhamFuIiwiZ2l2ZW4iOiJWaWduZXNoIiwibm9uLWRyb3BwaW5nLXBhcnRpY2xlIjoiIiwicGFyc2UtbmFtZXMiOmZhbHNlLCJzdWZmaXgiOiIifSx7ImRyb3BwaW5nLXBhcnRpY2xlIjoiIiwiZmFtaWx5IjoiQWxleCIsImdpdmVuIjoiU3J1dGhpIEFubiIsIm5vbi1kcm9wcGluZy1wYXJ0aWNsZSI6IiIsInBhcnNlLW5hbWVzIjpmYWxzZSwic3VmZml4IjoiIn0seyJkcm9wcGluZy1wYXJ0aWNsZSI6IiIsImZhbWlseSI6IlNlZW5pdmFzYW4iLCJnaXZlbiI6IlIiLCJub24tZHJvcHBpbmctcGFydGljbGUiOiIiLCJwYXJzZS1uYW1lcyI6ZmFsc2UsInN1ZmZpeCI6IiJ9LHsiZHJvcHBpbmctcGFydGljbGUiOiIiLCJmYW1pbHkiOiJDaGFuZHJhc2VrYXJhbiIsImdpdmVuIjoiTiIsIm5vbi1kcm9wcGluZy1wYXJ0aWNsZSI6IiIsInBhcnNlLW5hbWVzIjpmYWxzZSwic3VmZml4IjoiIn0seyJkcm9wcGluZy1wYXJ0aWNsZSI6IiIsImZhbWlseSI6Ik11a2hlcmplZSIsImdpdmVuIjoiQW1pdGF2YSIsIm5vbi1kcm9wcGluZy1wYXJ0aWNsZSI6IiIsInBhcnNlLW5hbWVzIjpmYWxzZSwic3VmZml4IjoiIn1dLCJjb250YWluZXItdGl0bGUiOiJTY2llbmNlIG9mIHRoZSBUb3RhbCBFbnZpcm9ubWVudCIsImlkIjoiM2U5ZWNjYzYtYmI5Zi01ZTJlLWIzM2MtNjNmMWIyODczY2ZmIiwiaXNzdWVkIjp7ImRhdGUtcGFydHMiOltbIjIwMjEiXV19LCJwYWdlIjoiMTQ3MjYyIiwicHVibGlzaGVyIjoiRWxzZXZpZXIiLCJ0aXRsZSI6IlRveGljaXR5IGV2YWx1YXRpb24gb2YgbmFuby1UaU8yIGluIHRoZSBwcmVzZW5jZSBvZiBmdW5jdGlvbmFsaXplZCBtaWNyb3BsYXN0aWNzIGF0IHR3byB0cm9waGljIGxldmVsczogQWxnYWUgYW5kIGNydXN0YWNlYW5zIiwidHlwZSI6ImFydGljbGUtam91cm5hbCIsInZvbHVtZSI6Ijc4NCIsImNvbnRhaW5lci10aXRsZS1zaG9ydCI6IiJ9LCJ1cmlzIjpbImh0dHA6Ly93d3cubWVuZGVsZXkuY29tL2RvY3VtZW50cy8/dXVpZD01NTA1MTRiZC00NWExLTRmMzktYjNiMi02NDAzMjY1ZmE4N2IiXSwiaXNUZW1wb3JhcnkiOmZhbHNlLCJsZWdhY3lEZXNrdG9wSWQiOiI1NTA1MTRiZC00NWExLTRmMzktYjNiMi02NDAzMjY1ZmE4N2IifSx7ImlkIjoiOTA1NDFjZDUtODVmNS0zMjEwLThmMjEtY2VmOGQyOGEzMGY2IiwiaXRlbURhdGEiOnsidHlwZSI6ImFydGljbGUtam91cm5hbCIsImlkIjoiOTA1NDFjZDUtODVmNS0zMjEwLThmMjEtY2VmOGQyOGEzMGY2IiwidGl0bGUiOiJJbmhpYml0b3J5IGVmZmVjdHMgb2YgQ3UyTy9TaU8yIG9uIHRoZSBncm93dGggb2YgTWljcm9jeXN0aXMgYWVydWdpbm9zYSBhbmQgaXRzIG1lY2hhbmlzbSIsImF1dGhvciI6W3siZmFtaWx5IjoiRmFuIiwiZ2l2ZW4iOiJHb25nZHVhbiIsInBhcnNlLW5hbWVzIjpmYWxzZSwiZHJvcHBpbmctcGFydGljbGUiOiIiLCJub24tZHJvcHBpbmctcGFydGljbGUiOiIifSx7ImZhbWlseSI6IkJhbyIsImdpdmVuIjoiTWluY2hlbiIsInBhcnNlLW5hbWVzIjpmYWxzZSwiZHJvcHBpbmctcGFydGljbGUiOiIiLCJub24tZHJvcHBpbmctcGFydGljbGUiOiIifSx7ImZhbWlseSI6IldhbmciLCJnaXZlbiI6IkJvIiwicGFyc2UtbmFtZXMiOmZhbHNlLCJkcm9wcGluZy1wYXJ0aWNsZSI6IiIsIm5vbi1kcm9wcGluZy1wYXJ0aWNsZSI6IiJ9LHsiZmFtaWx5IjoiV3UiLCJnaXZlbiI6IlNoaW1pbiIsInBhcnNlLW5hbWVzIjpmYWxzZSwiZHJvcHBpbmctcGFydGljbGUiOiIiLCJub24tZHJvcHBpbmctcGFydGljbGUiOiIifSx7ImZhbWlseSI6Ikx1byIsImdpdmVuIjoiTGluZ3hpIiwicGFyc2UtbmFtZXMiOmZhbHNlLCJkcm9wcGluZy1wYXJ0aWNsZSI6IiIsIm5vbi1kcm9wcGluZy1wYXJ0aWNsZSI6IiJ9LHsiZmFtaWx5IjoiTGkiLCJnaXZlbiI6IkJpbmh1aSIsInBhcnNlLW5hbWVzIjpmYWxzZSwiZHJvcHBpbmctcGFydGljbGUiOiIiLCJub24tZHJvcHBpbmctcGFydGljbGUiOiIifSx7ImZhbWlseSI6IkxpbiIsImdpdmVuIjoiSml1aG9uZyIsInBhcnNlLW5hbWVzIjpmYWxzZSwiZHJvcHBpbmctcGFydGljbGUiOiIiLCJub24tZHJvcHBpbmctcGFydGljbGUiOiIifV0sImNvbnRhaW5lci10aXRsZSI6Ik5hbm9tYXRlcmlhbHMiLCJJU1NOIjoiMjA3OS00OTkxIiwiaXNzdWVkIjp7ImRhdGUtcGFydHMiOltbMjAxOV1dfSwicGFnZSI6IjE2NjkiLCJwdWJsaXNoZXIiOiJNRFBJIiwiaXNzdWUiOiIxMiIsInZvbHVtZSI6IjkiLCJjb250YWluZXItdGl0bGUtc2hvcnQiOiIifSwiaXNUZW1wb3JhcnkiOmZhbHNlfV19"/>
          <w:id w:val="961536139"/>
          <w:placeholder>
            <w:docPart w:val="9011666DCFC743BD83D54622E44DFA76"/>
          </w:placeholder>
        </w:sdtPr>
        <w:sdtEndPr>
          <w:rPr>
            <w:bCs w:val="0"/>
            <w:lang w:val="en-IN"/>
          </w:rPr>
        </w:sdtEndPr>
        <w:sdtContent>
          <w:r w:rsidRPr="00B03777">
            <w:rPr>
              <w:rFonts w:ascii="Times New Roman" w:hAnsi="Times New Roman"/>
              <w:color w:val="000000"/>
              <w:sz w:val="24"/>
              <w:szCs w:val="24"/>
            </w:rPr>
            <w:t>(Fan et al., 2019; Thiagarajan et al., 2021)</w:t>
          </w:r>
        </w:sdtContent>
      </w:sdt>
      <w:r w:rsidRPr="00CF3355">
        <w:rPr>
          <w:rFonts w:ascii="Times New Roman" w:hAnsi="Times New Roman"/>
          <w:bCs/>
          <w:sz w:val="24"/>
          <w:szCs w:val="24"/>
          <w:lang w:val="en-GB"/>
        </w:rPr>
        <w:t>.</w:t>
      </w:r>
    </w:p>
    <w:p w14:paraId="67E556F3" w14:textId="77777777" w:rsidR="00B03777" w:rsidRDefault="00B03777" w:rsidP="00B03777">
      <w:pPr>
        <w:spacing w:line="480" w:lineRule="auto"/>
        <w:jc w:val="both"/>
        <w:rPr>
          <w:rFonts w:ascii="Times New Roman" w:hAnsi="Times New Roman"/>
          <w:bCs/>
          <w:sz w:val="24"/>
          <w:szCs w:val="24"/>
          <w:lang w:val="en-GB"/>
        </w:rPr>
      </w:pPr>
      <w:r w:rsidRPr="00CF3355">
        <w:rPr>
          <w:rFonts w:ascii="Times New Roman" w:hAnsi="Times New Roman"/>
          <w:bCs/>
          <w:sz w:val="24"/>
          <w:szCs w:val="24"/>
          <w:lang w:val="en-GB"/>
        </w:rPr>
        <w:t>% Growth inhibition = (Control-Test) / Control × 10</w:t>
      </w:r>
    </w:p>
    <w:p w14:paraId="6445A794" w14:textId="77777777" w:rsidR="00B03777" w:rsidRPr="00B03777" w:rsidRDefault="00B03777" w:rsidP="00B03777">
      <w:pPr>
        <w:spacing w:line="480" w:lineRule="auto"/>
        <w:jc w:val="both"/>
        <w:rPr>
          <w:rFonts w:ascii="Times New Roman" w:hAnsi="Times New Roman"/>
          <w:bCs/>
          <w:sz w:val="24"/>
          <w:szCs w:val="24"/>
          <w:lang w:val="en-GB"/>
        </w:rPr>
      </w:pPr>
      <w:r w:rsidRPr="00CF3355">
        <w:rPr>
          <w:rFonts w:ascii="Times New Roman" w:hAnsi="Times New Roman"/>
          <w:b/>
          <w:sz w:val="24"/>
          <w:szCs w:val="24"/>
          <w:lang w:val="en-GB"/>
        </w:rPr>
        <w:t>Methods S</w:t>
      </w:r>
      <w:r>
        <w:rPr>
          <w:rFonts w:ascii="Times New Roman" w:hAnsi="Times New Roman"/>
          <w:b/>
          <w:sz w:val="24"/>
          <w:szCs w:val="24"/>
          <w:lang w:val="en-GB"/>
        </w:rPr>
        <w:t>3</w:t>
      </w:r>
      <w:r w:rsidRPr="00CF3355">
        <w:rPr>
          <w:rFonts w:ascii="Times New Roman" w:hAnsi="Times New Roman"/>
          <w:b/>
          <w:sz w:val="24"/>
          <w:szCs w:val="24"/>
          <w:lang w:val="en-GB"/>
        </w:rPr>
        <w:t xml:space="preserve">: Independent action modelling </w:t>
      </w:r>
    </w:p>
    <w:p w14:paraId="5F3AC9E8" w14:textId="77777777" w:rsidR="00B03777" w:rsidRPr="00CF3355" w:rsidRDefault="00B03777" w:rsidP="00B03777">
      <w:pPr>
        <w:spacing w:line="480" w:lineRule="auto"/>
        <w:ind w:firstLine="720"/>
        <w:jc w:val="both"/>
        <w:rPr>
          <w:rFonts w:ascii="Times New Roman" w:hAnsi="Times New Roman"/>
          <w:bCs/>
          <w:sz w:val="24"/>
          <w:szCs w:val="24"/>
          <w:lang w:val="en-GB"/>
        </w:rPr>
      </w:pPr>
      <w:r w:rsidRPr="00CF3355">
        <w:rPr>
          <w:rFonts w:ascii="Times New Roman" w:hAnsi="Times New Roman"/>
          <w:bCs/>
          <w:sz w:val="24"/>
          <w:szCs w:val="24"/>
          <w:lang w:val="en-GB"/>
        </w:rPr>
        <w:t>The expected toxicity (C</w:t>
      </w:r>
      <w:r w:rsidRPr="00CF3355">
        <w:rPr>
          <w:rFonts w:ascii="Times New Roman" w:hAnsi="Times New Roman"/>
          <w:bCs/>
          <w:sz w:val="24"/>
          <w:szCs w:val="24"/>
          <w:vertAlign w:val="subscript"/>
          <w:lang w:val="en-GB"/>
        </w:rPr>
        <w:t>Exp</w:t>
      </w:r>
      <w:r w:rsidRPr="00CF3355">
        <w:rPr>
          <w:rFonts w:ascii="Times New Roman" w:hAnsi="Times New Roman"/>
          <w:bCs/>
          <w:sz w:val="24"/>
          <w:szCs w:val="24"/>
          <w:lang w:val="en-GB"/>
        </w:rPr>
        <w:t>) of the mixture was determined by combining the individual toxicities of PPs and PSNPs using equation (1).</w:t>
      </w:r>
    </w:p>
    <w:p w14:paraId="6D60ADC2" w14:textId="77777777" w:rsidR="00B03777" w:rsidRPr="00CF3355" w:rsidRDefault="00B03777" w:rsidP="00B03777">
      <w:pPr>
        <w:spacing w:line="480" w:lineRule="auto"/>
        <w:jc w:val="both"/>
        <w:rPr>
          <w:rFonts w:ascii="Times New Roman" w:hAnsi="Times New Roman"/>
          <w:bCs/>
          <w:sz w:val="24"/>
          <w:szCs w:val="24"/>
          <w:lang w:val="en-GB"/>
        </w:rPr>
      </w:pPr>
      <w:r w:rsidRPr="00CF3355">
        <w:rPr>
          <w:rFonts w:ascii="Times New Roman" w:eastAsiaTheme="minorHAnsi" w:hAnsi="Times New Roman"/>
          <w:sz w:val="24"/>
          <w:szCs w:val="24"/>
          <w:lang w:val="en-US"/>
          <w14:ligatures w14:val="standardContextual"/>
        </w:rPr>
        <w:t xml:space="preserve">    C</w:t>
      </w:r>
      <w:r w:rsidRPr="00CF3355">
        <w:rPr>
          <w:rFonts w:ascii="Times New Roman" w:eastAsiaTheme="minorHAnsi" w:hAnsi="Times New Roman"/>
          <w:sz w:val="24"/>
          <w:szCs w:val="24"/>
          <w:vertAlign w:val="subscript"/>
          <w:lang w:val="en-US"/>
          <w14:ligatures w14:val="standardContextual"/>
        </w:rPr>
        <w:t>Exp</w:t>
      </w:r>
      <w:r w:rsidRPr="00CF3355">
        <w:rPr>
          <w:rFonts w:ascii="Times New Roman" w:eastAsiaTheme="minorHAnsi" w:hAnsi="Times New Roman"/>
          <w:sz w:val="24"/>
          <w:szCs w:val="24"/>
          <w:lang w:val="en-US"/>
          <w14:ligatures w14:val="standardContextual"/>
        </w:rPr>
        <w:t xml:space="preserve"> = P+N </w:t>
      </w:r>
      <w:r w:rsidRPr="00CF3355">
        <w:rPr>
          <w:rFonts w:ascii="Times New Roman" w:eastAsia="AdvOT596495f2+20" w:hAnsi="Times New Roman"/>
          <w:sz w:val="24"/>
          <w:szCs w:val="24"/>
          <w:lang w:val="en-US"/>
          <w14:ligatures w14:val="standardContextual"/>
        </w:rPr>
        <w:t xml:space="preserve">– </w:t>
      </w:r>
      <w:r w:rsidRPr="00CF3355">
        <w:rPr>
          <w:rFonts w:ascii="Times New Roman" w:eastAsiaTheme="minorHAnsi" w:hAnsi="Times New Roman"/>
          <w:sz w:val="24"/>
          <w:szCs w:val="24"/>
          <w:lang w:val="en-US"/>
          <w14:ligatures w14:val="standardContextual"/>
        </w:rPr>
        <w:t>(P*N/100)                          (1)</w:t>
      </w:r>
    </w:p>
    <w:p w14:paraId="30F6DB92" w14:textId="77777777" w:rsidR="00B03777" w:rsidRPr="00CF3355" w:rsidRDefault="00B03777" w:rsidP="00B03777">
      <w:pPr>
        <w:spacing w:line="480" w:lineRule="auto"/>
        <w:jc w:val="both"/>
        <w:rPr>
          <w:rFonts w:ascii="Times New Roman" w:hAnsi="Times New Roman"/>
          <w:bCs/>
          <w:sz w:val="24"/>
          <w:szCs w:val="24"/>
          <w:lang w:val="en-GB"/>
        </w:rPr>
      </w:pPr>
    </w:p>
    <w:p w14:paraId="09523FB1" w14:textId="77777777" w:rsidR="00B03777" w:rsidRPr="00CF3355" w:rsidRDefault="00B03777" w:rsidP="00B03777">
      <w:pPr>
        <w:spacing w:line="480" w:lineRule="auto"/>
        <w:jc w:val="both"/>
        <w:rPr>
          <w:rFonts w:ascii="Times New Roman" w:hAnsi="Times New Roman"/>
          <w:bCs/>
          <w:sz w:val="24"/>
          <w:szCs w:val="24"/>
          <w:lang w:val="en-GB"/>
        </w:rPr>
      </w:pPr>
      <w:r w:rsidRPr="00CF3355">
        <w:rPr>
          <w:rFonts w:ascii="Times New Roman" w:hAnsi="Times New Roman"/>
          <w:bCs/>
          <w:sz w:val="24"/>
          <w:szCs w:val="24"/>
          <w:lang w:val="en-GB"/>
        </w:rPr>
        <w:lastRenderedPageBreak/>
        <w:t>In the equation, P and N represent the respective toxicity induced by PPs and PSNPs. Once C</w:t>
      </w:r>
      <w:r w:rsidRPr="00CF3355">
        <w:rPr>
          <w:rFonts w:ascii="Times New Roman" w:hAnsi="Times New Roman"/>
          <w:bCs/>
          <w:sz w:val="24"/>
          <w:szCs w:val="24"/>
          <w:vertAlign w:val="subscript"/>
          <w:lang w:val="en-GB"/>
        </w:rPr>
        <w:t>Exp</w:t>
      </w:r>
      <w:r w:rsidRPr="00CF3355">
        <w:rPr>
          <w:rFonts w:ascii="Times New Roman" w:hAnsi="Times New Roman"/>
          <w:bCs/>
          <w:sz w:val="24"/>
          <w:szCs w:val="24"/>
          <w:lang w:val="en-GB"/>
        </w:rPr>
        <w:t xml:space="preserve"> is calculated, the ratio of inhibition (R</w:t>
      </w:r>
      <w:r w:rsidRPr="00CF3355">
        <w:rPr>
          <w:rFonts w:ascii="Times New Roman" w:hAnsi="Times New Roman"/>
          <w:bCs/>
          <w:sz w:val="24"/>
          <w:szCs w:val="24"/>
          <w:vertAlign w:val="subscript"/>
          <w:lang w:val="en-GB"/>
        </w:rPr>
        <w:t>I</w:t>
      </w:r>
      <w:r w:rsidRPr="00CF3355">
        <w:rPr>
          <w:rFonts w:ascii="Times New Roman" w:hAnsi="Times New Roman"/>
          <w:bCs/>
          <w:sz w:val="24"/>
          <w:szCs w:val="24"/>
          <w:lang w:val="en-GB"/>
        </w:rPr>
        <w:t xml:space="preserve">) is determined using the provided equation (2). </w:t>
      </w:r>
    </w:p>
    <w:p w14:paraId="33622000" w14:textId="77777777" w:rsidR="00B03777" w:rsidRPr="00CF3355" w:rsidRDefault="00B03777" w:rsidP="00B03777">
      <w:pPr>
        <w:spacing w:line="480" w:lineRule="auto"/>
        <w:jc w:val="both"/>
        <w:rPr>
          <w:rFonts w:ascii="Times New Roman" w:hAnsi="Times New Roman"/>
          <w:bCs/>
          <w:sz w:val="24"/>
          <w:szCs w:val="24"/>
          <w:lang w:val="en-GB"/>
        </w:rPr>
      </w:pPr>
      <w:r w:rsidRPr="00CF3355">
        <w:rPr>
          <w:rFonts w:ascii="Times New Roman" w:eastAsiaTheme="minorHAnsi" w:hAnsi="Times New Roman"/>
          <w:sz w:val="24"/>
          <w:szCs w:val="24"/>
          <w:lang w:val="en-US"/>
          <w14:ligatures w14:val="standardContextual"/>
        </w:rPr>
        <w:t>R</w:t>
      </w:r>
      <w:r w:rsidRPr="00CF3355">
        <w:rPr>
          <w:rFonts w:ascii="Times New Roman" w:eastAsiaTheme="minorHAnsi" w:hAnsi="Times New Roman"/>
          <w:sz w:val="24"/>
          <w:szCs w:val="24"/>
          <w:vertAlign w:val="subscript"/>
          <w:lang w:val="en-US"/>
          <w14:ligatures w14:val="standardContextual"/>
        </w:rPr>
        <w:t>I</w:t>
      </w:r>
      <w:r w:rsidRPr="00CF3355">
        <w:rPr>
          <w:rFonts w:ascii="Times New Roman" w:eastAsiaTheme="minorHAnsi" w:hAnsi="Times New Roman"/>
          <w:sz w:val="24"/>
          <w:szCs w:val="24"/>
          <w:lang w:val="en-US"/>
          <w14:ligatures w14:val="standardContextual"/>
        </w:rPr>
        <w:t xml:space="preserve"> = Observed Toxicity (C</w:t>
      </w:r>
      <w:r w:rsidRPr="00CF3355">
        <w:rPr>
          <w:rFonts w:ascii="Times New Roman" w:eastAsiaTheme="minorHAnsi" w:hAnsi="Times New Roman"/>
          <w:sz w:val="24"/>
          <w:szCs w:val="24"/>
          <w:vertAlign w:val="subscript"/>
          <w:lang w:val="en-US"/>
          <w14:ligatures w14:val="standardContextual"/>
        </w:rPr>
        <w:t>Obs</w:t>
      </w:r>
      <w:r w:rsidRPr="00CF3355">
        <w:rPr>
          <w:rFonts w:ascii="Times New Roman" w:eastAsiaTheme="minorHAnsi" w:hAnsi="Times New Roman"/>
          <w:sz w:val="24"/>
          <w:szCs w:val="24"/>
          <w:lang w:val="en-US"/>
          <w14:ligatures w14:val="standardContextual"/>
        </w:rPr>
        <w:t>) / Expected Toxicity (C</w:t>
      </w:r>
      <w:r w:rsidRPr="00CF3355">
        <w:rPr>
          <w:rFonts w:ascii="Times New Roman" w:eastAsiaTheme="minorHAnsi" w:hAnsi="Times New Roman"/>
          <w:sz w:val="24"/>
          <w:szCs w:val="24"/>
          <w:vertAlign w:val="subscript"/>
          <w:lang w:val="en-US"/>
          <w14:ligatures w14:val="standardContextual"/>
        </w:rPr>
        <w:t>Exp</w:t>
      </w:r>
      <w:r w:rsidRPr="00CF3355">
        <w:rPr>
          <w:rFonts w:ascii="Times New Roman" w:eastAsiaTheme="minorHAnsi" w:hAnsi="Times New Roman"/>
          <w:sz w:val="24"/>
          <w:szCs w:val="24"/>
          <w:lang w:val="en-US"/>
          <w14:ligatures w14:val="standardContextual"/>
        </w:rPr>
        <w:t>)   (2)</w:t>
      </w:r>
    </w:p>
    <w:p w14:paraId="56726A67" w14:textId="77777777" w:rsidR="00B03777" w:rsidRPr="00CF3355" w:rsidRDefault="00B03777" w:rsidP="00B03777">
      <w:pPr>
        <w:spacing w:line="480" w:lineRule="auto"/>
        <w:ind w:firstLine="720"/>
        <w:jc w:val="both"/>
        <w:rPr>
          <w:rFonts w:ascii="Times New Roman" w:hAnsi="Times New Roman"/>
          <w:bCs/>
          <w:sz w:val="24"/>
          <w:szCs w:val="24"/>
          <w:lang w:val="en-GB"/>
        </w:rPr>
      </w:pPr>
      <w:r w:rsidRPr="00CF3355">
        <w:rPr>
          <w:rFonts w:ascii="Times New Roman" w:hAnsi="Times New Roman"/>
          <w:bCs/>
          <w:sz w:val="24"/>
          <w:szCs w:val="24"/>
          <w:lang w:val="en-GB"/>
        </w:rPr>
        <w:t>Where C</w:t>
      </w:r>
      <w:r w:rsidRPr="00CF3355">
        <w:rPr>
          <w:rFonts w:ascii="Times New Roman" w:hAnsi="Times New Roman"/>
          <w:bCs/>
          <w:sz w:val="24"/>
          <w:szCs w:val="24"/>
          <w:vertAlign w:val="subscript"/>
          <w:lang w:val="en-GB"/>
        </w:rPr>
        <w:t>Obs</w:t>
      </w:r>
      <w:r w:rsidRPr="00CF3355">
        <w:rPr>
          <w:rFonts w:ascii="Times New Roman" w:hAnsi="Times New Roman"/>
          <w:bCs/>
          <w:sz w:val="24"/>
          <w:szCs w:val="24"/>
          <w:lang w:val="en-GB"/>
        </w:rPr>
        <w:t xml:space="preserve"> represent the observed toxicity resulting from the combination of PPs and PS</w:t>
      </w:r>
      <w:r w:rsidRPr="00CF3355">
        <w:rPr>
          <w:rFonts w:ascii="Times New Roman" w:hAnsi="Times New Roman"/>
          <w:bCs/>
          <w:sz w:val="24"/>
          <w:szCs w:val="24"/>
          <w:lang w:val="en-US"/>
        </w:rPr>
        <w:t>N</w:t>
      </w:r>
      <w:r w:rsidRPr="00CF3355">
        <w:rPr>
          <w:rFonts w:ascii="Times New Roman" w:hAnsi="Times New Roman"/>
          <w:bCs/>
          <w:sz w:val="24"/>
          <w:szCs w:val="24"/>
          <w:lang w:val="en-GB"/>
        </w:rPr>
        <w:t>Ps. The nature of interaction is determined based on the computed value of R</w:t>
      </w:r>
      <w:r w:rsidRPr="00CF3355">
        <w:rPr>
          <w:rFonts w:ascii="Times New Roman" w:hAnsi="Times New Roman"/>
          <w:bCs/>
          <w:sz w:val="24"/>
          <w:szCs w:val="24"/>
          <w:vertAlign w:val="subscript"/>
          <w:lang w:val="en-GB"/>
        </w:rPr>
        <w:t>I</w:t>
      </w:r>
      <w:r w:rsidRPr="00CF3355">
        <w:rPr>
          <w:rFonts w:ascii="Times New Roman" w:hAnsi="Times New Roman"/>
          <w:bCs/>
          <w:sz w:val="24"/>
          <w:szCs w:val="24"/>
          <w:lang w:val="en-GB"/>
        </w:rPr>
        <w:t>. If the R</w:t>
      </w:r>
      <w:r w:rsidRPr="00CF3355">
        <w:rPr>
          <w:rFonts w:ascii="Times New Roman" w:hAnsi="Times New Roman"/>
          <w:bCs/>
          <w:sz w:val="24"/>
          <w:szCs w:val="24"/>
          <w:vertAlign w:val="subscript"/>
          <w:lang w:val="en-GB"/>
        </w:rPr>
        <w:t>I</w:t>
      </w:r>
      <w:r w:rsidRPr="00CF3355">
        <w:rPr>
          <w:rFonts w:ascii="Times New Roman" w:hAnsi="Times New Roman"/>
          <w:bCs/>
          <w:sz w:val="24"/>
          <w:szCs w:val="24"/>
          <w:lang w:val="en-GB"/>
        </w:rPr>
        <w:t xml:space="preserve"> value is equal to 1, the interaction is considered additive. If the calculated R</w:t>
      </w:r>
      <w:r w:rsidRPr="00CF3355">
        <w:rPr>
          <w:rFonts w:ascii="Times New Roman" w:hAnsi="Times New Roman"/>
          <w:bCs/>
          <w:sz w:val="24"/>
          <w:szCs w:val="24"/>
          <w:vertAlign w:val="subscript"/>
          <w:lang w:val="en-GB"/>
        </w:rPr>
        <w:t xml:space="preserve">I </w:t>
      </w:r>
      <w:r w:rsidRPr="00CF3355">
        <w:rPr>
          <w:rFonts w:ascii="Times New Roman" w:hAnsi="Times New Roman"/>
          <w:bCs/>
          <w:sz w:val="24"/>
          <w:szCs w:val="24"/>
          <w:lang w:val="en-GB"/>
        </w:rPr>
        <w:t>value is less than 1, the interaction is deemed antagonistic. Conversely, if the R</w:t>
      </w:r>
      <w:r w:rsidRPr="00CF3355">
        <w:rPr>
          <w:rFonts w:ascii="Times New Roman" w:hAnsi="Times New Roman"/>
          <w:bCs/>
          <w:sz w:val="24"/>
          <w:szCs w:val="24"/>
          <w:vertAlign w:val="subscript"/>
          <w:lang w:val="en-GB"/>
        </w:rPr>
        <w:t>I</w:t>
      </w:r>
      <w:r w:rsidRPr="00CF3355">
        <w:rPr>
          <w:rFonts w:ascii="Times New Roman" w:hAnsi="Times New Roman"/>
          <w:bCs/>
          <w:sz w:val="24"/>
          <w:szCs w:val="24"/>
          <w:lang w:val="en-GB"/>
        </w:rPr>
        <w:t xml:space="preserve"> value obtained is greater than 1, the interaction is characterized as synergistic.</w:t>
      </w:r>
    </w:p>
    <w:p w14:paraId="7E68D96A" w14:textId="0249BBFB" w:rsidR="00B03777" w:rsidRPr="00CF3355" w:rsidRDefault="00B03777" w:rsidP="00B03777">
      <w:pPr>
        <w:spacing w:line="480" w:lineRule="auto"/>
        <w:ind w:firstLine="720"/>
        <w:jc w:val="both"/>
        <w:rPr>
          <w:rFonts w:ascii="Times New Roman" w:hAnsi="Times New Roman"/>
          <w:sz w:val="24"/>
          <w:szCs w:val="24"/>
        </w:rPr>
      </w:pPr>
      <w:r w:rsidRPr="00CF3355">
        <w:rPr>
          <w:rFonts w:ascii="Times New Roman" w:hAnsi="Times New Roman"/>
          <w:bCs/>
          <w:sz w:val="24"/>
          <w:szCs w:val="24"/>
          <w:lang w:val="en-GB"/>
        </w:rPr>
        <w:t>To validate the computed R</w:t>
      </w:r>
      <w:r w:rsidRPr="00CF3355">
        <w:rPr>
          <w:rFonts w:ascii="Times New Roman" w:hAnsi="Times New Roman"/>
          <w:bCs/>
          <w:sz w:val="24"/>
          <w:szCs w:val="24"/>
          <w:vertAlign w:val="subscript"/>
          <w:lang w:val="en-GB"/>
        </w:rPr>
        <w:t>I</w:t>
      </w:r>
      <w:r w:rsidRPr="00CF3355">
        <w:rPr>
          <w:rFonts w:ascii="Times New Roman" w:hAnsi="Times New Roman"/>
          <w:bCs/>
          <w:sz w:val="24"/>
          <w:szCs w:val="24"/>
          <w:lang w:val="en-GB"/>
        </w:rPr>
        <w:t xml:space="preserve"> value, statistical significance between C</w:t>
      </w:r>
      <w:r w:rsidRPr="00CF3355">
        <w:rPr>
          <w:rFonts w:ascii="Times New Roman" w:hAnsi="Times New Roman"/>
          <w:bCs/>
          <w:sz w:val="24"/>
          <w:szCs w:val="24"/>
          <w:vertAlign w:val="subscript"/>
          <w:lang w:val="en-GB"/>
        </w:rPr>
        <w:t xml:space="preserve">Obs </w:t>
      </w:r>
      <w:r w:rsidRPr="00CF3355">
        <w:rPr>
          <w:rFonts w:ascii="Times New Roman" w:hAnsi="Times New Roman"/>
          <w:bCs/>
          <w:sz w:val="24"/>
          <w:szCs w:val="24"/>
          <w:lang w:val="en-GB"/>
        </w:rPr>
        <w:t>and C</w:t>
      </w:r>
      <w:r w:rsidRPr="00CF3355">
        <w:rPr>
          <w:rFonts w:ascii="Times New Roman" w:hAnsi="Times New Roman"/>
          <w:bCs/>
          <w:sz w:val="24"/>
          <w:szCs w:val="24"/>
          <w:vertAlign w:val="subscript"/>
          <w:lang w:val="en-GB"/>
        </w:rPr>
        <w:t>Exp</w:t>
      </w:r>
      <w:r w:rsidRPr="00CF3355">
        <w:rPr>
          <w:rFonts w:ascii="Times New Roman" w:hAnsi="Times New Roman"/>
          <w:bCs/>
          <w:sz w:val="24"/>
          <w:szCs w:val="24"/>
          <w:lang w:val="en-GB"/>
        </w:rPr>
        <w:t xml:space="preserve"> values was assessed using Two-way ANOVA (Bonferroni post-test). Despite the obtained R</w:t>
      </w:r>
      <w:r w:rsidRPr="00CF3355">
        <w:rPr>
          <w:rFonts w:ascii="Times New Roman" w:hAnsi="Times New Roman"/>
          <w:bCs/>
          <w:sz w:val="24"/>
          <w:szCs w:val="24"/>
          <w:vertAlign w:val="subscript"/>
          <w:lang w:val="en-GB"/>
        </w:rPr>
        <w:t>I</w:t>
      </w:r>
      <w:r w:rsidRPr="00CF3355">
        <w:rPr>
          <w:rFonts w:ascii="Times New Roman" w:hAnsi="Times New Roman"/>
          <w:bCs/>
          <w:sz w:val="24"/>
          <w:szCs w:val="24"/>
          <w:lang w:val="en-GB"/>
        </w:rPr>
        <w:t xml:space="preserve"> values, the interaction between PPs and PSNPs was regarded as additive when the toxicity difference between C</w:t>
      </w:r>
      <w:r w:rsidRPr="00CF3355">
        <w:rPr>
          <w:rFonts w:ascii="Times New Roman" w:hAnsi="Times New Roman"/>
          <w:bCs/>
          <w:sz w:val="24"/>
          <w:szCs w:val="24"/>
          <w:vertAlign w:val="subscript"/>
          <w:lang w:val="en-GB"/>
        </w:rPr>
        <w:t>Obs</w:t>
      </w:r>
      <w:r w:rsidRPr="00CF3355">
        <w:rPr>
          <w:rFonts w:ascii="Times New Roman" w:hAnsi="Times New Roman"/>
          <w:bCs/>
          <w:sz w:val="24"/>
          <w:szCs w:val="24"/>
          <w:lang w:val="en-GB"/>
        </w:rPr>
        <w:t xml:space="preserve"> and C</w:t>
      </w:r>
      <w:r w:rsidRPr="00CF3355">
        <w:rPr>
          <w:rFonts w:ascii="Times New Roman" w:hAnsi="Times New Roman"/>
          <w:bCs/>
          <w:sz w:val="24"/>
          <w:szCs w:val="24"/>
          <w:vertAlign w:val="subscript"/>
          <w:lang w:val="en-GB"/>
        </w:rPr>
        <w:t>Exp</w:t>
      </w:r>
      <w:r w:rsidRPr="00CF3355">
        <w:rPr>
          <w:rFonts w:ascii="Times New Roman" w:hAnsi="Times New Roman"/>
          <w:bCs/>
          <w:sz w:val="24"/>
          <w:szCs w:val="24"/>
          <w:lang w:val="en-GB"/>
        </w:rPr>
        <w:t xml:space="preserve"> was statistically insignificant </w:t>
      </w:r>
      <w:r w:rsidRPr="00CF3355">
        <w:rPr>
          <w:rFonts w:ascii="Times New Roman" w:hAnsi="Times New Roman"/>
          <w:sz w:val="24"/>
          <w:szCs w:val="24"/>
        </w:rPr>
        <w:t xml:space="preserve">(p &gt; 0.05) </w:t>
      </w:r>
      <w:sdt>
        <w:sdtPr>
          <w:rPr>
            <w:rFonts w:ascii="Times New Roman" w:hAnsi="Times New Roman"/>
            <w:color w:val="000000"/>
            <w:sz w:val="24"/>
            <w:szCs w:val="24"/>
          </w:rPr>
          <w:tag w:val="MENDELEY_CITATION_v3_eyJjaXRhdGlvbklEIjoiTUVOREVMRVlfQ0lUQVRJT05fMTZjZDU5NTgtYzhlMS00NjczLTkxNGUtZjExNjExMGQ2OWFiIiwicHJvcGVydGllcyI6eyJub3RlSW5kZXgiOjB9LCJpc0VkaXRlZCI6ZmFsc2UsIm1hbnVhbE92ZXJyaWRlIjp7ImNpdGVwcm9jVGV4dCI6IihUaGlhZ2FyYWphbiwgSXN3YXJ5YSwgZXQgYWwuLCAyMDE5KSIsImlzTWFudWFsbHlPdmVycmlkZGVuIjpmYWxzZSwibWFudWFsT3ZlcnJpZGVUZXh0IjoiIn0sImNpdGF0aW9uSXRlbXMiOlt7ImlkIjoiOGI4YWUxNzgtYzlhZS01OWM4LThkYjgtYjgzNDYwMDI3YjdiIiwiaXRlbURhdGEiOnsiRE9JIjoiMTAuMTAxNi9qLmFxdWF0b3guMjAxOC4xMi4wMTQiLCJJU1NOIjoiMTg3OTE1MTQiLCJQTUlEIjoiMzA2Mzg0OTEiLCJhYnN0cmFjdCI6IkluY3JlYXNlZCB1dGlsaXphdGlvbiBvZiB0aXRhbml1bSBkaW94aWRlIG5hbm9wYXJ0aWNsZXMgKFRpTzIgTlBzKSBmb3IgY29tbWVyY2lhbCBhcyB3ZWxsIGFzIGluZHVzdHJpYWwgcHVycG9zZXMgcmVzdWx0ZWQgaW4gdGhlIGFjY3VtdWxhdGlvbiBvZiBuYW5vcGFydGljbGVzIGluIHRoZSBtYXJpbmUgc3lzdGVtLiBNaWNyb3BsYXN0aWNzIGJlaW5nIGFuIGVtZXJnaW5nIHNlY29uZGFyeSBwb2xsdXRhbnQgaW4gdGhlIG1hcmluZSBlY29zeXN0ZW0gaGF2ZSBhbiBpbXBhY3Qgb24gdGhlIHRveGljIGVmZmVjdHMgb2YgVGlPMiBOUHMgd2hpY2ggaGFzIG5vdCBiZWVuIGV2YWx1YXRlZCB1cCB0byBkYXRlLiBTbyBpdCBpcyBpbXBvcnRhbnQgdG8gYXNzZXNzIHRoZSB0b3hpYyBlZmZlY3RzIG9mIGJvdGggdGhlc2UgcG9sbHV0YW50cyBvbiB0aGUgbWFyaW5lIGVudmlyb25tZW50LiBUaGUgcHJlc2VudCBzdHVkeSBleGFtaW5lcyB0aGUgaW1wYWN0IG9mIGRpZmZlcmVudGx5IGZ1bmN0aW9uYWxpemVkIG1pY3JvcGxhc3RpY3Mgb24gdGhlIHRveGljIGVmZmVjdHMgb2YgUDI1IFRpTzIgTlBzIHRvIG1hcmluZSBhbGdhZSBDaGxvcmVsbGEgc3AuIFRoZSB0ZW5kZW5jeSBvZiBuYW5vcGFydGljbGVzIHRvIHVuZGVyZ28gYWdncmVnYXRpb24gaW4gYXJ0aWZpY2lhbCBzZWF3YXRlciB3YXMgb2JzZXJ2ZWQgd2l0aCBpbmNyZWFzZSBpbiB0aW1lLiBUaGUgbWVkaWFuIGVmZmVjdGl2ZSBjb25jZW50cmF0aW9uIGZvciBUaU8yIE5QcyB3YXMgZm91bmQgdG8gYmUgODEgzrxNIHdoaWNoIGluZGljYXRlcyBoaWdoZXIgdG94aWMgZWZmZWN0cyBvZiBOUHMgdG93YXJkIGFsZ2FlLiBJbiBjb250cmFzdCwgbWljcm9wbGFzdGljcyBpcnJlc3BlY3RpdmUgb2YgdGhlaXIgZGlmZmVyZW5jZSBpbiBmdW5jdGlvbmFsaXphdGlvbiBoYWQgbWluaW1hbCB0b3hpYyBlZmZlY3Qgb2YgYWJvdXQgMTUlIGF0IHRoZWlyIGhpZ2hlciBjb25jZW50cmF0aW9uIHRlc3RlZCwgMTAwMCBtZyBM4oiSMS4gUGxhaW4gYW5kIGFtaW5hdGVkIHBvbHlzdHlyZW5lIG1pY3JvcGxhc3RpY3MgZW5oYW5jZWQgdGhlIFRpTzIgTlBzIHRveGljaXR5IHdoaWNoIHdhcyBmdXJ0aGVyIHZhbGlkYXRlZCB3aXRoIG94aWRhdGl2ZSBzdHJlc3MgZGV0ZXJtaW5hdGlvbiBzdHVkaWVzIGxpa2UgcmVhY3RpdmUgb3h5Z2VuIHNwZWNpZXMgYW5kIGxpcGlkIHBlcm94aWRhdGlvbiBhc3NheXMuIE5lZ2F0aXZlbHkgY2hhcmdlZCBjYXJib3h5bGF0ZWQgcG9seXN0eXJlbmUgbWljcm9wbGFzdGljcyBkZWNyZWFzZWQgdGhlIFRpTzIgTlBzIHRveGljaXR5IHdpdGggcG9zc2libGUgaGV0ZXJvLWFnZ3JlZ2F0aW9uIGJldHdlZW4gVGlPMiBOUHMgYW5kIG1pY3JvcGxhc3RpY3MgaW4gdGhlIHN5c3RlbS4gVGhlIHRveGljaXR5IGRhdGEgb2J0YWluZWQgZm9yIHRoZSBtaXh0dXJlIHdhcyBmdXJ0aGVyIGNvcnJvYm9yYXRlZCB3aXRoIEFiYm90dCdzIG1hdGhlbWF0aWNhbCBtb2RlbC4iLCJhdXRob3IiOlt7ImRyb3BwaW5nLXBhcnRpY2xlIjoiIiwiZmFtaWx5IjoiVGhpYWdhcmFqYW4iLCJnaXZlbiI6IlZpZ25lc2giLCJub24tZHJvcHBpbmctcGFydGljbGUiOiIiLCJwYXJzZS1uYW1lcyI6ZmFsc2UsInN1ZmZpeCI6IiJ9LHsiZHJvcHBpbmctcGFydGljbGUiOiIiLCJmYW1pbHkiOiJJc3dhcnlhIiwiZ2l2ZW4iOiJWLiIsIm5vbi1kcm9wcGluZy1wYXJ0aWNsZSI6IiIsInBhcnNlLW5hbWVzIjpmYWxzZSwic3VmZml4IjoiIn0seyJkcm9wcGluZy1wYXJ0aWNsZSI6IiIsImZhbWlseSI6IlAuIiwiZ2l2ZW4iOiJBYnJhaGFtIEp1bGlhbiIsIm5vbi1kcm9wcGluZy1wYXJ0aWNsZSI6IiIsInBhcnNlLW5hbWVzIjpmYWxzZSwic3VmZml4IjoiIn0seyJkcm9wcGluZy1wYXJ0aWNsZSI6IiIsImZhbWlseSI6IlNlZW5pdmFzYW4iLCJnaXZlbiI6IlIuIiwibm9uLWRyb3BwaW5nLXBhcnRpY2xlIjoiIiwicGFyc2UtbmFtZXMiOmZhbHNlLCJzdWZmaXgiOiIifSx7ImRyb3BwaW5nLXBhcnRpY2xlIjoiIiwiZmFtaWx5IjoiQ2hhbmRyYXNla2FyYW4iLCJnaXZlbiI6Ik4uIiwibm9uLWRyb3BwaW5nLXBhcnRpY2xlIjoiIiwicGFyc2UtbmFtZXMiOmZhbHNlLCJzdWZmaXgiOiIifSx7ImRyb3BwaW5nLXBhcnRpY2xlIjoiIiwiZmFtaWx5IjoiTXVraGVyamVlIiwiZ2l2ZW4iOiJBbWl0YXZhIiwibm9uLWRyb3BwaW5nLXBhcnRpY2xlIjoiIiwicGFyc2UtbmFtZXMiOmZhbHNlLCJzdWZmaXgiOiIifV0sImNvbnRhaW5lci10aXRsZSI6IkFxdWF0aWMgVG94aWNvbG9neSIsImlkIjoiOGI4YWUxNzgtYzlhZS01OWM4LThkYjgtYjgzNDYwMDI3YjdiIiwiaXNzdWUiOiJEZWNlbWJlciAyMDE4IiwiaXNzdWVkIjp7ImRhdGUtcGFydHMiOltbIjIwMTkiXV19LCJwYWdlIjoiMjA4LTIxNiIsInRpdGxlIjoiSW5mbHVlbmNlIG9mIGRpZmZlcmVudGx5IGZ1bmN0aW9uYWxpemVkIHBvbHlzdHlyZW5lIG1pY3JvcGxhc3RpY3Mgb24gdGhlIHRveGljIGVmZmVjdHMgb2YgUDI1IFRpTzIgTlBzIHRvd2FyZHMgbWFyaW5lIGFsZ2FlIENobG9yZWxsYSBzcC4iLCJ0eXBlIjoiYXJ0aWNsZS1qb3VybmFsIiwidm9sdW1lIjoiMjA3IiwiY29udGFpbmVyLXRpdGxlLXNob3J0IjoiIn0sInVyaXMiOlsiaHR0cDovL3d3dy5tZW5kZWxleS5jb20vZG9jdW1lbnRzLz91dWlkPTI5Y2FhNzVkLWQ3MGYtNDM1OS1iYTY4LTViZjE5MjMxN2M0NiJdLCJpc1RlbXBvcmFyeSI6ZmFsc2UsImxlZ2FjeURlc2t0b3BJZCI6IjI5Y2FhNzVkLWQ3MGYtNDM1OS1iYTY4LTViZjE5MjMxN2M0NiJ9XX0="/>
          <w:id w:val="-536431059"/>
          <w:placeholder>
            <w:docPart w:val="9011666DCFC743BD83D54622E44DFA76"/>
          </w:placeholder>
        </w:sdtPr>
        <w:sdtContent>
          <w:r w:rsidRPr="00B03777">
            <w:rPr>
              <w:rFonts w:ascii="Times New Roman" w:hAnsi="Times New Roman"/>
              <w:color w:val="000000"/>
              <w:sz w:val="24"/>
              <w:szCs w:val="24"/>
            </w:rPr>
            <w:t>(Thiagarajan, Iswarya, et al., 2019)</w:t>
          </w:r>
        </w:sdtContent>
      </w:sdt>
      <w:r w:rsidRPr="00CF3355">
        <w:rPr>
          <w:rFonts w:ascii="Times New Roman" w:hAnsi="Times New Roman"/>
          <w:sz w:val="24"/>
          <w:szCs w:val="24"/>
        </w:rPr>
        <w:t>.</w:t>
      </w:r>
    </w:p>
    <w:p w14:paraId="7793E736" w14:textId="05605E0B" w:rsidR="004A7AC7" w:rsidRPr="004A7AC7" w:rsidRDefault="004A7AC7" w:rsidP="00186B7D">
      <w:pPr>
        <w:spacing w:line="480" w:lineRule="auto"/>
        <w:jc w:val="both"/>
        <w:rPr>
          <w:rFonts w:ascii="Times New Roman" w:hAnsi="Times New Roman"/>
          <w:b/>
          <w:bCs/>
          <w:sz w:val="24"/>
          <w:szCs w:val="24"/>
          <w:lang w:val="en-GB"/>
        </w:rPr>
      </w:pPr>
      <w:r w:rsidRPr="004A7AC7">
        <w:rPr>
          <w:rFonts w:ascii="Times New Roman" w:hAnsi="Times New Roman"/>
          <w:b/>
          <w:bCs/>
          <w:sz w:val="24"/>
          <w:szCs w:val="24"/>
          <w:lang w:val="en-GB"/>
        </w:rPr>
        <w:t>Method S</w:t>
      </w:r>
      <w:r w:rsidR="00B03777">
        <w:rPr>
          <w:rFonts w:ascii="Times New Roman" w:hAnsi="Times New Roman"/>
          <w:b/>
          <w:bCs/>
          <w:sz w:val="24"/>
          <w:szCs w:val="24"/>
          <w:lang w:val="en-GB"/>
        </w:rPr>
        <w:t>4</w:t>
      </w:r>
      <w:r w:rsidRPr="004A7AC7">
        <w:rPr>
          <w:rFonts w:ascii="Times New Roman" w:hAnsi="Times New Roman"/>
          <w:b/>
          <w:bCs/>
          <w:sz w:val="24"/>
          <w:szCs w:val="24"/>
          <w:lang w:val="en-GB"/>
        </w:rPr>
        <w:t xml:space="preserve">: Determination of observed concentration of </w:t>
      </w:r>
      <w:r>
        <w:rPr>
          <w:rFonts w:ascii="Times New Roman" w:hAnsi="Times New Roman"/>
          <w:b/>
          <w:bCs/>
          <w:sz w:val="24"/>
          <w:szCs w:val="24"/>
          <w:lang w:val="en-GB"/>
        </w:rPr>
        <w:t>p</w:t>
      </w:r>
      <w:r w:rsidRPr="004A7AC7">
        <w:rPr>
          <w:rFonts w:ascii="Times New Roman" w:hAnsi="Times New Roman"/>
          <w:b/>
          <w:bCs/>
          <w:sz w:val="24"/>
          <w:szCs w:val="24"/>
          <w:lang w:val="en-GB"/>
        </w:rPr>
        <w:t xml:space="preserve">harmaceutical products </w:t>
      </w:r>
    </w:p>
    <w:p w14:paraId="5ED59D5D" w14:textId="05D12CE5" w:rsidR="004A7AC7" w:rsidRDefault="004A7AC7" w:rsidP="004A7AC7">
      <w:pPr>
        <w:spacing w:line="480" w:lineRule="auto"/>
        <w:jc w:val="both"/>
        <w:rPr>
          <w:rFonts w:ascii="Times New Roman" w:hAnsi="Times New Roman"/>
          <w:color w:val="000000"/>
          <w:sz w:val="24"/>
          <w:szCs w:val="24"/>
          <w:lang w:val="en-GB"/>
        </w:rPr>
      </w:pPr>
      <w:r>
        <w:rPr>
          <w:rFonts w:ascii="Times New Roman" w:hAnsi="Times New Roman"/>
          <w:sz w:val="24"/>
          <w:szCs w:val="24"/>
        </w:rPr>
        <w:t xml:space="preserve">The observed concentration of PPs were determined using ultra performance liquid chromatography (UPLC). </w:t>
      </w:r>
      <w:r w:rsidRPr="004A7AC7">
        <w:rPr>
          <w:rFonts w:ascii="Times New Roman" w:hAnsi="Times New Roman"/>
          <w:sz w:val="24"/>
          <w:szCs w:val="24"/>
        </w:rPr>
        <w:t>The samples were filtered using a 0.22 µm filter before undergoing analysis. A C18 1.7µm (2.1 × 150 mm) column was utilized for the separation and quantification of all PPs. In the case of metronidazole, the mobile phase was isocratically eluted at a flow rate of 0.5 mL/min, consisting of water:acetonitrile (90:10, v/v)</w:t>
      </w:r>
      <w:r>
        <w:rPr>
          <w:rFonts w:ascii="Times New Roman" w:hAnsi="Times New Roman"/>
          <w:sz w:val="24"/>
          <w:szCs w:val="24"/>
        </w:rPr>
        <w:t xml:space="preserve"> </w:t>
      </w:r>
      <w:sdt>
        <w:sdtPr>
          <w:rPr>
            <w:rFonts w:ascii="Times New Roman" w:hAnsi="Times New Roman"/>
            <w:color w:val="000000"/>
            <w:sz w:val="24"/>
            <w:szCs w:val="24"/>
          </w:rPr>
          <w:tag w:val="MENDELEY_CITATION_v3_eyJjaXRhdGlvbklEIjoiTUVOREVMRVlfQ0lUQVRJT05fZTEzNjQwNGItOTdlMS00NDJkLTkzNWMtNGI0MWE3NTUwZTgwIiwicHJvcGVydGllcyI6eyJub3RlSW5kZXgiOjB9LCJpc0VkaXRlZCI6ZmFsc2UsIm1hbnVhbE92ZXJyaWRlIjp7ImlzTWFudWFsbHlPdmVycmlkZGVuIjpmYWxzZSwiY2l0ZXByb2NUZXh0IjoiKFNvYXJlcyBldCBhbC4sIDIwMjMpIiwibWFudWFsT3ZlcnJpZGVUZXh0IjoiIn0sImNpdGF0aW9uSXRlbXMiOlt7ImlkIjoiN2U5NmNkMjItNTA4OS0zZWVjLWFjZmEtODAxMzBiYjY1MzA0IiwiaXRlbURhdGEiOnsidHlwZSI6ImFydGljbGUtam91cm5hbCIsImlkIjoiN2U5NmNkMjItNTA4OS0zZWVjLWFjZmEtODAxMzBiYjY1MzA0IiwidGl0bGUiOiJQaGFybWFjb21hZ25ldG9ncmFwaHkgYXNzZXNzbWVudCBvZiB0aGUgcHJva2luZXRpYyBlZmZlY3Qgb24gbWV0cm9uaWRhem9sZSBhYnNvcnB0aW9uIiwiYXV0aG9yIjpbeyJmYW1pbHkiOiJTb2FyZXMiLCJnaXZlbiI6Ikd1aWxoZXJtZSBBdWd1c3RvIiwicGFyc2UtbmFtZXMiOmZhbHNlLCJkcm9wcGluZy1wYXJ0aWNsZSI6IiIsIm5vbi1kcm9wcGluZy1wYXJ0aWNsZSI6IiJ9LHsiZmFtaWx5IjoiUm9kcmlndWVzIiwiZ2l2ZW4iOiJHdXN0YXZvIFNlcmFmaW0iLCJwYXJzZS1uYW1lcyI6ZmFsc2UsImRyb3BwaW5nLXBhcnRpY2xlIjoiIiwibm9uLWRyb3BwaW5nLXBhcnRpY2xlIjoiIn0seyJmYW1pbHkiOiJCdXJhbmVsbG8iLCJnaXZlbiI6IkxhaXMgUGVyZWlyYSIsInBhcnNlLW5hbWVzIjpmYWxzZSwiZHJvcHBpbmctcGFydGljbGUiOiIiLCJub24tZHJvcHBpbmctcGFydGljbGUiOiIifSx7ImZhbWlseSI6Ik9saXZlaXJhIiwiZ2l2ZW4iOiJSaWNhcmRvIEJyYW5kdCIsInBhcnNlLW5hbWVzIjpmYWxzZSwiZHJvcHBpbmctcGFydGljbGUiOiIiLCJub24tZHJvcHBpbmctcGFydGljbGUiOiJkZSJ9LHsiZmFtaWx5IjoiQXJydWRhIE1pcmFuZGEiLCJnaXZlbiI6Ikpvc8OpIFJpY2FyZG8iLCJwYXJzZS1uYW1lcyI6ZmFsc2UsImRyb3BwaW5nLXBhcnRpY2xlIjoiIiwibm9uLWRyb3BwaW5nLXBhcnRpY2xlIjoiZGUifV0sImNvbnRhaW5lci10aXRsZSI6IkpvdXJuYWwgb2YgUGhhcm1hY3kgYW5kIFBoYXJtYWNvbG9neSIsIkRPSSI6IjEwLjEwOTMvanBwL3JnYWQwODgiLCJJU1NOIjoiMDAyMi0zNTczIiwiVVJMIjoiaHR0cHM6Ly9kb2kub3JnLzEwLjEwOTMvanBwL3JnYWQwODgiLCJpc3N1ZWQiOnsiZGF0ZS1wYXJ0cyI6W1syMDIzLDEwLDEzXV19LCJwYWdlIjoicmdhZDA4OCIsImFic3RyYWN0IjoiVGhpcyBzdHVkeSBhaW1lZCB0byBldmFsdWF0ZSB0aGUgZWZmZWN0cyBvZiBwcnVjYWxvcHJpZGUsIGEgcHJva2luZXRpYyBhZ2VudCB0aGF0IGFjdHMgYXMgYSBwb3RlbnQgc2Vyb3RvbmluIGFnb25pc3Qgb2YgNS1IVDQgcmVjZXB0b3JzLCBvbiBnYXN0cmljIGVtcHR5aW5nIGFuZCBzbWFsbCBib3dlbCB0cmFuc2l0IGFuZCBhc3Nlc3MgaXRzIGltcGFjdCBvbiB0aGUgYWJzb3JwdGlvbiBvZiBtZXRyb25pZGF6b2xlLlNpeCBoZWFsdGh5IHZvbHVudGVlcnMsIHRocmVlIG1lbiBhbmQgdGhyZWUgd29tZW4sIGFnZWQgYmV0d2VlbiAyMCBhbmQgMjcgeWVhcnMsIHdpdGggYSBib2R5IHdlaWdodCByYW5naW5nIGZyb20gNTAgdG8gODAga2csIHdlcmUgZW5yb2xsZWQgaW4gdGhpcyBzdHVkeS4gVGhlIHBoYXJtYWNva2luZXRpY3MgYW5kIGdhc3Ryb2ludGVzdGluYWwgdHJhbnNpdCBwYXJhbWV0ZXJzIHdlcmUgZXZhbHVhdGVkIHNpbXVsdGFuZW91c2x5IHRocm91Z2ggcGhhcm1hY29tYWduZXRvZ3JhcGh5IGFzc2Vzc21lbnQsIGNvbWJpbmluZyBhbHRlcm5hdGluZyBjdXJyZW50IGJpb3N1c2NlcHRvbWV0cnkgYW5kIGJsb29kIGFuYWx5c2lzLlRoZSByZXN1bHRzIHNob3dlZCB0aGF0IHBydWNhbG9wcmlkZSBlbmhhbmNlcyBnYXN0cmljIGVtcHR5aW5nIGFuZCBzbWFsbCBib3dlbCB0cmFuc2l0IHdoZW4gYWRtaW5pc3RlcmVkIG9yYWxseSBhbmQgc2lnbmlmaWNhbnRseSBpbXBhY3RzIHRoZSByYXRlIG9mIG1ldHJvbmlkYXpvbGUgYWJzb3JwdGlvbiwgbGVhZGluZyB0byBlbmhhbmNlZCBiaW9hdmFpbGFiaWxpdHkgYW5kIHJhcGlkIHRoZXJhcGV1dGljIHJlc3BvbnNlLlBoYXJtYWNvbWFnbmV0b2dyYXBoeSBhc3Nlc3NtZW50IGFsbG93cyBzaW11bHRhbmVvdXMgdHJhY2tpbmcgb2YgdHJhbnNpdCBieSBpbWFnZXMgYW5kIGlzIGEgdmFsdWFibGUgbWV0aG9kIGZvciBhbmFseXNpbmcgZHJ1ZyBhYnNvcnB0aW9uIHVzaW5nIG11bHRpcGxlIGluc3RydW1lbnRzLiIsImNvbnRhaW5lci10aXRsZS1zaG9ydCI6IiJ9LCJpc1RlbXBvcmFyeSI6ZmFsc2V9XX0="/>
          <w:id w:val="1496846536"/>
          <w:placeholder>
            <w:docPart w:val="DefaultPlaceholder_-1854013440"/>
          </w:placeholder>
        </w:sdtPr>
        <w:sdtContent>
          <w:r w:rsidR="00B03777" w:rsidRPr="00B03777">
            <w:rPr>
              <w:rFonts w:ascii="Times New Roman" w:hAnsi="Times New Roman"/>
              <w:color w:val="000000"/>
              <w:sz w:val="24"/>
              <w:szCs w:val="24"/>
            </w:rPr>
            <w:t>(Soares et al., 2023)</w:t>
          </w:r>
        </w:sdtContent>
      </w:sdt>
      <w:r>
        <w:rPr>
          <w:rFonts w:ascii="Times New Roman" w:hAnsi="Times New Roman"/>
          <w:sz w:val="24"/>
          <w:szCs w:val="24"/>
        </w:rPr>
        <w:t xml:space="preserve"> </w:t>
      </w:r>
      <w:r w:rsidRPr="004A7AC7">
        <w:rPr>
          <w:rFonts w:ascii="Times New Roman" w:hAnsi="Times New Roman"/>
          <w:sz w:val="24"/>
          <w:szCs w:val="24"/>
        </w:rPr>
        <w:t>. Similarly, for diclofenac, a mobile phase of 0.05 M acetate buffer (pH 2.5) and acetonitrile (50:50, v/v) was employed with a flow rate of 0.5 ml/min</w:t>
      </w:r>
      <w:r>
        <w:rPr>
          <w:rFonts w:ascii="Times New Roman" w:hAnsi="Times New Roman"/>
          <w:sz w:val="24"/>
          <w:szCs w:val="24"/>
        </w:rPr>
        <w:t xml:space="preserve"> </w:t>
      </w:r>
      <w:sdt>
        <w:sdtPr>
          <w:rPr>
            <w:rFonts w:ascii="Times New Roman" w:hAnsi="Times New Roman"/>
            <w:color w:val="000000"/>
            <w:sz w:val="24"/>
            <w:szCs w:val="24"/>
          </w:rPr>
          <w:tag w:val="MENDELEY_CITATION_v3_eyJjaXRhdGlvbklEIjoiTUVOREVMRVlfQ0lUQVRJT05fOTMzM2MxOWUtMzMxNy00MjdjLTg4NTgtZjJlYzk3NGU5ZWM0IiwicHJvcGVydGllcyI6eyJub3RlSW5kZXgiOjB9LCJpc0VkaXRlZCI6ZmFsc2UsIm1hbnVhbE92ZXJyaWRlIjp7ImlzTWFudWFsbHlPdmVycmlkZGVuIjpmYWxzZSwiY2l0ZXByb2NUZXh0IjoiKEVsemF5YXQgZXQgYWwuLCAyMDE3KSIsIm1hbnVhbE92ZXJyaWRlVGV4dCI6IiJ9LCJjaXRhdGlvbkl0ZW1zIjpbeyJpZCI6ImIzNDkxNzVhLTM5M2EtMzQyNy1hOWM5LTNhNzE1MzhiMWIxOSIsIml0ZW1EYXRhIjp7InR5cGUiOiJhcnRpY2xlLWpvdXJuYWwiLCJpZCI6ImIzNDkxNzVhLTM5M2EtMzQyNy1hOWM5LTNhNzE1MzhiMWIxOSIsInRpdGxlIjoiQSB2YWxpZGF0ZWQgc3RhYmlsaXR5LWluZGljYXRpbmcgVVBMQyBtZXRob2QgZm9yIGRldGVybWluYXRpb24gb2YgZGljbG9mZW5hYyBzb2RpdW0gaW4gaXRzIHB1cmUgZm9ybSBhbmQgbWF0cml4IGZvcm11bGF0aW9ucyIsImF1dGhvciI6W3siZmFtaWx5IjoiRWx6YXlhdCIsImdpdmVuIjoiRWhhYiBNIiwicGFyc2UtbmFtZXMiOmZhbHNlLCJkcm9wcGluZy1wYXJ0aWNsZSI6IiIsIm5vbi1kcm9wcGluZy1wYXJ0aWNsZSI6IiJ9LHsiZmFtaWx5IjoiSWJyYWhpbSIsImdpdmVuIjoiTW9oYW1lZCBGIiwicGFyc2UtbmFtZXMiOmZhbHNlLCJkcm9wcGluZy1wYXJ0aWNsZSI6IiIsIm5vbi1kcm9wcGluZy1wYXJ0aWNsZSI6IiJ9LHsiZmFtaWx5IjoiQWJkZWwtUmFobWFuIiwiZ2l2ZW4iOiJBbGkgQSIsInBhcnNlLW5hbWVzIjpmYWxzZSwiZHJvcHBpbmctcGFydGljbGUiOiIiLCJub24tZHJvcHBpbmctcGFydGljbGUiOiIifSx7ImZhbWlseSI6IkFobWVkIiwiZ2l2ZW4iOiJTYXllZCBNIiwicGFyc2UtbmFtZXMiOmZhbHNlLCJkcm9wcGluZy1wYXJ0aWNsZSI6IiIsIm5vbi1kcm9wcGluZy1wYXJ0aWNsZSI6IiJ9LHsiZmFtaWx5IjoiQWxhbmF6aSIsImdpdmVuIjoiRmFycyBLIiwicGFyc2UtbmFtZXMiOmZhbHNlLCJkcm9wcGluZy1wYXJ0aWNsZSI6IiIsIm5vbi1kcm9wcGluZy1wYXJ0aWNsZSI6IiJ9LHsiZmFtaWx5IjoiSGFiaWIiLCJnaXZlbiI6IldhbGlkIEEiLCJwYXJzZS1uYW1lcyI6ZmFsc2UsImRyb3BwaW5nLXBhcnRpY2xlIjoiIiwibm9uLWRyb3BwaW5nLXBhcnRpY2xlIjoiIn1dLCJjb250YWluZXItdGl0bGUiOiJBcmFiaWFuIEpvdXJuYWwgb2YgQ2hlbWlzdHJ5IiwiRE9JIjoiaHR0cHM6Ly9kb2kub3JnLzEwLjEwMTYvai5hcmFiamMuMjAxMy4xMi4wMjIiLCJJU1NOIjoiMTg3OC01MzUyIiwiVVJMIjoiaHR0cHM6Ly93d3cuc2NpZW5jZWRpcmVjdC5jb20vc2NpZW5jZS9hcnRpY2xlL3BpaS9TMTg3ODUzNTIxMzAwNDUwNCIsImlzc3VlZCI6eyJkYXRlLXBhcnRzIjpbWzIwMTddXX0sInBhZ2UiOiJTMzI0NS1TMzI1NCIsImFic3RyYWN0IjoiVGhlIGFpbSBvZiB0aGlzIHdvcmsgaXMgdG8gZGV2ZWxvcCBhIHZhbGlkYXRlZCBzdGFiaWxpdHkgaW5kaWNhdGluZyByZXZlcnNlIHBoYXNlIHVsdHJhIHBlcmZvcm1hbmNlIGxpcXVpZCBjaHJvbWF0b2dyYXBoeSAoVVBMQykgbWV0aG9kIGZvciB0aGUgcmFwaWQgYW5kIGFjY3VyYXRlIGRldGVybWluYXRpb24gb2YgZGljbG9mZW5hYyBzb2RpdW0gaW4gaXRzIHB1cmUgZm9ybSBhbmQgaW4gbWF0cml4IGZvcm11bGF0aW9ucy4gVGhpcyBVUExDIG1ldGhvZCBpcyBjb21wb3NlZCBvZiBpc29jcmF0aWMgbW9iaWxlIHBoYXNlLCAwLjA1TSBhbW1vbml1bSBhY2V0YXRlIGJ1ZmZlciAocEg9Mi41KSBhbmQgYWNldG9uaXRyaWxlICg1MDo1MCksIHdpdGggZmxvdyByYXRlIDAuNW1sL21pbiwgY29sdW1uIEJFSCBDMTggKDIuMcOXNTBtbSwgMS43zrxtKS4gVGhlIG1ldGhvZCBpcyByYXBpZCAoMS4ybWluIHJ1biksIHNlbGVjdGl2ZSB3aXRoIHdlbGwgcmVzb2x1dGVkIGRpY2xvZmVuYWMgcGVhayB3aXRoIHJldGVudGlvbiB0aW1lIDAuOTRtaW4gYW5kIHNlbnNpdGl2ZSAoTE9EPTJwcG0gYW5kIExMT1E9NnBwbSkgd2l0aCBVViBkZXRlY3Rpb24gYXQgMjU0bm0uIFRoZSBkcnVnIHdhcyBzdWJqZWN0ZWQgdG8gYWNpZGljLCBhbGthbGluZSBtZWRpYSwgYm9pbGluZyBhbmQgb3hpZGl6aW5nIGFnZW50IHRvIGFwcGx5IHN0cmVzcyBjb25kaXRpb25zLiBUaGUgZGV2ZWxvcGVkIG1ldGhvZCB3YXMgYWJsZSB0byBzZXBhcmF0ZSBkZWdyYWRhdGlvbiBwcm9kdWN0IGdlbmVyYXRlZCB1bmRlciBmb3JjZWQgZGVncmFkYXRpb24gc3R1ZGllcy4gVGhlIGRldmVsb3BlZCBtZXRob2Qgd2FzIHZhbGlkYXRlZCBhcyBwZXIgdGhlIEZEQSBndWlkZWxpbmVzIGZvciBzcGVjaWZpY2l0eSwgbGluZWFyaXR5LCBhY2N1cmFjeSwgcHJlY2lzaW9uLCBMT0QsIExMT1EgYW5kIGZvdW5kIHRvIGJlIHNhdGlzZmFjdG9yeS4gVGhlIHN0dWR5IHN1Z2dlc3RzIHRoYXQgdGhlIGRldmVsb3BlZCBVUExDIG1ldGhvZCBjYW4gYmUgdXNlZCBmb3IgdGhlIGFzc2Vzc21lbnQgb2YgZHJ1ZyBwdXJpdHkgYW5kIHN0YWJpbGl0eS4gSXQgY2FuIGJlIGFsc28gdXNlZCB0byBtb25pdG9yIHRoZSBkcnVnIGNvbnRlbnQgYW5kIHJlbGVhc2UgZnJvbSBkaWZmZXJlbnQgZm9ybXVsYXRpb25zIHdpdGhvdXQgYW55IGludGVyZmVyZW5jZSBvZiBleGNpcGllbnRzIGFuZC9vciBkZWdyYWRhdGlvbiBwcm9kdWN0cy4iLCJ2b2x1bWUiOiIxMCIsImNvbnRhaW5lci10aXRsZS1zaG9ydCI6IiJ9LCJpc1RlbXBvcmFyeSI6ZmFsc2V9XX0="/>
          <w:id w:val="-346249863"/>
          <w:placeholder>
            <w:docPart w:val="DefaultPlaceholder_-1854013440"/>
          </w:placeholder>
        </w:sdtPr>
        <w:sdtContent>
          <w:r w:rsidR="00B03777" w:rsidRPr="00B03777">
            <w:rPr>
              <w:rFonts w:ascii="Times New Roman" w:hAnsi="Times New Roman"/>
              <w:color w:val="000000"/>
              <w:sz w:val="24"/>
              <w:szCs w:val="24"/>
            </w:rPr>
            <w:t>(Elzayat et al., 2017)</w:t>
          </w:r>
        </w:sdtContent>
      </w:sdt>
      <w:r w:rsidRPr="004A7AC7">
        <w:rPr>
          <w:rFonts w:ascii="Times New Roman" w:hAnsi="Times New Roman"/>
          <w:sz w:val="24"/>
          <w:szCs w:val="24"/>
        </w:rPr>
        <w:t xml:space="preserve">. Likewise, the mobile phase for ibuprofen was a mixture of acetonitrile and water (pH 3 adjusted by diluted acetic acid). The </w:t>
      </w:r>
      <w:r w:rsidRPr="004A7AC7">
        <w:rPr>
          <w:rFonts w:ascii="Times New Roman" w:hAnsi="Times New Roman"/>
          <w:sz w:val="24"/>
          <w:szCs w:val="24"/>
        </w:rPr>
        <w:lastRenderedPageBreak/>
        <w:t>separation system comprised 50% acetonitrile and 50% H2O, with a flow rate of 0.2 mL/min</w:t>
      </w:r>
      <w:r>
        <w:rPr>
          <w:rFonts w:ascii="Times New Roman" w:hAnsi="Times New Roman"/>
          <w:sz w:val="24"/>
          <w:szCs w:val="24"/>
        </w:rPr>
        <w:t xml:space="preserve"> </w:t>
      </w:r>
      <w:sdt>
        <w:sdtPr>
          <w:rPr>
            <w:rFonts w:ascii="Times New Roman" w:hAnsi="Times New Roman"/>
            <w:color w:val="000000"/>
            <w:sz w:val="24"/>
            <w:szCs w:val="24"/>
            <w:lang w:val="en-GB"/>
          </w:rPr>
          <w:tag w:val="MENDELEY_CITATION_v3_eyJjaXRhdGlvbklEIjoiTUVOREVMRVlfQ0lUQVRJT05fNzJiMDRjYzEtNmRiNy00OTE0LTlmMWUtYzgxYjRhYWFkNjJmIiwicHJvcGVydGllcyI6eyJub3RlSW5kZXgiOjB9LCJpc0VkaXRlZCI6ZmFsc2UsIm1hbnVhbE92ZXJyaWRlIjp7ImlzTWFudWFsbHlPdmVycmlkZGVuIjpmYWxzZSwiY2l0ZXByb2NUZXh0IjoiKEFobWVkLUFud2FyIGV0IGFsLiwgMjAyMykiLCJtYW51YWxPdmVycmlkZVRleHQiOiIifSwiY2l0YXRpb25JdGVtcyI6W3siaWQiOiJmMzdjOGRhOC0zZTFiLTM2ZjMtYjhlYS1lMGYyYmY3MGYwMjkiLCJpdGVtRGF0YSI6eyJ0eXBlIjoiYXJ0aWNsZS1qb3VybmFsIiwiaWQiOiJmMzdjOGRhOC0zZTFiLTM2ZjMtYjhlYS1lMGYyYmY3MGYwMjkiLCJ0aXRsZSI6IkdyZWVuIFVQTEMgbWV0aG9kIGZvciBlc3RpbWF0aW9uIG9mIGNpcHJvZmxveGFjaW4sIGRpY2xvZmVuYWMgc29kaXVtLCBhbmQgaWJ1cHJvZmVuIHdpdGggYXBwbGljYXRpb24gdG8gcGhhcm1hY29raW5ldGljIHN0dWR5IG9mIGh1bWFuIHNhbXBsZXMiLCJhdXRob3IiOlt7ImZhbWlseSI6IkFobWVkLUFud2FyIiwiZ2l2ZW4iOiJBbGFhIEEiLCJwYXJzZS1uYW1lcyI6ZmFsc2UsImRyb3BwaW5nLXBhcnRpY2xlIjoiIiwibm9uLWRyb3BwaW5nLXBhcnRpY2xlIjoiIn0seyJmYW1pbHkiOiJNb2hhbWVkIiwiZ2l2ZW4iOiJNYWhtb3VkIEEiLCJwYXJzZS1uYW1lcyI6ZmFsc2UsImRyb3BwaW5nLXBhcnRpY2xlIjoiIiwibm9uLWRyb3BwaW5nLXBhcnRpY2xlIjoiIn0seyJmYW1pbHkiOiJGYXJnaGFsaSIsImdpdmVuIjoiQWhtZWQgQSIsInBhcnNlLW5hbWVzIjpmYWxzZSwiZHJvcHBpbmctcGFydGljbGUiOiIiLCJub24tZHJvcHBpbmctcGFydGljbGUiOiIifSx7ImZhbWlseSI6Ik1haG1vdWQiLCJnaXZlbiI6IlJlaGFiIiwicGFyc2UtbmFtZXMiOmZhbHNlLCJkcm9wcGluZy1wYXJ0aWNsZSI6IiIsIm5vbi1kcm9wcGluZy1wYXJ0aWNsZSI6IiJ9LHsiZmFtaWx5IjoiSGFzc291bmEiLCJnaXZlbiI6Ik1vaGFtZWQgRSBNIiwicGFyc2UtbmFtZXMiOmZhbHNlLCJkcm9wcGluZy1wYXJ0aWNsZSI6IiIsIm5vbi1kcm9wcGluZy1wYXJ0aWNsZSI6IiJ9XSwiY29udGFpbmVyLXRpdGxlIjoiU2NpZW50aWZpYyBSZXBvcnRzIiwiY29udGFpbmVyLXRpdGxlLXNob3J0IjoiU2NpIFJlcCIsIkRPSSI6IjEwLjEwMzgvczQxNTk4LTAyMy00NDg0Ni01IiwiSVNTTiI6IjIwNDUtMjMyMiIsIlVSTCI6Imh0dHBzOi8vZG9pLm9yZy8xMC4xMDM4L3M0MTU5OC0wMjMtNDQ4NDYtNSIsImlzc3VlZCI6eyJkYXRlLXBhcnRzIjpbWzIwMjNdXX0sInBhZ2UiOiIxNzYxMyIsImFic3RyYWN0IjoiSW52ZXN0aWdhdGlvbiBvZiBhIHVuaXF1ZSBhbmQgZmFzdCBtZXRob2QgZm9yIHRoZSBkZXRlcm1pbmF0aW9uIGFuZCBzZXBhcmF0aW9uIG9mIGEgbWl4dHVyZSBvZiB0aHJlZSBkcnVncyB2aXouLCBjaXByb2Zsb3hhY2luIChDSVApLCBJYnVwcm9mZW4gKElCVSksIGFuZCBkaWNsb2ZlbmFjIHNvZGl1bSAoRElDKSBpbiBhY3R1YWwgc2FtcGxlcyBvZiBodW1hbiBwbGFzbWEuIEFsc28sIHRoZSB0ZWNobmlxdWUgd2FzIHVzZWQgdG8gbG9vayBhdCB0aGVpciBwaGFybWFjb2tpbmV0aWNzIHN0dWR5LiBIeWRyb2NvcnRpc29uZSB3YXMgY2hvc2VuIGFzIHRoZSBpbnRlcm5hbCBzdGFuZGFyZCAoSVMpLiBUaGUgZHJ1Z3Mgd2VyZSBjaHJvbWF0b2dyYXBoaWNhbGx5IHNlcGFyYXRlZCB1c2luZyBhbiBBY3F1aXR5IHVsdHJhLXBlcmZvcm1hbmNlIGxpcXVpZCBjaHJvbWF0b2dyYXBoeSBVUExDIMKuIEJFSCBDMTggMS43wqDCtW0gKDIuMeKAicOX4oCJMTUwwqBtbSkgY29sdW1uIHdpdGggYSBtb2JpbGUgcGhhc2UgY29tcG9zZWQgb2YgYWNldG9uaXRyaWxlOiB3YXRlciAoNjU6MzUsIHYvdikgYWRqdXN0ZWQgdG8gcEggMyB3aXRoIGRpbHV0ZWQgYWNldGljIGFjaWQuIFBsYXNtYSBwcm90ZWlucyB3ZXJlIHByZWNpcGl0YXRlZCB3aXRoIGFjZXRvbml0cmlsZS4gVGhlIHNlcGFyYXRlZCBkcnVncyByYW5nZWQgZnJvbSAwLjMgdG8gMTAsIDAuMuKAkzExLCBhbmQgMeKAkzI1wqDCtWcvbUwgZm9yIENJUCwgSUJVLCBhbmQgRElDLCByZXNwZWN0aXZlbHkuIENhbGlicmF0aW9uIGN1cnZlcyB3ZXJlIGRpc2NvdmVyZWQgdG8gYWNoaWV2ZSBsaW5lYXJpdHkgd2l0aCBhY2NlcHRhYmxlIGNvcnJlbGF0aW9uIGNvZWZmaWNpZW50cyAoMC45OSUpLiBFeGFtaW5hdGlvbiBvZiBxdWFsaXR5IGFzc3VyYW5jZSBzYW1wbGVzIHNob3dlZCBleGNlcHRpb25hbCBwcmVjaXNpb24gYW5kIGFjY3VyYWN5LiBGb2xsb3dpbmcgdGhlIHN1Y2Nlc3NmdWwgYXBwbGljYXRpb24gb2YgdGhpcyBpbXByb3ZlZCB0ZWNobmlxdWUgdG8gcGxhc21hIHNhbXBsZXMsIHRoZSBwaGFybWFjb2tpbmV0aWMgY2hhcmFjdGVyaXN0aWNzIG9mIGVhY2ggc2VsZWN0ZWQgZHJ1ZyB3ZXJlIGV2YWx1YXRlZCB1c2luZyAoVVBMQykgd2l0aCBVViBkZXRlY3Rpb24gYXQgMjEwwqBubS4gVHdvIGdyZWVuIG1ldHJpY3Mgd2VyZSBhcHBsaWVkLCB0aGUgQW5hbHl0aWNhbCBFY28tc2NhbGUgYW5kIHRoZSBBbmFseXRpY2FsIEdSRUVubmVzcyBDYWxjdWxhdG9yIChBR1JFRSkuIFNlcGFyYXRpb24gd2FzIGFjaGlldmVkIGluIG9ubHkgNC1taW4gYW5hbHlzaXMgdGltZS4gVGhlIG1ldGhvZCdzIHZhbGlkYXRpb24gYWdyZWVkIHdpdGggdGhlIHJlcXVpcmVtZW50cyBvZiB0aGUgRkRBLCBhbmQgdGhlIHJlc3VsdHMgd2VyZSBzdWZmaWNpZW50LiIsImlzc3VlIjoiMSIsInZvbHVtZSI6IjEzIn0sImlzVGVtcG9yYXJ5IjpmYWxzZX1dfQ=="/>
          <w:id w:val="-1311324069"/>
          <w:placeholder>
            <w:docPart w:val="9AAB1E2FE8324042A10FF2C3092EB6F2"/>
          </w:placeholder>
        </w:sdtPr>
        <w:sdtContent>
          <w:r w:rsidR="00B03777" w:rsidRPr="00B03777">
            <w:rPr>
              <w:rFonts w:ascii="Times New Roman" w:hAnsi="Times New Roman"/>
              <w:color w:val="000000"/>
              <w:sz w:val="24"/>
              <w:szCs w:val="24"/>
              <w:lang w:val="en-GB"/>
            </w:rPr>
            <w:t>(Ahmed-Anwar et al., 2023)</w:t>
          </w:r>
        </w:sdtContent>
      </w:sdt>
      <w:r>
        <w:rPr>
          <w:rFonts w:ascii="Times New Roman" w:hAnsi="Times New Roman"/>
          <w:color w:val="000000"/>
          <w:sz w:val="24"/>
          <w:szCs w:val="24"/>
          <w:lang w:val="en-GB"/>
        </w:rPr>
        <w:t>.</w:t>
      </w:r>
    </w:p>
    <w:p w14:paraId="09C98095" w14:textId="4F246944" w:rsidR="00101053" w:rsidRPr="00CF3355" w:rsidRDefault="00101053" w:rsidP="00186B7D">
      <w:pPr>
        <w:spacing w:line="480" w:lineRule="auto"/>
        <w:jc w:val="both"/>
        <w:rPr>
          <w:rFonts w:ascii="Times New Roman" w:hAnsi="Times New Roman"/>
          <w:b/>
          <w:bCs/>
          <w:sz w:val="24"/>
          <w:szCs w:val="24"/>
        </w:rPr>
      </w:pPr>
      <w:r w:rsidRPr="00CF3355">
        <w:rPr>
          <w:rFonts w:ascii="Times New Roman" w:hAnsi="Times New Roman"/>
          <w:b/>
          <w:bCs/>
          <w:sz w:val="24"/>
          <w:szCs w:val="24"/>
        </w:rPr>
        <w:t>Method S</w:t>
      </w:r>
      <w:r w:rsidR="004A7AC7">
        <w:rPr>
          <w:rFonts w:ascii="Times New Roman" w:hAnsi="Times New Roman"/>
          <w:b/>
          <w:bCs/>
          <w:sz w:val="24"/>
          <w:szCs w:val="24"/>
        </w:rPr>
        <w:t>5</w:t>
      </w:r>
      <w:r w:rsidRPr="00CF3355">
        <w:rPr>
          <w:rFonts w:ascii="Times New Roman" w:hAnsi="Times New Roman"/>
          <w:b/>
          <w:bCs/>
          <w:sz w:val="24"/>
          <w:szCs w:val="24"/>
        </w:rPr>
        <w:t>: Estimation of Total ROS production</w:t>
      </w:r>
    </w:p>
    <w:p w14:paraId="1ECABDE5" w14:textId="5400D296" w:rsidR="00101053" w:rsidRPr="00CF3355" w:rsidRDefault="00101053" w:rsidP="00186B7D">
      <w:pPr>
        <w:spacing w:line="480" w:lineRule="auto"/>
        <w:jc w:val="both"/>
        <w:rPr>
          <w:rFonts w:ascii="Times New Roman" w:hAnsi="Times New Roman"/>
          <w:sz w:val="24"/>
          <w:szCs w:val="24"/>
          <w:lang w:val="en-GB"/>
        </w:rPr>
      </w:pPr>
      <w:r w:rsidRPr="00CF3355">
        <w:rPr>
          <w:rFonts w:ascii="Times New Roman" w:hAnsi="Times New Roman"/>
          <w:sz w:val="24"/>
          <w:szCs w:val="24"/>
          <w:lang w:val="en-GB"/>
        </w:rPr>
        <w:t xml:space="preserve">DCFH-DA, a dye capable of permeating cells and serving as an indicator for reactive oxygen species (ROS), was employed to quantify the level of ROS production. The total ROS content was assessed in both the control and experimental groups. After a 72-hour period, a 10 ml suspension of algal cells was exposed to DCFH-DA (100 mM) in a light-restricted environment for 30 minutes. Subsequently, the fluorescence intensity of the samples was measured using a spectrofluorometer with excitation and emission wavelengths set at 485 nm and 530 nm, respectively. The quantity of ROS generated was then determined by comparing it to the fluorescence intensity of untreated algal cells </w:t>
      </w:r>
      <w:sdt>
        <w:sdtPr>
          <w:rPr>
            <w:rFonts w:ascii="Times New Roman" w:hAnsi="Times New Roman"/>
            <w:color w:val="000000"/>
            <w:sz w:val="24"/>
            <w:szCs w:val="24"/>
            <w:lang w:val="en-GB"/>
          </w:rPr>
          <w:tag w:val="MENDELEY_CITATION_v3_eyJjaXRhdGlvbklEIjoiTUVOREVMRVlfQ0lUQVRJT05fNTgzMjc5ZjYtNWVlNS00MzIwLTk5ZDktODhkYzJiMTllMDJlIiwicHJvcGVydGllcyI6eyJub3RlSW5kZXgiOjB9LCJpc0VkaXRlZCI6ZmFsc2UsIm1hbnVhbE92ZXJyaWRlIjp7ImNpdGVwcm9jVGV4dCI6IihOYXRhcmFqYW4sIEplbmlmZXIsIGV0IGFsLiwgMjAyMjsgUm95IGV0IGFsLiwgMjAyMCkiLCJpc01hbnVhbGx5T3ZlcnJpZGRlbiI6ZmFsc2UsIm1hbnVhbE92ZXJyaWRlVGV4dCI6IiJ9LCJjaXRhdGlvbkl0ZW1zIjpbeyJpZCI6IjlmMTM4Y2U0LTQ1MWUtNTZmYy04NzNkLTVhNTE0OGRlYWFmZiIsIml0ZW1EYXRhIjp7IklTU04iOiIwMDEzLTkzNTEiLCJhdXRob3IiOlt7ImRyb3BwaW5nLXBhcnRpY2xlIjoiIiwiZmFtaWx5IjoiTmF0YXJhamFuIiwiZ2l2ZW4iOiJMb2tlc2h3YXJpIiwibm9uLWRyb3BwaW5nLXBhcnRpY2xlIjoiIiwicGFyc2UtbmFtZXMiOmZhbHNlLCJzdWZmaXgiOiIifSx7ImRyb3BwaW5nLXBhcnRpY2xlIjoiIiwiZmFtaWx5IjoiSmVuaWZlciIsImdpdmVuIjoiTSBBbm5pZSIsIm5vbi1kcm9wcGluZy1wYXJ0aWNsZSI6IiIsInBhcnNlLW5hbWVzIjpmYWxzZSwic3VmZml4IjoiIn0seyJkcm9wcGluZy1wYXJ0aWNsZSI6IiIsImZhbWlseSI6IkNoYW5kcmFzZWthcmFuIiwiZ2l2ZW4iOiJOIiwibm9uLWRyb3BwaW5nLXBhcnRpY2xlIjoiIiwicGFyc2UtbmFtZXMiOmZhbHNlLCJzdWZmaXgiOiIifSx7ImRyb3BwaW5nLXBhcnRpY2xlIjoiIiwiZmFtaWx5IjoiU3VyYWlzaGt1bWFyIiwiZ2l2ZW4iOiJHIEsiLCJub24tZHJvcHBpbmctcGFydGljbGUiOiIiLCJwYXJzZS1uYW1lcyI6ZmFsc2UsInN1ZmZpeCI6IiJ9LHsiZHJvcHBpbmctcGFydGljbGUiOiIiLCJmYW1pbHkiOiJNdWtoZXJqZWUiLCJnaXZlbiI6IkFtaXRhdmEiLCJub24tZHJvcHBpbmctcGFydGljbGUiOiIiLCJwYXJzZS1uYW1lcyI6ZmFsc2UsInN1ZmZpeCI6IiJ9XSwiY29udGFpbmVyLXRpdGxlIjoiRW52aXJvbm1lbnRhbCBSZXNlYXJjaCIsImlkIjoiOWYxMzhjZTQtNDUxZS01NmZjLTg3M2QtNWE1MTQ4ZGVhYWZmIiwiaXNzdWVkIjp7ImRhdGUtcGFydHMiOltbIjIwMjIiXV19LCJwYWdlIjoiMTEyNDAwIiwicHVibGlzaGVyIjoiRWxzZXZpZXIiLCJ0aXRsZSI6IlBvbHlzdHlyZW5lIG5hbm9wbGFzdGljcyBkaW1pbmlzaCB0aGUgdG94aWMgZWZmZWN0cyBvZiBOYW5vLVRpTzIgaW4gbWFyaW5lIGFsZ2FlIENobG9yZWxsYSBzcC4iLCJ0eXBlIjoiYXJ0aWNsZS1qb3VybmFsIiwidm9sdW1lIjoiMjA0IiwiY29udGFpbmVyLXRpdGxlLXNob3J0IjoiRW52aXJvbiBSZXMifSwidXJpcyI6WyJodHRwOi8vd3d3Lm1lbmRlbGV5LmNvbS9kb2N1bWVudHMvP3V1aWQ9YmI5ZjRiYWYtYTg1Ni00YzEzLTlkZTUtZmNlZjQyNWEwYjBlIl0sImlzVGVtcG9yYXJ5IjpmYWxzZSwibGVnYWN5RGVza3RvcElkIjoiYmI5ZjRiYWYtYTg1Ni00YzEzLTlkZTUtZmNlZjQyNWEwYjBlIn0seyJpZCI6IjVkNTUzYTY2LTg1NjktM2ZiMi04NDUzLTc4NzBjYWMwYjgxYyIsIml0ZW1EYXRhIjp7InR5cGUiOiJhcnRpY2xlLWpvdXJuYWwiLCJpZCI6IjVkNTUzYTY2LTg1NjktM2ZiMi04NDUzLTc4NzBjYWMwYjgxYyIsInRpdGxlIjoiVVZCIHByZS1pcnJhZGlhdGlvbiBvZiB0aXRhbml1bSBkaW94aWRlIG5hbm9wYXJ0aWNsZXMgaXMgbW9yZSBkZXRyaW1lbnRhbCB0byBmcmVzaHdhdGVyIGFsZ2FlIHRoYW4gVVZBIHByZS1pcnJhZGlhdGlvbiIsImF1dGhvciI6W3siZmFtaWx5IjoiUm95IiwiZ2l2ZW4iOiJCYXJzaGEiLCJwYXJzZS1uYW1lcyI6ZmFsc2UsImRyb3BwaW5nLXBhcnRpY2xlIjoiIiwibm9uLWRyb3BwaW5nLXBhcnRpY2xlIjoiIn0seyJmYW1pbHkiOiJQLksuIiwiZ2l2ZW4iOiJTdXJlc2giLCJwYXJzZS1uYW1lcyI6ZmFsc2UsImRyb3BwaW5nLXBhcnRpY2xlIjoiIiwibm9uLWRyb3BwaW5nLXBhcnRpY2xlIjoiIn0seyJmYW1pbHkiOiJDaGFuZHJhc2VrYXJhbiIsImdpdmVuIjoiTmF0YXJhamFuIiwicGFyc2UtbmFtZXMiOmZhbHNlLCJkcm9wcGluZy1wYXJ0aWNsZSI6IiIsIm5vbi1kcm9wcGluZy1wYXJ0aWNsZSI6IiJ9LHsiZmFtaWx5IjoiTXVraGVyamVlIiwiZ2l2ZW4iOiJBbWl0YXZhIiwicGFyc2UtbmFtZXMiOmZhbHNlLCJkcm9wcGluZy1wYXJ0aWNsZSI6IiIsIm5vbi1kcm9wcGluZy1wYXJ0aWNsZSI6IiJ9XSwiY29udGFpbmVyLXRpdGxlIjoiSm91cm5hbCBvZiBFbnZpcm9ubWVudGFsIENoZW1pY2FsIEVuZ2luZWVyaW5nIiwiY29udGFpbmVyLXRpdGxlLXNob3J0IjoiSiBFbnZpcm9uIENoZW0gRW5nIiwiRE9JIjoiaHR0cHM6Ly9kb2kub3JnLzEwLjEwMTYvai5qZWNlLjIwMjAuMTA0MDc2IiwiSVNTTiI6IjIyMTMtMzQzNyIsIlVSTCI6Imh0dHBzOi8vd3d3LnNjaWVuY2VkaXJlY3QuY29tL3NjaWVuY2UvYXJ0aWNsZS9waWkvUzIyMTMzNDM3MjAzMDQyNDMiLCJpc3N1ZWQiOnsiZGF0ZS1wYXJ0cyI6W1syMDIwXV19LCJwYWdlIjoiMTA0MDc2IiwiYWJzdHJhY3QiOiJDb250aW51ZWQgdXNlIG9mIFAyNSBUaU8yIE5QcyBpbiBzZXZlcmFsIGZpZWxkcyBuZWNlc3NpdGF0ZXMgdGhlaXIgdG94aWNpdHkgZXZhbHVhdGlvbiB0b3dhcmRzIHRoZSBlY29zeXN0ZW0uIENvbnNpZGVyaW5nIHRoZSBoaWdoIHBob3RvY2F0YWx5dGljIGFjdGl2aXR5IG9mIFRpTzIgTlBzLCB0aGV5IHdlcmUgc2VsZWN0ZWQgaW4gdGhlIGN1cnJlbnQgc3R1ZHkuIFRoZSBwaG90b2NhdGFseXRpYyBwb3RlbnRpYWwgYW5kIHRveGljaXR5IG9mIE5QcyBvbiBmcmVzaHdhdGVyIGFsZ2FlIENobG9yZWxsYSBzcC4gd2VyZSBjb21wYXJlZCB1cG9uIFVWQSBwcmUtaXJyYWRpYXRpb24gYW5kIFVWQiBwcmUtaXJyYWRpYXRpb24uIExvdyBjb25jZW50cmF0aW9ucyAoMS41NiwgMy4xMywgYW5kIDYuMjbigInOvE0pIG9mIE5QcyB1c2VkIGZvciB0aGUgc3R1ZHkgY29ycmVsYXRlIHdlbGwgd2l0aCB0aGUgYXZhaWxhYmxlIGVudmlyb25tZW50YWwgY29uY2VudHJhdGlvbnMuIFRoZSBtZWFuIGh5ZHJvZHluYW1pYyBkaWFtZXRlciAoTUhEKSBmb3IgVVZCIHByZS1pcnJhZGlhdGVkIE5QcyAoMTU5LjM04oCJwrHigIkwLjY44oCJbm0pIHdhcyB0aGUgbGVhc3Qgd2hlbiBjb21wYXJlZCB3aXRoIFVWQSBwcmUtaXJyYWRpYXRlZCAoMTc5Ljk54oCJwrHigIkwLjg14oCJbm0pIGFuZCBub24taXJyYWRpYXRlZCBOUHMgKDIyMC4wNOKAicKx4oCJNi4wNeKAiW5tKS4gVGhpcyBkZWNyZWFzZSBpbiBNSEQgZGVub3RlZCBsZXNzZXIgYWdnbG9tZXJhdGlvbiBvZiBOUHMgdXBvbiBVVkIgcHJlLWlycmFkaWF0aW9uLiBGb3IgYWxsIHRoZSB0ZXN0ZWQgY29uY2VudHJhdGlvbnMsIHRoZSBjZWxsIHZpYWJpbGl0eSB3YXMgbGVzcyBmb3IgVVZCIHByZS1pcnJhZGlhdGVkIE5QLXRyZWF0ZWQgYWxnYWUgd2hlbiBjb21wYXJlZCB0byBVVkEgcHJlLWlycmFkaWF0ZWQgTlAtdHJlYXRlZCBhbGdhZSAocOKAiTzigIkwLjAwMSkuIEV4dHJhY2VsbHVsYXIgUk9TIGdlbmVyYXRpb24gd2FzIHNpZ25pZmljYW50bHkgaGlnaGVyIGZvciBVVkIgcHJlLWlycmFkaWF0ZWQgTlBzIChw4oCJPOKAiTAuMDAxKSBhcyBjb21wYXJlZCB0byBVVkEgcHJlLWlycmFkaWF0aW9uLiBUaGUgZW5oYW5jZWQgdG94aWNpdHkgb2YgVVZCIHByZS1pcnJhZGlhdGVkIE5QcyB3YXMgYWNjb21wYW5pZWQgYnkgaW5jcmVhc2VkIGdlbmVyYXRpb24gb2YgaW50cmFjZWxsdWxhciBST1MsIHdoaWNoIGluIHR1cm4gaW5jcmVhc2VkIHRoZSBTT0QsIENBVCwgYW5kIEFQWCBlbnp5bWUgYWN0aXZpdGllcy4gVGhpcyBzdHVkeSBjb25jbHVkZXMgdGhhdCBVVkIgcHJlLWlycmFkaWF0aW9uIG9mIFAyNSBUaU8yIE5QcyBjYXVzZWQgbW9yZSBoYXJtIHRvIGZyZXNod2F0ZXIgYWxnYWUgdGhyb3VnaCBveGlkYXRpdmUgc3RyZXNzIHdoZW4gY29tcGFyZWQgdG8gVVZBIHByZS1pcnJhZGlhdGlvbi4iLCJpc3N1ZSI6IjUiLCJ2b2x1bWUiOiI4In0sImlzVGVtcG9yYXJ5IjpmYWxzZX1dfQ=="/>
          <w:id w:val="-2064628999"/>
          <w:placeholder>
            <w:docPart w:val="E7729458B8BB4DB6B020EF9A06BC8DA5"/>
          </w:placeholder>
        </w:sdtPr>
        <w:sdtEndPr>
          <w:rPr>
            <w:lang w:val="en-IN"/>
          </w:rPr>
        </w:sdtEndPr>
        <w:sdtContent>
          <w:r w:rsidR="00B03777" w:rsidRPr="00B03777">
            <w:rPr>
              <w:rFonts w:ascii="Times New Roman" w:hAnsi="Times New Roman"/>
              <w:color w:val="000000"/>
              <w:sz w:val="24"/>
              <w:szCs w:val="24"/>
            </w:rPr>
            <w:t>(Natarajan, Jenifer, et al., 2022; Roy et al., 2020)</w:t>
          </w:r>
        </w:sdtContent>
      </w:sdt>
      <w:r w:rsidRPr="00CF3355">
        <w:rPr>
          <w:rFonts w:ascii="Times New Roman" w:hAnsi="Times New Roman"/>
          <w:sz w:val="24"/>
          <w:szCs w:val="24"/>
          <w:lang w:val="en-GB"/>
        </w:rPr>
        <w:t>.</w:t>
      </w:r>
    </w:p>
    <w:p w14:paraId="62E3B35C" w14:textId="28F792F5" w:rsidR="00101053" w:rsidRPr="00CF3355" w:rsidRDefault="00101053" w:rsidP="00186B7D">
      <w:pPr>
        <w:spacing w:line="480" w:lineRule="auto"/>
        <w:jc w:val="both"/>
        <w:rPr>
          <w:rFonts w:ascii="Times New Roman" w:hAnsi="Times New Roman"/>
          <w:b/>
          <w:bCs/>
          <w:sz w:val="24"/>
          <w:szCs w:val="24"/>
        </w:rPr>
      </w:pPr>
      <w:r w:rsidRPr="00CF3355">
        <w:rPr>
          <w:rFonts w:ascii="Times New Roman" w:hAnsi="Times New Roman"/>
          <w:b/>
          <w:bCs/>
          <w:sz w:val="24"/>
          <w:szCs w:val="24"/>
        </w:rPr>
        <w:t>Method S</w:t>
      </w:r>
      <w:r w:rsidR="004A7AC7">
        <w:rPr>
          <w:rFonts w:ascii="Times New Roman" w:hAnsi="Times New Roman"/>
          <w:b/>
          <w:bCs/>
          <w:sz w:val="24"/>
          <w:szCs w:val="24"/>
        </w:rPr>
        <w:t>6</w:t>
      </w:r>
      <w:r w:rsidRPr="00CF3355">
        <w:rPr>
          <w:rFonts w:ascii="Times New Roman" w:hAnsi="Times New Roman"/>
          <w:b/>
          <w:bCs/>
          <w:sz w:val="24"/>
          <w:szCs w:val="24"/>
        </w:rPr>
        <w:t xml:space="preserve">: Estimation of MDA content </w:t>
      </w:r>
    </w:p>
    <w:p w14:paraId="5464C0F7" w14:textId="355B590F" w:rsidR="00101053" w:rsidRPr="00CF3355" w:rsidRDefault="00101053" w:rsidP="00186B7D">
      <w:pPr>
        <w:spacing w:line="480" w:lineRule="auto"/>
        <w:jc w:val="both"/>
        <w:rPr>
          <w:rFonts w:ascii="Times New Roman" w:hAnsi="Times New Roman"/>
          <w:sz w:val="24"/>
          <w:szCs w:val="24"/>
        </w:rPr>
      </w:pPr>
      <w:r w:rsidRPr="00CF3355">
        <w:rPr>
          <w:rFonts w:ascii="Times New Roman" w:hAnsi="Times New Roman"/>
          <w:sz w:val="24"/>
          <w:szCs w:val="24"/>
        </w:rPr>
        <w:t xml:space="preserve">After a 72-hour incubation period, the treated samples underwent centrifugation at 4 °C for 10 minutes at a speed of 7000 rpm. The resulting cell pellets were subsequently subjected to treatment with a 0.25% solution of TBA (prepared in a 10% TCA solution) and placed in a water bath at 95 °C for 30 minutes. To halt the reaction, the heated sample mixtures were rapidly transferred to an ice bath and then centrifuged at 7000 rpm for 10 minutes. The absorbance of the supernatant containing the MDA enzyme released was measured at 530 nm. By subtracting the absorbance at 600 nm, the desired measurement was obtained </w:t>
      </w:r>
      <w:sdt>
        <w:sdtPr>
          <w:rPr>
            <w:rFonts w:ascii="Times New Roman" w:hAnsi="Times New Roman"/>
            <w:color w:val="000000"/>
            <w:sz w:val="24"/>
            <w:szCs w:val="24"/>
          </w:rPr>
          <w:tag w:val="MENDELEY_CITATION_v3_eyJjaXRhdGlvbklEIjoiTUVOREVMRVlfQ0lUQVRJT05fODM4OGRlM2ItZGYwNi00YmMwLTk5YzUtZjlmZmE3ZGRiYjY5IiwicHJvcGVydGllcyI6eyJub3RlSW5kZXgiOjB9LCJpc0VkaXRlZCI6ZmFsc2UsIm1hbnVhbE92ZXJyaWRlIjp7ImNpdGVwcm9jVGV4dCI6IihSb3kgZXQgYWwuLCAyMDIwOyBUaGlhZ2FyYWphbiwgTmF0YXJhamFuLCBldCBhbC4sIDIwMTkpIiwiaXNNYW51YWxseU92ZXJyaWRkZW4iOmZhbHNlLCJtYW51YWxPdmVycmlkZVRleHQiOiIifSwiY2l0YXRpb25JdGVtcyI6W3siaWQiOiIwMWUzZThjNy00NWZiLTU2MjItOGMzMi0zNGJiNzQ0ZDc2ZTAiLCJpdGVtRGF0YSI6eyJET0kiOiJodHRwczovL2RvaS5vcmcvMTAuMTAxNi9qLmVudnJlcy4yMDE5LjEwODgwOCIsIklTU04iOiIwMDEzLTkzNTEiLCJhYnN0cmFjdCI6IlBvbGx1dGFudHMgc3VjaCBhcyBuLVRpTzIgYW5kIHRldHJhY3ljbGluZSBlbnRlciB0aGUgbWFyaW5lIGVudmlyb25tZW50IHRocm91Z2ggdmFyaW91cyBzb3VyY2VzIHN0YXJ0aW5nIGZyb20gdGhlaXIgcHJvZHVjdGlvbiB1bnRpbCBkaXNwb3NhbC4gSGVuY2UsIGl0IGlzIHZpdGFsIHRvIGRldGVybWluZSB0aGUgaW50ZXJhY3RpdmUgZWZmZWN0IG9mIG9uZSBwb2xsdXRhbnQgd2l0aCB0aGUgb3RoZXIgd2hlbiB0aGV5IGNvZXhpc3QgaW4gdGhlIGVudmlyb25tZW50LiBJbiB0aGUgcHJlc2VudCBzdHVkeSwgdGhlIGVmZmVjdCBvZiBhbnRpYmlvdGljIOKAkyB0ZXRyYWN5Y2xpbmUgKFRDKSBvbiB0aGUgdG94aWNpdHkgb2YgUDI1IG4tVGlPMiB3YXMgc3R1ZGllZCB3aXRoIG1hcmluZSBtaWNyb2FsZ2FlLCBDaGxvcmVsbGEgc3AuIFRoZSBpbXBhY3Qgb2YgVEMgKDHigK9tZ+KAr0ziiJIxKSBvbiBmaXZlIGRpZmZlcmVudCBjb25jZW50cmF0aW9ucyBvZiBuLVRpTzIgKDAuMjUsIDAuNSwgMSwgMiBhbmQgNOKAr21n4oCvTOKIkjEpIHVuZGVyIGJvdGggdmlzaWJsZSBhbmQgVVYtQSBpbGx1bWluYXRpb25zIHdhcyBldmFsdWF0ZWQuIEVmZmVjdGl2ZSBkaWFtZXRlciBvZiBuLVRpTzIgaW4gQVNXIGF0IDB0aCBoIGluY3JlYXNlZCBmcm9tIDY5MC42OeKAr8Kx4oCvMTkuNTXigK9ubSAoMC4yNeKAr21n4oCvTOKIkjEpIHRvIDExODMuMDTigK/CseKArzM3LjEw4oCvbm0gKDAuMjXigK9tZ+KAr0ziiJIxwqArwqAxwqBtZ8KgTOKIkjEpIGFuZCA5NzEuNTHigK/CseKArzE0LjYx4oCvbm0gKDTigK9tZ+KAr0ziiJIxKSB0byAxMzI0LjEy4oCvwrHigK8xMS41OeKAr25tICg04oCvbWfigK9M4oiSMcKgK8KgMcKgbWfCoEziiJIxKSBpbiBwcmVzZW5jZSBvZiBUQy4gQSBzaWduaWZpY2FudCBpbmNyZWFzZSBpbiB0aGUgdG94aWNpdHkgb2YgNOKAr21n4oCvTOKIkjEgbi1UaU8yIHVwb24gdGhlIGFkZGl0aW9uIG9mIFRDICg2OC4xNuKAr8Kx4oCvMC4zNyUgdW5kZXIgdmlzaWJsZSBhbmQgODAuMjHigK/CseKArzAuMyUgdW5kZXIgVVYtQSBjb25kaXRpb24pIHdhcyBvYnNlcnZlZC4gTm8gc2lnbmlmaWNhbnQgZGlmZmVyZW5jZSBpbiB0b3hpY2l0eSB3YXMgb2JzZXJ2ZWQgYmV0d2VlbiB2aXNpYmxlIGFuZCBVVi1BIGlsbHVtaW5hdGlvbnMuIEZ1cnRoZXIgdGhlIHRveGljaXR5IGRhdGEgd2FzIGNvcnJvYm9yYXRlZCB0aHJvdWdoIHRoZSBtZWFzdXJlbWVudCBvZiBveGlkYXRpdmUgc3RyZXNzIGFuZCBhbnRpb3hpZGFudCBlbnp5bWUgYWN0aXZpdGllcy4gSW5kZXBlbmRlbnQgYWN0aW9uIG1vZGVsIHNob3dlZCBhbnRhZ29uaXN0aWMgZWZmZWN0IGZvciBsb3dlciBjb25jZW50cmF0aW9ucyBvZiBuLVRpTzIgYW5kIGFkZGl0aXZlIGVmZmVjdCBmb3IgaGlnaGVyIGNvbmNlbnRyYXRpb25zIG9mIG4tVGlPMiB3aGVuIHByZXNlbnQgaW4gbWl4dHVyZSB3aXRoIFRDIHVuZGVyIGJvdGggaWxsdW1pbmF0aW9ucy4gRm9yIHRoZSBoaWdoZXIgbWl4dHVyZSBjb25jZW50cmF0aW9uIG9mIDTigK9tZ+KAr0ziiJIxIG4tVGlPMiBhbmQgMeKAr21n4oCvTOKIkjEgVEMsIHRoZSBwZXJjZW50YWdlIFRDIHJlbW92YWwgd2FzIGFib3V0IDU1LjI5JSBhbmQgMzAlIGFuZCB0aGUgY29ycmVzcG9uZGluZyBUT0MgcmVtb3ZhbCB3YXMgZm91bmQgdG8gYmUgNTQuMjklIGFuZCAzMS4wNCUgdW5kZXIgdmlzaWJsZSBhbmQgVVYtQSBpbGx1bWluYXRpb25zIHJlc3BlY3RpdmVseS4gVGhlIHNpdGUgb2YgUk9TIGdlbmVyYXRpb24gaW4gQ2hsb3JlbGxhIHNwLiB3YXMgaWRlbnRpZmllZCB3aXRoIGVsZWN0cm9uIHRyYW5zZmVyIGNoYWluIGluaGliaXRvcnMuIEJvdGggbWl0b2Nob25kcmlhIGFuZCBjaGxvcm9wbGFzdCBhY3RlZCBhcyB0aGUgc2l0ZSBmb3IgdGhlIFJPUyBnZW5lcmF0aW9uIGluIENobG9yZWxsYSBzcC4gVGhlIFNFTSBpbWFnZXMgb2YgdGhlIGFsZ2FsIGNlbGxzIHVwb24gZXhwb3N1cmUgdG8gbi1UaU8yIGFuZCBtaXh0dXJlIHJldmVhbGVkIHRoZSBhZ2dyZWdhdGlvbiBvZiBjZWxscyBhbmQgZGlzdG9ydGlvbiBvZiBjZWxsIG1lbWJyYW5lLiIsImF1dGhvciI6W3siZHJvcHBpbmctcGFydGljbGUiOiIiLCJmYW1pbHkiOiJUaGlhZ2FyYWphbiIsImdpdmVuIjoiVmlnbmVzaCIsIm5vbi1kcm9wcGluZy1wYXJ0aWNsZSI6IiIsInBhcnNlLW5hbWVzIjpmYWxzZSwic3VmZml4IjoiIn0seyJkcm9wcGluZy1wYXJ0aWNsZSI6IiIsImZhbWlseSI6Ik5hdGFyYWphbiIsImdpdmVuIjoiTG9rZXNod2FyaSIsIm5vbi1kcm9wcGluZy1wYXJ0aWNsZSI6IiIsInBhcnNlLW5hbWVzIjpmYWxzZSwic3VmZml4IjoiIn0seyJkcm9wcGluZy1wYXJ0aWNsZSI6IiIsImZhbWlseSI6IlNlZW5pdmFzYW4iLCJnaXZlbiI6IlIiLCJub24tZHJvcHBpbmctcGFydGljbGUiOiIiLCJwYXJzZS1uYW1lcyI6ZmFsc2UsInN1ZmZpeCI6IiJ9LHsiZHJvcHBpbmctcGFydGljbGUiOiIiLCJmYW1pbHkiOiJDaGFuZHJhc2VrYXJhbiIsImdpdmVuIjoiTiIsIm5vbi1kcm9wcGluZy1wYXJ0aWNsZSI6IiIsInBhcnNlLW5hbWVzIjpmYWxzZSwic3VmZml4IjoiIn0seyJkcm9wcGluZy1wYXJ0aWNsZSI6IiIsImZhbWlseSI6Ik11a2hlcmplZSIsImdpdmVuIjoiQW1pdGF2YSIsIm5vbi1kcm9wcGluZy1wYXJ0aWNsZSI6IiIsInBhcnNlLW5hbWVzIjpmYWxzZSwic3VmZml4IjoiIn1dLCJjb250YWluZXItdGl0bGUiOiJFbnZpcm9ubWVudGFsIFJlc2VhcmNoIiwiaWQiOiIwMWUzZThjNy00NWZiLTU2MjItOGMzMi0zNGJiNzQ0ZDc2ZTAiLCJpc3N1ZWQiOnsiZGF0ZS1wYXJ0cyI6W1siMjAxOSJdXX0sInBhZ2UiOiIxMDg4MDgiLCJ0aXRsZSI6IlRldHJhY3ljbGluZSBhZmZlY3RzIHRoZSB0b3hpY2l0eSBvZiBQMjUgbi1UaU8yIHRvd2FyZHMgbWFyaW5lIG1pY3JvYWxnYWUgQ2hsb3JlbGxhIHNwLiIsInR5cGUiOiJhcnRpY2xlLWpvdXJuYWwiLCJ2b2x1bWUiOiIxNzkiLCJjb250YWluZXItdGl0bGUtc2hvcnQiOiJFbnZpcm9uIFJlcyJ9LCJ1cmlzIjpbImh0dHA6Ly93d3cubWVuZGVsZXkuY29tL2RvY3VtZW50cy8/dXVpZD03NmE3ZGRiMi1jNjJmLTQ5ZjItYTdkZC1hOGIzNTE0MDc0MzIiXSwiaXNUZW1wb3JhcnkiOmZhbHNlLCJsZWdhY3lEZXNrdG9wSWQiOiI3NmE3ZGRiMi1jNjJmLTQ5ZjItYTdkZC1hOGIzNTE0MDc0MzIifSx7ImlkIjoiNWQ1NTNhNjYtODU2OS0zZmIyLTg0NTMtNzg3MGNhYzBiODFjIiwiaXRlbURhdGEiOnsidHlwZSI6ImFydGljbGUtam91cm5hbCIsImlkIjoiNWQ1NTNhNjYtODU2OS0zZmIyLTg0NTMtNzg3MGNhYzBiODFjIiwidGl0bGUiOiJVVkIgcHJlLWlycmFkaWF0aW9uIG9mIHRpdGFuaXVtIGRpb3hpZGUgbmFub3BhcnRpY2xlcyBpcyBtb3JlIGRldHJpbWVudGFsIHRvIGZyZXNod2F0ZXIgYWxnYWUgdGhhbiBVVkEgcHJlLWlycmFkaWF0aW9uIiwiYXV0aG9yIjpbeyJmYW1pbHkiOiJSb3kiLCJnaXZlbiI6IkJhcnNoYSIsInBhcnNlLW5hbWVzIjpmYWxzZSwiZHJvcHBpbmctcGFydGljbGUiOiIiLCJub24tZHJvcHBpbmctcGFydGljbGUiOiIifSx7ImZhbWlseSI6IlAuSy4iLCJnaXZlbiI6IlN1cmVzaCIsInBhcnNlLW5hbWVzIjpmYWxzZSwiZHJvcHBpbmctcGFydGljbGUiOiIiLCJub24tZHJvcHBpbmctcGFydGljbGUiOiIifSx7ImZhbWlseSI6IkNoYW5kcmFzZWthcmFuIiwiZ2l2ZW4iOiJOYXRhcmFqYW4iLCJwYXJzZS1uYW1lcyI6ZmFsc2UsImRyb3BwaW5nLXBhcnRpY2xlIjoiIiwibm9uLWRyb3BwaW5nLXBhcnRpY2xlIjoiIn0seyJmYW1pbHkiOiJNdWtoZXJqZWUiLCJnaXZlbiI6IkFtaXRhdmEiLCJwYXJzZS1uYW1lcyI6ZmFsc2UsImRyb3BwaW5nLXBhcnRpY2xlIjoiIiwibm9uLWRyb3BwaW5nLXBhcnRpY2xlIjoiIn1dLCJjb250YWluZXItdGl0bGUiOiJKb3VybmFsIG9mIEVudmlyb25tZW50YWwgQ2hlbWljYWwgRW5naW5lZXJpbmciLCJjb250YWluZXItdGl0bGUtc2hvcnQiOiJKIEVudmlyb24gQ2hlbSBFbmciLCJET0kiOiJodHRwczovL2RvaS5vcmcvMTAuMTAxNi9qLmplY2UuMjAyMC4xMDQwNzYiLCJJU1NOIjoiMjIxMy0zNDM3IiwiVVJMIjoiaHR0cHM6Ly93d3cuc2NpZW5jZWRpcmVjdC5jb20vc2NpZW5jZS9hcnRpY2xlL3BpaS9TMjIxMzM0MzcyMDMwNDI0MyIsImlzc3VlZCI6eyJkYXRlLXBhcnRzIjpbWzIwMjBdXX0sInBhZ2UiOiIxMDQwNzYiLCJhYnN0cmFjdCI6IkNvbnRpbnVlZCB1c2Ugb2YgUDI1IFRpTzIgTlBzIGluIHNldmVyYWwgZmllbGRzIG5lY2Vzc2l0YXRlcyB0aGVpciB0b3hpY2l0eSBldmFsdWF0aW9uIHRvd2FyZHMgdGhlIGVjb3N5c3RlbS4gQ29uc2lkZXJpbmcgdGhlIGhpZ2ggcGhvdG9jYXRhbHl0aWMgYWN0aXZpdHkgb2YgVGlPMiBOUHMsIHRoZXkgd2VyZSBzZWxlY3RlZCBpbiB0aGUgY3VycmVudCBzdHVkeS4gVGhlIHBob3RvY2F0YWx5dGljIHBvdGVudGlhbCBhbmQgdG94aWNpdHkgb2YgTlBzIG9uIGZyZXNod2F0ZXIgYWxnYWUgQ2hsb3JlbGxhIHNwLiB3ZXJlIGNvbXBhcmVkIHVwb24gVVZBIHByZS1pcnJhZGlhdGlvbiBhbmQgVVZCIHByZS1pcnJhZGlhdGlvbi4gTG93IGNvbmNlbnRyYXRpb25zICgxLjU2LCAzLjEzLCBhbmQgNi4yNuKAic68TSkgb2YgTlBzIHVzZWQgZm9yIHRoZSBzdHVkeSBjb3JyZWxhdGUgd2VsbCB3aXRoIHRoZSBhdmFpbGFibGUgZW52aXJvbm1lbnRhbCBjb25jZW50cmF0aW9ucy4gVGhlIG1lYW4gaHlkcm9keW5hbWljIGRpYW1ldGVyIChNSEQpIGZvciBVVkIgcHJlLWlycmFkaWF0ZWQgTlBzICgxNTkuMzTigInCseKAiTAuNjjigIlubSkgd2FzIHRoZSBsZWFzdCB3aGVuIGNvbXBhcmVkIHdpdGggVVZBIHByZS1pcnJhZGlhdGVkICgxNzkuOTnigInCseKAiTAuODXigIlubSkgYW5kIG5vbi1pcnJhZGlhdGVkIE5QcyAoMjIwLjA04oCJwrHigIk2LjA14oCJbm0pLiBUaGlzIGRlY3JlYXNlIGluIE1IRCBkZW5vdGVkIGxlc3NlciBhZ2dsb21lcmF0aW9uIG9mIE5QcyB1cG9uIFVWQiBwcmUtaXJyYWRpYXRpb24uIEZvciBhbGwgdGhlIHRlc3RlZCBjb25jZW50cmF0aW9ucywgdGhlIGNlbGwgdmlhYmlsaXR5IHdhcyBsZXNzIGZvciBVVkIgcHJlLWlycmFkaWF0ZWQgTlAtdHJlYXRlZCBhbGdhZSB3aGVuIGNvbXBhcmVkIHRvIFVWQSBwcmUtaXJyYWRpYXRlZCBOUC10cmVhdGVkIGFsZ2FlIChw4oCJPOKAiTAuMDAxKS4gRXh0cmFjZWxsdWxhciBST1MgZ2VuZXJhdGlvbiB3YXMgc2lnbmlmaWNhbnRseSBoaWdoZXIgZm9yIFVWQiBwcmUtaXJyYWRpYXRlZCBOUHMgKHDigIk84oCJMC4wMDEpIGFzIGNvbXBhcmVkIHRvIFVWQSBwcmUtaXJyYWRpYXRpb24uIFRoZSBlbmhhbmNlZCB0b3hpY2l0eSBvZiBVVkIgcHJlLWlycmFkaWF0ZWQgTlBzIHdhcyBhY2NvbXBhbmllZCBieSBpbmNyZWFzZWQgZ2VuZXJhdGlvbiBvZiBpbnRyYWNlbGx1bGFyIFJPUywgd2hpY2ggaW4gdHVybiBpbmNyZWFzZWQgdGhlIFNPRCwgQ0FULCBhbmQgQVBYIGVuenltZSBhY3Rpdml0aWVzLiBUaGlzIHN0dWR5IGNvbmNsdWRlcyB0aGF0IFVWQiBwcmUtaXJyYWRpYXRpb24gb2YgUDI1IFRpTzIgTlBzIGNhdXNlZCBtb3JlIGhhcm0gdG8gZnJlc2h3YXRlciBhbGdhZSB0aHJvdWdoIG94aWRhdGl2ZSBzdHJlc3Mgd2hlbiBjb21wYXJlZCB0byBVVkEgcHJlLWlycmFkaWF0aW9uLiIsImlzc3VlIjoiNSIsInZvbHVtZSI6IjgifSwiaXNUZW1wb3JhcnkiOmZhbHNlfV19"/>
          <w:id w:val="1520883766"/>
          <w:placeholder>
            <w:docPart w:val="E7729458B8BB4DB6B020EF9A06BC8DA5"/>
          </w:placeholder>
        </w:sdtPr>
        <w:sdtContent>
          <w:r w:rsidR="00B03777" w:rsidRPr="00B03777">
            <w:rPr>
              <w:rFonts w:ascii="Times New Roman" w:hAnsi="Times New Roman"/>
              <w:color w:val="000000"/>
              <w:sz w:val="24"/>
              <w:szCs w:val="24"/>
            </w:rPr>
            <w:t>(Roy et al., 2020; Thiagarajan, Natarajan, et al., 2019)</w:t>
          </w:r>
        </w:sdtContent>
      </w:sdt>
      <w:r w:rsidRPr="00CF3355">
        <w:rPr>
          <w:rFonts w:ascii="Times New Roman" w:hAnsi="Times New Roman"/>
          <w:sz w:val="24"/>
          <w:szCs w:val="24"/>
        </w:rPr>
        <w:t>.</w:t>
      </w:r>
    </w:p>
    <w:p w14:paraId="6D1F7E7F" w14:textId="77777777" w:rsidR="00B03777" w:rsidRDefault="00B03777" w:rsidP="00101053">
      <w:pPr>
        <w:spacing w:line="480" w:lineRule="auto"/>
        <w:jc w:val="both"/>
        <w:rPr>
          <w:rFonts w:ascii="Times New Roman" w:hAnsi="Times New Roman"/>
          <w:b/>
          <w:sz w:val="24"/>
          <w:szCs w:val="24"/>
          <w:lang w:val="en-GB"/>
        </w:rPr>
      </w:pPr>
    </w:p>
    <w:p w14:paraId="535BC2B2" w14:textId="77777777" w:rsidR="00B03777" w:rsidRDefault="00B03777" w:rsidP="00101053">
      <w:pPr>
        <w:spacing w:line="480" w:lineRule="auto"/>
        <w:jc w:val="both"/>
        <w:rPr>
          <w:rFonts w:ascii="Times New Roman" w:hAnsi="Times New Roman"/>
          <w:b/>
          <w:sz w:val="24"/>
          <w:szCs w:val="24"/>
          <w:lang w:val="en-GB"/>
        </w:rPr>
      </w:pPr>
    </w:p>
    <w:p w14:paraId="384B96D4" w14:textId="77AD6DD7" w:rsidR="00101053" w:rsidRPr="00CF3355" w:rsidRDefault="00101053" w:rsidP="00101053">
      <w:pPr>
        <w:spacing w:line="480" w:lineRule="auto"/>
        <w:jc w:val="both"/>
        <w:rPr>
          <w:rFonts w:ascii="Times New Roman" w:hAnsi="Times New Roman"/>
          <w:b/>
          <w:sz w:val="24"/>
          <w:szCs w:val="24"/>
          <w:lang w:val="en-GB"/>
        </w:rPr>
      </w:pPr>
      <w:r w:rsidRPr="00CF3355">
        <w:rPr>
          <w:rFonts w:ascii="Times New Roman" w:hAnsi="Times New Roman"/>
          <w:b/>
          <w:sz w:val="24"/>
          <w:szCs w:val="24"/>
          <w:lang w:val="en-GB"/>
        </w:rPr>
        <w:lastRenderedPageBreak/>
        <w:t>Methods S</w:t>
      </w:r>
      <w:r w:rsidR="004A7AC7">
        <w:rPr>
          <w:rFonts w:ascii="Times New Roman" w:hAnsi="Times New Roman"/>
          <w:b/>
          <w:sz w:val="24"/>
          <w:szCs w:val="24"/>
          <w:lang w:val="en-GB"/>
        </w:rPr>
        <w:t>7</w:t>
      </w:r>
      <w:r w:rsidRPr="00CF3355">
        <w:rPr>
          <w:rFonts w:ascii="Times New Roman" w:hAnsi="Times New Roman"/>
          <w:b/>
          <w:sz w:val="24"/>
          <w:szCs w:val="24"/>
          <w:lang w:val="en-GB"/>
        </w:rPr>
        <w:t xml:space="preserve">: Antioxidant enzyme activity </w:t>
      </w:r>
    </w:p>
    <w:p w14:paraId="46E6075A" w14:textId="77777777" w:rsidR="00101053" w:rsidRPr="00CF3355" w:rsidRDefault="00101053" w:rsidP="00101053">
      <w:pPr>
        <w:spacing w:line="480" w:lineRule="auto"/>
        <w:jc w:val="both"/>
        <w:rPr>
          <w:rFonts w:ascii="Times New Roman" w:hAnsi="Times New Roman"/>
          <w:sz w:val="24"/>
          <w:szCs w:val="24"/>
          <w:lang w:val="en-GB"/>
        </w:rPr>
      </w:pPr>
      <w:r w:rsidRPr="00CF3355">
        <w:rPr>
          <w:rFonts w:ascii="Times New Roman" w:hAnsi="Times New Roman"/>
          <w:sz w:val="24"/>
          <w:szCs w:val="24"/>
          <w:lang w:val="en-GB"/>
        </w:rPr>
        <w:t>For SOD analysis, following a 72-hour interaction, the algal cells were harvested through centrifugation at 7000 rpm for 10 minutes at 4°C. Subsequently, they were rinsed with 0.5 M phosphate buffer saline (PBS). The samples were then homogenized in PBS and subjected to further centrifugation at 13,000 rpm for 20 minutes at 4°C. The resulting supernatant was collected and combined with various chemicals, including hydroxylamine hydrochloride (20 mM), nitro blue tetrazolium chloride (96 mM), Na</w:t>
      </w:r>
      <w:r w:rsidRPr="00CF3355">
        <w:rPr>
          <w:rFonts w:ascii="Times New Roman" w:hAnsi="Times New Roman"/>
          <w:sz w:val="24"/>
          <w:szCs w:val="24"/>
          <w:vertAlign w:val="subscript"/>
          <w:lang w:val="en-GB"/>
        </w:rPr>
        <w:t>2</w:t>
      </w:r>
      <w:r w:rsidRPr="00CF3355">
        <w:rPr>
          <w:rFonts w:ascii="Times New Roman" w:hAnsi="Times New Roman"/>
          <w:sz w:val="24"/>
          <w:szCs w:val="24"/>
          <w:lang w:val="en-GB"/>
        </w:rPr>
        <w:t>CO</w:t>
      </w:r>
      <w:r w:rsidRPr="00CF3355">
        <w:rPr>
          <w:rFonts w:ascii="Times New Roman" w:hAnsi="Times New Roman"/>
          <w:sz w:val="24"/>
          <w:szCs w:val="24"/>
          <w:vertAlign w:val="subscript"/>
          <w:lang w:val="en-GB"/>
        </w:rPr>
        <w:t>3</w:t>
      </w:r>
      <w:r w:rsidRPr="00CF3355">
        <w:rPr>
          <w:rFonts w:ascii="Times New Roman" w:hAnsi="Times New Roman"/>
          <w:sz w:val="24"/>
          <w:szCs w:val="24"/>
          <w:lang w:val="en-GB"/>
        </w:rPr>
        <w:t xml:space="preserve"> buffer (50 mM, pH 10), and Triton X-100 (0.6%). This mixture was exposed to visible light for 20 minutes. The reaction mixture's absorbance was measured using a UV–Vis microplate reader (xMARK microplate absorbance spectrophotometer, BIO-RAD) at a wavelength of 560 nm.</w:t>
      </w:r>
    </w:p>
    <w:p w14:paraId="01B4D45A" w14:textId="74E1677B" w:rsidR="00101053" w:rsidRPr="00CF3355" w:rsidRDefault="00101053" w:rsidP="00101053">
      <w:pPr>
        <w:spacing w:line="480" w:lineRule="auto"/>
        <w:jc w:val="both"/>
        <w:rPr>
          <w:rFonts w:ascii="Times New Roman" w:hAnsi="Times New Roman"/>
          <w:sz w:val="24"/>
          <w:szCs w:val="24"/>
          <w:lang w:val="en-GB"/>
        </w:rPr>
      </w:pPr>
      <w:r w:rsidRPr="00CF3355">
        <w:rPr>
          <w:rFonts w:ascii="Times New Roman" w:hAnsi="Times New Roman"/>
          <w:sz w:val="24"/>
          <w:szCs w:val="24"/>
          <w:lang w:val="en-GB"/>
        </w:rPr>
        <w:t>For catalase activity assessment, algal cells exposed to the treatment for 72 hours were subjected to centrifugation at 7000 rpm for 10 minutes at a temperature of 4°C. The resulting cell pellet was processed in a similar manner as previously described for SOD activity. A spectrophotometer (Thermofisher Evolution 220) was utilized to record the decrease in absorbance at 240 nm over a 3-minute period following the addition of 800 µl of freshly prepared H</w:t>
      </w:r>
      <w:r w:rsidRPr="00CF3355">
        <w:rPr>
          <w:rFonts w:ascii="Times New Roman" w:hAnsi="Times New Roman"/>
          <w:sz w:val="24"/>
          <w:szCs w:val="24"/>
          <w:vertAlign w:val="subscript"/>
          <w:lang w:val="en-GB"/>
        </w:rPr>
        <w:t>2</w:t>
      </w:r>
      <w:r w:rsidRPr="00CF3355">
        <w:rPr>
          <w:rFonts w:ascii="Times New Roman" w:hAnsi="Times New Roman"/>
          <w:sz w:val="24"/>
          <w:szCs w:val="24"/>
          <w:lang w:val="en-GB"/>
        </w:rPr>
        <w:t>O</w:t>
      </w:r>
      <w:r w:rsidRPr="00CF3355">
        <w:rPr>
          <w:rFonts w:ascii="Times New Roman" w:hAnsi="Times New Roman"/>
          <w:sz w:val="24"/>
          <w:szCs w:val="24"/>
          <w:vertAlign w:val="subscript"/>
          <w:lang w:val="en-GB"/>
        </w:rPr>
        <w:t>2</w:t>
      </w:r>
      <w:r w:rsidRPr="00CF3355">
        <w:rPr>
          <w:rFonts w:ascii="Times New Roman" w:hAnsi="Times New Roman"/>
          <w:sz w:val="24"/>
          <w:szCs w:val="24"/>
          <w:lang w:val="en-GB"/>
        </w:rPr>
        <w:t xml:space="preserve"> solution (0.3% v/v) to 200 µl of the supernatant. A reaction solution without H</w:t>
      </w:r>
      <w:r w:rsidRPr="00CF3355">
        <w:rPr>
          <w:rFonts w:ascii="Times New Roman" w:hAnsi="Times New Roman"/>
          <w:sz w:val="24"/>
          <w:szCs w:val="24"/>
          <w:vertAlign w:val="subscript"/>
          <w:lang w:val="en-GB"/>
        </w:rPr>
        <w:t>2</w:t>
      </w:r>
      <w:r w:rsidRPr="00CF3355">
        <w:rPr>
          <w:rFonts w:ascii="Times New Roman" w:hAnsi="Times New Roman"/>
          <w:sz w:val="24"/>
          <w:szCs w:val="24"/>
          <w:lang w:val="en-GB"/>
        </w:rPr>
        <w:t>O</w:t>
      </w:r>
      <w:r w:rsidRPr="00CF3355">
        <w:rPr>
          <w:rFonts w:ascii="Times New Roman" w:hAnsi="Times New Roman"/>
          <w:sz w:val="24"/>
          <w:szCs w:val="24"/>
          <w:vertAlign w:val="subscript"/>
          <w:lang w:val="en-GB"/>
        </w:rPr>
        <w:t>2</w:t>
      </w:r>
      <w:r w:rsidRPr="00CF3355">
        <w:rPr>
          <w:rFonts w:ascii="Times New Roman" w:hAnsi="Times New Roman"/>
          <w:sz w:val="24"/>
          <w:szCs w:val="24"/>
          <w:lang w:val="en-GB"/>
        </w:rPr>
        <w:t xml:space="preserve"> served as a blank reference. </w:t>
      </w:r>
      <w:sdt>
        <w:sdtPr>
          <w:rPr>
            <w:rFonts w:ascii="Times New Roman" w:hAnsi="Times New Roman"/>
            <w:color w:val="000000"/>
            <w:sz w:val="24"/>
            <w:szCs w:val="24"/>
            <w:lang w:val="en-GB"/>
          </w:rPr>
          <w:tag w:val="MENDELEY_CITATION_v3_eyJjaXRhdGlvbklEIjoiTUVOREVMRVlfQ0lUQVRJT05fN2YwZTY4NjMtYjVjZC00ZjBiLWEyYTQtYzY3MTUzNWZjYmViIiwicHJvcGVydGllcyI6eyJub3RlSW5kZXgiOjB9LCJpc0VkaXRlZCI6ZmFsc2UsIm1hbnVhbE92ZXJyaWRlIjp7ImNpdGVwcm9jVGV4dCI6IihHaXJpIGV0IGFsLiwgMjAyMzsgTmF0YXJhamFuLCBTb3VwYW0sIGV0IGFsLiwgMjAyMikiLCJpc01hbnVhbGx5T3ZlcnJpZGRlbiI6ZmFsc2UsIm1hbnVhbE92ZXJyaWRlVGV4dCI6IiJ9LCJjaXRhdGlvbkl0ZW1zIjpbeyJpZCI6ImUxZTBhNTIxLTYxNDgtNTQ5Mi04ZWY0LTkzYWJlNGIxMDg1ZSIsIml0ZW1EYXRhIjp7IklTU04iOiIwOTgxLTk0MjgiLCJhdXRob3IiOlt7ImRyb3BwaW5nLXBhcnRpY2xlIjoiIiwiZmFtaWx5IjoiR2lyaSIsImdpdmVuIjoiU2F5YW5pIiwibm9uLWRyb3BwaW5nLXBhcnRpY2xlIjoiIiwicGFyc2UtbmFtZXMiOmZhbHNlLCJzdWZmaXgiOiIifSx7ImRyb3BwaW5nLXBhcnRpY2xlIjoiIiwiZmFtaWx5IjoiQ2hyaXN0dWRvc3MiLCJnaXZlbiI6IkFiaXNoYSBDaHJpc3R5Iiwibm9uLWRyb3BwaW5nLXBhcnRpY2xlIjoiIiwicGFyc2UtbmFtZXMiOmZhbHNlLCJzdWZmaXgiOiIifSx7ImRyb3BwaW5nLXBhcnRpY2xlIjoiIiwiZmFtaWx5IjoiQ2hhbmRyYXNla2FyYW4iLCJnaXZlbiI6Ik5hdGFyYWphbiIsIm5vbi1kcm9wcGluZy1wYXJ0aWNsZSI6IiIsInBhcnNlLW5hbWVzIjpmYWxzZSwic3VmZml4IjoiIn0seyJkcm9wcGluZy1wYXJ0aWNsZSI6IiIsImZhbWlseSI6IlBlaWpuZW5idXJnIiwiZ2l2ZW4iOiJXaWxsaWUgSiBHIE0iLCJub24tZHJvcHBpbmctcGFydGljbGUiOiIiLCJwYXJzZS1uYW1lcyI6ZmFsc2UsInN1ZmZpeCI6IiJ9LHsiZHJvcHBpbmctcGFydGljbGUiOiIiLCJmYW1pbHkiOiJNdWtoZXJqZWUiLCJnaXZlbiI6IkFtaXRhdmEiLCJub24tZHJvcHBpbmctcGFydGljbGUiOiIiLCJwYXJzZS1uYW1lcyI6ZmFsc2UsInN1ZmZpeCI6IiJ9XSwiY29udGFpbmVyLXRpdGxlIjoiUGxhbnQgUGh5c2lvbG9neSBhbmQgQmlvY2hlbWlzdHJ5IiwiaWQiOiJlMWUwYTUyMS02MTQ4LTU0OTItOGVmNC05M2FiZTRiMTA4NWUiLCJpc3N1ZWQiOnsiZGF0ZS1wYXJ0cyI6W1siMjAyMyJdXX0sInBhZ2UiOiIxMDc2NjQiLCJwdWJsaXNoZXIiOiJFbHNldmllciIsInRpdGxlIjoiVGhlIHJvbGUgb2YgYWxnYWwgRVBTIGluIHJlZHVjaW5nIHRoZSBjb21iaW5lZCB0b3hpY2l0eSBvZiBCUEEgYW5kIHBvbHlzdHlyZW5lIG5hbm9wYXJ0aWNsZXMgdG8gdGhlIGZyZXNod2F0ZXIgYWxnYWUgU2NlbmVkZXNtdXMgb2JsaXF1dXMiLCJ0eXBlIjoiYXJ0aWNsZS1qb3VybmFsIiwidm9sdW1lIjoiMTk3IiwiY29udGFpbmVyLXRpdGxlLXNob3J0IjoiIn0sInVyaXMiOlsiaHR0cDovL3d3dy5tZW5kZWxleS5jb20vZG9jdW1lbnRzLz91dWlkPWM5NWVjOWRjLTJmN2ItNDQ3OC1iNGY1LTY2OTJlMjQ3ODM0ZiIsImh0dHA6Ly93d3cubWVuZGVsZXkuY29tL2RvY3VtZW50cy8/dXVpZD0zMDI5Y2I0Yi1lNzhlLTQyNTMtYjQ4ZS00MmU2NGJjYTNkYTMiXSwiaXNUZW1wb3JhcnkiOmZhbHNlLCJsZWdhY3lEZXNrdG9wSWQiOiJjOTVlYzlkYy0yZjdiLTQ0NzgtYjRmNS02NjkyZTI0NzgzNGYifSx7ImlkIjoiYWQzNjUzMjMtOWEyMC0zNWYyLWJlNjEtZTgxZWI0YTYyMjQxIiwiaXRlbURhdGEiOnsidHlwZSI6ImFydGljbGUtam91cm5hbCIsImlkIjoiYWQzNjUzMjMtOWEyMC0zNWYyLWJlNjEtZTgxZWI0YTYyMjQxIiwidGl0bGUiOiJUb3hpY2l0eSBvZiBwb2x5c3R5cmVuZSBtaWNyb3BsYXN0aWNzIGluIGZyZXNod2F0ZXIgYWxnYWUgU2NlbmVkZXNtdXMgb2JsaXF1dXM6IEVmZmVjdHMgb2YgcGFydGljbGUgc2l6ZSBhbmQgc3VyZmFjZSBjaGFyZ2UiLCJhdXRob3IiOlt7ImZhbWlseSI6Ik5hdGFyYWphbiIsImdpdmVuIjoiTG9rZXNod2FyaSIsInBhcnNlLW5hbWVzIjpmYWxzZSwiZHJvcHBpbmctcGFydGljbGUiOiIiLCJub24tZHJvcHBpbmctcGFydGljbGUiOiIifSx7ImZhbWlseSI6IlNvdXBhbSIsImdpdmVuIjoiRGFzIiwicGFyc2UtbmFtZXMiOmZhbHNlLCJkcm9wcGluZy1wYXJ0aWNsZSI6IiIsIm5vbi1kcm9wcGluZy1wYXJ0aWNsZSI6IiJ9LHsiZmFtaWx5IjoiRGV5IiwiZ2l2ZW4iOiJTd2FybmFsaSIsInBhcnNlLW5hbWVzIjpmYWxzZSwiZHJvcHBpbmctcGFydGljbGUiOiIiLCJub24tZHJvcHBpbmctcGFydGljbGUiOiIifSx7ImZhbWlseSI6IkNoYW5kcmFzZWthcmFuIiwiZ2l2ZW4iOiJOYXRhcmFqYW4iLCJwYXJzZS1uYW1lcyI6ZmFsc2UsImRyb3BwaW5nLXBhcnRpY2xlIjoiIiwibm9uLWRyb3BwaW5nLXBhcnRpY2xlIjoiIn0seyJmYW1pbHkiOiJLdW5kdSIsImdpdmVuIjoiUml0YSIsInBhcnNlLW5hbWVzIjpmYWxzZSwiZHJvcHBpbmctcGFydGljbGUiOiIiLCJub24tZHJvcHBpbmctcGFydGljbGUiOiIifSx7ImZhbWlseSI6IlBhdWwiLCJnaXZlbiI6IlN1YmhhYnJhdGEiLCJwYXJzZS1uYW1lcyI6ZmFsc2UsImRyb3BwaW5nLXBhcnRpY2xlIjoiIiwibm9uLWRyb3BwaW5nLXBhcnRpY2xlIjoiIn0seyJmYW1pbHkiOiJNdWtoZXJqZWUiLCJnaXZlbiI6IkFtaXRhdmEiLCJwYXJzZS1uYW1lcyI6ZmFsc2UsImRyb3BwaW5nLXBhcnRpY2xlIjoiIiwibm9uLWRyb3BwaW5nLXBhcnRpY2xlIjoiIn1dLCJjb250YWluZXItdGl0bGUiOiJUb3hpY29sb2d5IFJlcG9ydHMiLCJjb250YWluZXItdGl0bGUtc2hvcnQiOiJUb3hpY29sIFJlcCIsIklTU04iOiIyMjE0LTc1MDAiLCJpc3N1ZWQiOnsiZGF0ZS1wYXJ0cyI6W1syMDIyXV19LCJwYWdlIjoiMTk1My0xOTYxIiwicHVibGlzaGVyIjoiRWxzZXZpZXIiLCJ2b2x1bWUiOiI5In0sImlzVGVtcG9yYXJ5IjpmYWxzZX1dfQ=="/>
          <w:id w:val="1305199165"/>
          <w:placeholder>
            <w:docPart w:val="DefaultPlaceholder_-1854013440"/>
          </w:placeholder>
        </w:sdtPr>
        <w:sdtEndPr>
          <w:rPr>
            <w:lang w:val="en-IN"/>
          </w:rPr>
        </w:sdtEndPr>
        <w:sdtContent>
          <w:r w:rsidR="00B03777" w:rsidRPr="00B03777">
            <w:rPr>
              <w:rFonts w:ascii="Times New Roman" w:hAnsi="Times New Roman"/>
              <w:color w:val="000000"/>
              <w:sz w:val="24"/>
              <w:szCs w:val="24"/>
            </w:rPr>
            <w:t>(Giri et al., 2023; Natarajan, Soupam, et al., 2022)</w:t>
          </w:r>
        </w:sdtContent>
      </w:sdt>
      <w:r w:rsidRPr="00CF3355">
        <w:rPr>
          <w:rFonts w:ascii="Times New Roman" w:hAnsi="Times New Roman"/>
          <w:sz w:val="24"/>
          <w:szCs w:val="24"/>
          <w:lang w:val="en-GB"/>
        </w:rPr>
        <w:t>.</w:t>
      </w:r>
    </w:p>
    <w:p w14:paraId="11432D35" w14:textId="1D6CE8AC" w:rsidR="00101053" w:rsidRPr="00CF3355" w:rsidRDefault="00101053" w:rsidP="00101053">
      <w:pPr>
        <w:spacing w:line="480" w:lineRule="auto"/>
        <w:jc w:val="both"/>
        <w:rPr>
          <w:rFonts w:ascii="Times New Roman" w:hAnsi="Times New Roman"/>
          <w:b/>
          <w:bCs/>
          <w:sz w:val="24"/>
          <w:szCs w:val="24"/>
          <w:lang w:val="en-US"/>
        </w:rPr>
      </w:pPr>
      <w:r w:rsidRPr="00CF3355">
        <w:rPr>
          <w:rFonts w:ascii="Times New Roman" w:hAnsi="Times New Roman"/>
          <w:b/>
          <w:sz w:val="24"/>
          <w:szCs w:val="24"/>
          <w:lang w:val="en-GB"/>
        </w:rPr>
        <w:t>Methods S</w:t>
      </w:r>
      <w:r w:rsidR="004A7AC7">
        <w:rPr>
          <w:rFonts w:ascii="Times New Roman" w:hAnsi="Times New Roman"/>
          <w:b/>
          <w:sz w:val="24"/>
          <w:szCs w:val="24"/>
          <w:lang w:val="en-GB"/>
        </w:rPr>
        <w:t>8</w:t>
      </w:r>
      <w:r w:rsidRPr="00CF3355">
        <w:rPr>
          <w:rFonts w:ascii="Times New Roman" w:hAnsi="Times New Roman"/>
          <w:b/>
          <w:sz w:val="24"/>
          <w:szCs w:val="24"/>
          <w:lang w:val="en-GB"/>
        </w:rPr>
        <w:t>:</w:t>
      </w:r>
      <w:r w:rsidRPr="00CF3355">
        <w:rPr>
          <w:rFonts w:ascii="Times New Roman" w:hAnsi="Times New Roman"/>
          <w:sz w:val="24"/>
          <w:szCs w:val="24"/>
          <w:lang w:val="en-GB"/>
        </w:rPr>
        <w:t xml:space="preserve"> </w:t>
      </w:r>
      <w:r w:rsidRPr="00CF3355">
        <w:rPr>
          <w:rFonts w:ascii="Times New Roman" w:hAnsi="Times New Roman"/>
          <w:b/>
          <w:bCs/>
          <w:sz w:val="24"/>
          <w:szCs w:val="24"/>
          <w:lang w:val="en-US"/>
        </w:rPr>
        <w:t>Photosynthetic parameters assessment</w:t>
      </w:r>
    </w:p>
    <w:p w14:paraId="5929F9AF" w14:textId="2CBAA78B" w:rsidR="00101053" w:rsidRPr="00CF3355" w:rsidRDefault="00101053" w:rsidP="00101053">
      <w:pPr>
        <w:spacing w:line="480" w:lineRule="auto"/>
        <w:jc w:val="both"/>
        <w:rPr>
          <w:rFonts w:ascii="Times New Roman" w:hAnsi="Times New Roman"/>
          <w:sz w:val="24"/>
          <w:szCs w:val="24"/>
          <w:lang w:val="en-GB"/>
        </w:rPr>
      </w:pPr>
      <w:r w:rsidRPr="00CF3355">
        <w:rPr>
          <w:rFonts w:ascii="Times New Roman" w:hAnsi="Times New Roman"/>
          <w:sz w:val="24"/>
          <w:szCs w:val="24"/>
          <w:lang w:val="en-GB"/>
        </w:rPr>
        <w:t xml:space="preserve">In this investigation, a photosynthesis yield analyzer (Mini PAM, Heinz Walz, Germany) was employed to assess the photochemical quantum yield of the PS II system, represented by the Fv/Fm ratio, and the electron transport rate (ETR) in both the treated and control algal cells. Following a 72-hour interaction period, the control and treated cells underwent a dark incubation </w:t>
      </w:r>
      <w:r w:rsidRPr="00CF3355">
        <w:rPr>
          <w:rFonts w:ascii="Times New Roman" w:hAnsi="Times New Roman"/>
          <w:sz w:val="24"/>
          <w:szCs w:val="24"/>
          <w:lang w:val="en-GB"/>
        </w:rPr>
        <w:lastRenderedPageBreak/>
        <w:t>of 15 minutes. Subsequently, 400 µl of the sample was introduced into the instrument chamber, and high-intensity Actinic light was applied to record the Fv/Fm ratio and ETR values of the samples</w:t>
      </w:r>
      <w:r w:rsidR="00325F63" w:rsidRPr="00CF3355">
        <w:rPr>
          <w:rFonts w:ascii="Times New Roman" w:hAnsi="Times New Roman"/>
          <w:sz w:val="24"/>
          <w:szCs w:val="24"/>
          <w:lang w:val="en-GB"/>
        </w:rPr>
        <w:t xml:space="preserve"> </w:t>
      </w:r>
      <w:sdt>
        <w:sdtPr>
          <w:rPr>
            <w:rFonts w:ascii="Times New Roman" w:hAnsi="Times New Roman"/>
            <w:color w:val="000000"/>
            <w:sz w:val="24"/>
            <w:szCs w:val="24"/>
            <w:lang w:val="en-GB"/>
          </w:rPr>
          <w:tag w:val="MENDELEY_CITATION_v3_eyJjaXRhdGlvbklEIjoiTUVOREVMRVlfQ0lUQVRJT05fODRkZmFiMGItODQxYi00ZjcyLWE3ZDktYjMyOWZmZTQ1ZGNhIiwicHJvcGVydGllcyI6eyJub3RlSW5kZXgiOjB9LCJpc0VkaXRlZCI6ZmFsc2UsIm1hbnVhbE92ZXJyaWRlIjp7ImlzTWFudWFsbHlPdmVycmlkZGVuIjpmYWxzZSwiY2l0ZXByb2NUZXh0IjoiKERhcyBldCBhbC4sIDIwMjIpIiwibWFudWFsT3ZlcnJpZGVUZXh0IjoiIn0sImNpdGF0aW9uSXRlbXMiOlt7ImlkIjoiOTBkMjUyZTQtODc3Yy0zOWVhLWE3YWItZmE4N2YxZTg2MDg3IiwiaXRlbURhdGEiOnsidHlwZSI6ImFydGljbGUtam91cm5hbCIsImlkIjoiOTBkMjUyZTQtODc3Yy0zOWVhLWE3YWItZmE4N2YxZTg2MDg3IiwidGl0bGUiOiJOYW5vcGxhc3RpY3MgZW5oYW5jZSB0aGUgdG94aWMgZWZmZWN0cyBvZiB0aXRhbml1bSBkaW94aWRlIG5hbm9wYXJ0aWNsZSBpbiBmcmVzaHdhdGVyIGFsZ2FlIFNjZW5lZGVzbXVzIG9ibGlxdXVzIiwiYXV0aG9yIjpbeyJmYW1pbHkiOiJEYXMiLCJnaXZlbiI6IlNvdXBhbSIsInBhcnNlLW5hbWVzIjpmYWxzZSwiZHJvcHBpbmctcGFydGljbGUiOiIiLCJub24tZHJvcHBpbmctcGFydGljbGUiOiIifSx7ImZhbWlseSI6IlRoaWFnYXJhamFuIiwiZ2l2ZW4iOiJWaWduZXNoIiwicGFyc2UtbmFtZXMiOmZhbHNlLCJkcm9wcGluZy1wYXJ0aWNsZSI6IiIsIm5vbi1kcm9wcGluZy1wYXJ0aWNsZSI6IiJ9LHsiZmFtaWx5IjoiQ2hhbmRyYXNla2FyYW4iLCJnaXZlbiI6Ik4uIiwicGFyc2UtbmFtZXMiOmZhbHNlLCJkcm9wcGluZy1wYXJ0aWNsZSI6IiIsIm5vbi1kcm9wcGluZy1wYXJ0aWNsZSI6IiJ9LHsiZmFtaWx5IjoiUmF2aW5kcmFuIiwiZ2l2ZW4iOiJCYWxhc3VicmFtYW5pIiwicGFyc2UtbmFtZXMiOmZhbHNlLCJkcm9wcGluZy1wYXJ0aWNsZSI6IiIsIm5vbi1kcm9wcGluZy1wYXJ0aWNsZSI6IiJ9LHsiZmFtaWx5IjoiTXVraGVyamVlIiwiZ2l2ZW4iOiJBbWl0YXZhIiwicGFyc2UtbmFtZXMiOmZhbHNlLCJkcm9wcGluZy1wYXJ0aWNsZSI6IiIsIm5vbi1kcm9wcGluZy1wYXJ0aWNsZSI6IiJ9XSwiY29udGFpbmVyLXRpdGxlIjoiQ29tcGFyYXRpdmUgQmlvY2hlbWlzdHJ5IGFuZCBQaHlzaW9sb2d5IFBhcnQgQzogVG94aWNvbG9neSAmIFBoYXJtYWNvbG9neSIsImFjY2Vzc2VkIjp7ImRhdGUtcGFydHMiOltbMjAyMyw1LDIzXV19LCJET0kiOiIxMC4xMDE2L0ouQ0JQQy4yMDIyLjEwOTMwNSIsIklTU04iOiIxNTMyLTA0NTYiLCJQTUlEIjoiMzUyMTk5MDAiLCJpc3N1ZWQiOnsiZGF0ZS1wYXJ0cyI6W1syMDIyLDYsMV1dfSwicGFnZSI6IjEwOTMwNSIsImFic3RyYWN0IjoiVGhlIGluY3JlYXNlZCB1c2FnZSBvZiB0aXRhbml1bSBkaW94aWRlIG5hbm9wYXJ0aWNsZXMgKG5UaU8yKSBpbiBjb25zdW1lciBwcm9kdWN0cyBoYXMgbGVkIHRvIHRoZWlyIHByZXZhbGVuY2UgaW4gZnJlc2h3YXRlciBzeXN0ZW1zLiBOYW5vcGxhc3RpY3MsIGEgc2Vjb25kYXJ5IHBvbGx1dGFudCwgY2FuIHNpZ25pZmljYW50bHkgaW5mbHVlbmNlIHRoZSB0b3hpYyBlZmZlY3RzIG9mIG5UaU8yIGluIGZyZXNod2F0ZXIgb3JnYW5pc21zLiBUaGUgcHJlc2VudCBzdHVkeSBpbnZlc3RpZ2F0ZXMgdGhlIHJvbGUgb2YgZmx1b3Jlc2NlbnQgbmFub3BsYXN0aWNzIChGTlBzKSBpbiBtb2RpZnlpbmcgdGhlIGhhcm1mdWwgZWZmZWN0cyBvZiBQMjUgblRpTzIgaW4gZnJlc2h3YXRlciBhbGdhZSBTY2VuZWRlc211cyBvYmxpcXV1cy4gVGhyZWUgZGlmZmVyZW50IGNvbmNlbnRyYXRpb25zIG9mIG5UaU8yLCAwLjAyNSwgMC4yNSwgYW5kIDIuNSBtZy9MLCB3ZXJlIG1peGVkIHdpdGggMSBtZy9MIG9mIHRoZSBGTlBzIHRvIHBlcmZvcm0gdGhlIG1peHR1cmUgdG94aWNpdHkgZXhwZXJpbWVudHMuIFRoZSBwcmVzZW5jZSBvZiB0aGUgRk5QcyBpbiB0aGUgbWl4dHVyZSBpbmNyZWFzZWQgdGhlIHRveGljaXR5IG9mIG5UaU8yIHNpZ25pZmljYW50bHkuIEEgc2lnbmlmaWNhbnQgaW5jcmVtZW50IGluIHRoZSBveGlkYXRpdmUgc3RyZXNzIHBhcmFtZXRlcnMgbGlrZSB0b3RhbCBST1MsIHN1cGVyb3hpZGUgKE8y4oiO4oiSKSwgYW5kIGh5ZHJveHlsIHJhZGljYWwgZ2VuZXJhdGlvbiB3YXMgb2JzZXJ2ZWQgZm9yIHRoZSBtaXh0dXJlIG9mIG5UaU8yIHdpdGggdGhlIEZOUHMgaW4gY29tcGFyaXNvbiB3aXRoIHRoZWlyIGluZGl2aWR1YWwgY291bnRlcnBhcnRzLiBUaGUgbGlwaWQgcGVyb3hpZGF0aW9uLCBhbmQgdGhlIGFudGlveGlkYW50IGVuenltZSBhY3Rpdml0aWVzIGluIHRoZSBhbGdhbCBjZWxscyBjb3JyZWxhdGVkIHdlbGwgd2l0aCB0aGUgcmVhY3RpdmUgc3BlY2llcyBnZW5lcmF0aW9uIHJlc3VsdHMuIFRoZSB0cmVhdG1lbnRzIHdpdGggdGhlIGJpbmFyeSBtaXh0dXJlIHJlc3VsdGVkIGluIG5vdGFibGUgZGVjcmVhc2UgaW4gdGhlIGVzdGVyYXNlIGFjdGl2aXR5IGluIHRoZSBhbGdhbCBjZWxscy4gVGhlIG1peHR1cmUgdG94aWNpdHkgcmVzdWx0cyB3ZXJlIGZ1cnRoZXIgdmFsaWRhdGVkIHdpdGggQWJib3R0J3MgaW5kZXBlbmRlbnQgYWN0aW9uIG1vZGVsLiBBZGRpdGlvbmFsbHksIG9wdGljYWwgbWljcm9zY29waWMgYW5hbHlzaXMgYW5kIEZUSVIgYW5hbHlzaXMgd2VyZSBwZXJmb3JtZWQgdG8gc3R1ZHkgdGhlIG1vcnBob2xvZ2ljYWwgYW5kIHN1cmZhY2UgY2hlbWljYWwgY2hhbmdlcyBpbiB0aGUgYWxnYWUuIFRoaXMgc3R1ZHkgZGVtb25zdHJhdGVkIHRoYXQgdGhlIEZOUHMgcGxheWVkIGEga2V5IHJvbGUgaW4gZW5oYW5jaW5nIHRoZSB0b3hpY2l0eSBvZiBuVGlPMiBpbiBmcmVzaHdhdGVyIGFsZ2FlLiIsInB1Ymxpc2hlciI6IkVsc2V2aWVyIiwidm9sdW1lIjoiMjU2IiwiY29udGFpbmVyLXRpdGxlLXNob3J0IjoiIn0sImlzVGVtcG9yYXJ5IjpmYWxzZX1dfQ=="/>
          <w:id w:val="-1523234630"/>
          <w:placeholder>
            <w:docPart w:val="DefaultPlaceholder_-1854013440"/>
          </w:placeholder>
        </w:sdtPr>
        <w:sdtContent>
          <w:r w:rsidR="00B03777" w:rsidRPr="00B03777">
            <w:rPr>
              <w:rFonts w:ascii="Times New Roman" w:hAnsi="Times New Roman"/>
              <w:color w:val="000000"/>
              <w:sz w:val="24"/>
              <w:szCs w:val="24"/>
              <w:lang w:val="en-GB"/>
            </w:rPr>
            <w:t>(Das et al., 2022)</w:t>
          </w:r>
        </w:sdtContent>
      </w:sdt>
      <w:r w:rsidRPr="00CF3355">
        <w:rPr>
          <w:rFonts w:ascii="Times New Roman" w:hAnsi="Times New Roman"/>
          <w:sz w:val="24"/>
          <w:szCs w:val="24"/>
          <w:lang w:val="en-GB"/>
        </w:rPr>
        <w:t xml:space="preserve">. </w:t>
      </w:r>
    </w:p>
    <w:p w14:paraId="0B94502B" w14:textId="77777777" w:rsidR="00D46024" w:rsidRPr="00CF3355" w:rsidRDefault="00D46024" w:rsidP="00101053">
      <w:pPr>
        <w:spacing w:line="480" w:lineRule="auto"/>
        <w:jc w:val="both"/>
        <w:rPr>
          <w:rFonts w:ascii="Times New Roman" w:hAnsi="Times New Roman"/>
          <w:sz w:val="24"/>
          <w:szCs w:val="24"/>
          <w:lang w:val="en-GB"/>
        </w:rPr>
      </w:pPr>
    </w:p>
    <w:p w14:paraId="0E425A8D" w14:textId="77777777" w:rsidR="00D46024" w:rsidRPr="00CF3355" w:rsidRDefault="00D46024" w:rsidP="00101053">
      <w:pPr>
        <w:spacing w:line="480" w:lineRule="auto"/>
        <w:jc w:val="both"/>
        <w:rPr>
          <w:rFonts w:ascii="Times New Roman" w:hAnsi="Times New Roman"/>
          <w:sz w:val="24"/>
          <w:szCs w:val="24"/>
          <w:lang w:val="en-GB"/>
        </w:rPr>
      </w:pPr>
    </w:p>
    <w:p w14:paraId="2D6389D0" w14:textId="77777777" w:rsidR="00D46024" w:rsidRPr="00CF3355" w:rsidRDefault="00D46024" w:rsidP="00101053">
      <w:pPr>
        <w:spacing w:line="480" w:lineRule="auto"/>
        <w:jc w:val="both"/>
        <w:rPr>
          <w:rFonts w:ascii="Times New Roman" w:hAnsi="Times New Roman"/>
          <w:sz w:val="24"/>
          <w:szCs w:val="24"/>
          <w:lang w:val="en-GB"/>
        </w:rPr>
      </w:pPr>
    </w:p>
    <w:p w14:paraId="58716B1B" w14:textId="15C2A2DD" w:rsidR="00D46024" w:rsidRPr="00CF3355" w:rsidRDefault="00D46024" w:rsidP="00101053">
      <w:pPr>
        <w:spacing w:line="480" w:lineRule="auto"/>
        <w:jc w:val="both"/>
        <w:rPr>
          <w:rFonts w:ascii="Times New Roman" w:hAnsi="Times New Roman"/>
          <w:b/>
          <w:bCs/>
          <w:sz w:val="24"/>
          <w:szCs w:val="24"/>
          <w:u w:val="single"/>
          <w:lang w:val="en-GB"/>
        </w:rPr>
      </w:pPr>
      <w:r w:rsidRPr="00CF3355">
        <w:rPr>
          <w:rFonts w:ascii="Times New Roman" w:hAnsi="Times New Roman"/>
          <w:b/>
          <w:bCs/>
          <w:sz w:val="24"/>
          <w:szCs w:val="24"/>
          <w:u w:val="single"/>
          <w:lang w:val="en-GB"/>
        </w:rPr>
        <w:t xml:space="preserve">Figures </w:t>
      </w:r>
    </w:p>
    <w:p w14:paraId="5B670377" w14:textId="67D9EE9B" w:rsidR="00136E54" w:rsidRPr="00CF3355" w:rsidRDefault="00136E54" w:rsidP="00F5227D">
      <w:pPr>
        <w:spacing w:line="480" w:lineRule="auto"/>
        <w:jc w:val="center"/>
        <w:rPr>
          <w:rFonts w:ascii="Times New Roman" w:hAnsi="Times New Roman"/>
          <w:b/>
          <w:bCs/>
          <w:sz w:val="24"/>
          <w:szCs w:val="24"/>
          <w:u w:val="single"/>
          <w:lang w:val="en-GB"/>
        </w:rPr>
      </w:pPr>
      <w:r w:rsidRPr="00CF3355">
        <w:rPr>
          <w:rFonts w:ascii="Times New Roman" w:hAnsi="Times New Roman"/>
          <w:noProof/>
          <w:sz w:val="24"/>
          <w:szCs w:val="24"/>
        </w:rPr>
        <w:drawing>
          <wp:inline distT="0" distB="0" distL="0" distR="0" wp14:anchorId="184A8B18" wp14:editId="4415E3BA">
            <wp:extent cx="3733800" cy="3045281"/>
            <wp:effectExtent l="0" t="0" r="0" b="3175"/>
            <wp:docPr id="17781447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34802" cy="3046098"/>
                    </a:xfrm>
                    <a:prstGeom prst="rect">
                      <a:avLst/>
                    </a:prstGeom>
                    <a:noFill/>
                    <a:ln>
                      <a:noFill/>
                    </a:ln>
                  </pic:spPr>
                </pic:pic>
              </a:graphicData>
            </a:graphic>
          </wp:inline>
        </w:drawing>
      </w:r>
    </w:p>
    <w:p w14:paraId="3A5C9E98" w14:textId="3925466D" w:rsidR="00101053" w:rsidRPr="00CF3355" w:rsidRDefault="00136E54" w:rsidP="00195570">
      <w:pPr>
        <w:jc w:val="center"/>
        <w:rPr>
          <w:rFonts w:ascii="Times New Roman" w:hAnsi="Times New Roman"/>
          <w:sz w:val="24"/>
          <w:szCs w:val="24"/>
        </w:rPr>
      </w:pPr>
      <w:r w:rsidRPr="00CF3355">
        <w:rPr>
          <w:rFonts w:ascii="Times New Roman" w:hAnsi="Times New Roman"/>
          <w:b/>
          <w:bCs/>
          <w:sz w:val="24"/>
          <w:szCs w:val="24"/>
        </w:rPr>
        <w:t>Fig. S1</w:t>
      </w:r>
      <w:r w:rsidR="001B3C12" w:rsidRPr="00CF3355">
        <w:rPr>
          <w:rFonts w:ascii="Times New Roman" w:hAnsi="Times New Roman"/>
          <w:b/>
          <w:bCs/>
          <w:sz w:val="24"/>
          <w:szCs w:val="24"/>
        </w:rPr>
        <w:t>.</w:t>
      </w:r>
      <w:r w:rsidRPr="00CF3355">
        <w:rPr>
          <w:rFonts w:ascii="Times New Roman" w:hAnsi="Times New Roman"/>
          <w:b/>
          <w:bCs/>
          <w:sz w:val="24"/>
          <w:szCs w:val="24"/>
        </w:rPr>
        <w:t xml:space="preserve"> </w:t>
      </w:r>
      <w:r w:rsidRPr="00CF3355">
        <w:rPr>
          <w:rFonts w:ascii="Times New Roman" w:hAnsi="Times New Roman"/>
          <w:sz w:val="24"/>
          <w:szCs w:val="24"/>
        </w:rPr>
        <w:t>Percentage cell viability on exposure to 1 mg/L of 50% ethanol</w:t>
      </w:r>
    </w:p>
    <w:p w14:paraId="35FBF1B8" w14:textId="77777777" w:rsidR="00136E54" w:rsidRPr="00CF3355" w:rsidRDefault="00136E54" w:rsidP="00195570">
      <w:pPr>
        <w:jc w:val="center"/>
        <w:rPr>
          <w:rFonts w:ascii="Times New Roman" w:hAnsi="Times New Roman"/>
          <w:sz w:val="24"/>
          <w:szCs w:val="24"/>
        </w:rPr>
      </w:pPr>
    </w:p>
    <w:p w14:paraId="2ACC898F" w14:textId="77777777" w:rsidR="00136E54" w:rsidRPr="00CF3355" w:rsidRDefault="00136E54" w:rsidP="00195570">
      <w:pPr>
        <w:jc w:val="center"/>
        <w:rPr>
          <w:rFonts w:ascii="Times New Roman" w:hAnsi="Times New Roman"/>
          <w:b/>
          <w:bCs/>
          <w:sz w:val="24"/>
          <w:szCs w:val="24"/>
        </w:rPr>
      </w:pPr>
    </w:p>
    <w:p w14:paraId="5E4D456B" w14:textId="77777777" w:rsidR="00136E54" w:rsidRPr="00CF3355" w:rsidRDefault="00136E54" w:rsidP="00195570">
      <w:pPr>
        <w:jc w:val="center"/>
        <w:rPr>
          <w:rFonts w:ascii="Times New Roman" w:hAnsi="Times New Roman"/>
          <w:b/>
          <w:bCs/>
          <w:sz w:val="24"/>
          <w:szCs w:val="24"/>
        </w:rPr>
      </w:pPr>
    </w:p>
    <w:p w14:paraId="5132CEC0" w14:textId="77777777" w:rsidR="00136E54" w:rsidRPr="00CF3355" w:rsidRDefault="00136E54" w:rsidP="00195570">
      <w:pPr>
        <w:jc w:val="center"/>
        <w:rPr>
          <w:rFonts w:ascii="Times New Roman" w:hAnsi="Times New Roman"/>
          <w:b/>
          <w:bCs/>
          <w:sz w:val="24"/>
          <w:szCs w:val="24"/>
        </w:rPr>
      </w:pPr>
    </w:p>
    <w:p w14:paraId="1FAD074D" w14:textId="77777777" w:rsidR="00136E54" w:rsidRPr="00CF3355" w:rsidRDefault="00136E54" w:rsidP="00195570">
      <w:pPr>
        <w:jc w:val="center"/>
        <w:rPr>
          <w:rFonts w:ascii="Times New Roman" w:hAnsi="Times New Roman"/>
          <w:b/>
          <w:bCs/>
          <w:sz w:val="24"/>
          <w:szCs w:val="24"/>
        </w:rPr>
      </w:pPr>
    </w:p>
    <w:p w14:paraId="636FA4E5" w14:textId="77777777" w:rsidR="00136E54" w:rsidRPr="00CF3355" w:rsidRDefault="00136E54" w:rsidP="00195570">
      <w:pPr>
        <w:jc w:val="center"/>
        <w:rPr>
          <w:rFonts w:ascii="Times New Roman" w:hAnsi="Times New Roman"/>
          <w:b/>
          <w:bCs/>
          <w:sz w:val="24"/>
          <w:szCs w:val="24"/>
        </w:rPr>
      </w:pPr>
    </w:p>
    <w:p w14:paraId="57AD17CD" w14:textId="77777777" w:rsidR="00136E54" w:rsidRPr="00CF3355" w:rsidRDefault="00136E54" w:rsidP="00195570">
      <w:pPr>
        <w:jc w:val="center"/>
        <w:rPr>
          <w:rFonts w:ascii="Times New Roman" w:hAnsi="Times New Roman"/>
          <w:b/>
          <w:bCs/>
          <w:sz w:val="24"/>
          <w:szCs w:val="24"/>
        </w:rPr>
      </w:pPr>
    </w:p>
    <w:p w14:paraId="3ACE6F7F" w14:textId="77777777" w:rsidR="00136E54" w:rsidRPr="00CF3355" w:rsidRDefault="00136E54" w:rsidP="00195570">
      <w:pPr>
        <w:jc w:val="center"/>
        <w:rPr>
          <w:rFonts w:ascii="Times New Roman" w:hAnsi="Times New Roman"/>
          <w:b/>
          <w:bCs/>
          <w:sz w:val="24"/>
          <w:szCs w:val="24"/>
        </w:rPr>
      </w:pPr>
    </w:p>
    <w:p w14:paraId="12F39200" w14:textId="74DD20DD" w:rsidR="00136E54" w:rsidRPr="00CF3355" w:rsidRDefault="00960C73" w:rsidP="00195570">
      <w:pPr>
        <w:jc w:val="center"/>
        <w:rPr>
          <w:rFonts w:ascii="Times New Roman" w:hAnsi="Times New Roman"/>
          <w:b/>
          <w:bCs/>
          <w:sz w:val="24"/>
          <w:szCs w:val="24"/>
        </w:rPr>
      </w:pPr>
      <w:r w:rsidRPr="00CF3355">
        <w:rPr>
          <w:rFonts w:ascii="Times New Roman" w:hAnsi="Times New Roman"/>
          <w:b/>
          <w:bCs/>
          <w:noProof/>
          <w:sz w:val="24"/>
          <w:szCs w:val="24"/>
          <w14:ligatures w14:val="standardContextual"/>
        </w:rPr>
        <w:drawing>
          <wp:inline distT="0" distB="0" distL="0" distR="0" wp14:anchorId="6242BA84" wp14:editId="65C3C6C4">
            <wp:extent cx="5537419" cy="1930400"/>
            <wp:effectExtent l="0" t="0" r="6350" b="0"/>
            <wp:docPr id="13792693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269312" name="Picture 1379269312"/>
                    <pic:cNvPicPr/>
                  </pic:nvPicPr>
                  <pic:blipFill>
                    <a:blip r:embed="rId9">
                      <a:extLst>
                        <a:ext uri="{28A0092B-C50C-407E-A947-70E740481C1C}">
                          <a14:useLocalDpi xmlns:a14="http://schemas.microsoft.com/office/drawing/2010/main" val="0"/>
                        </a:ext>
                      </a:extLst>
                    </a:blip>
                    <a:stretch>
                      <a:fillRect/>
                    </a:stretch>
                  </pic:blipFill>
                  <pic:spPr>
                    <a:xfrm>
                      <a:off x="0" y="0"/>
                      <a:ext cx="5550423" cy="1934933"/>
                    </a:xfrm>
                    <a:prstGeom prst="rect">
                      <a:avLst/>
                    </a:prstGeom>
                  </pic:spPr>
                </pic:pic>
              </a:graphicData>
            </a:graphic>
          </wp:inline>
        </w:drawing>
      </w:r>
    </w:p>
    <w:p w14:paraId="7424B9AE" w14:textId="1127A658" w:rsidR="00136E54" w:rsidRPr="00CF3355" w:rsidRDefault="00136E54" w:rsidP="00960C73">
      <w:pPr>
        <w:jc w:val="center"/>
        <w:rPr>
          <w:rFonts w:ascii="Times New Roman" w:hAnsi="Times New Roman"/>
          <w:b/>
          <w:bCs/>
          <w:sz w:val="24"/>
          <w:szCs w:val="24"/>
          <w:lang w:val="en-US"/>
        </w:rPr>
      </w:pPr>
      <w:r w:rsidRPr="00CF3355">
        <w:rPr>
          <w:rFonts w:ascii="Times New Roman" w:hAnsi="Times New Roman"/>
          <w:b/>
          <w:bCs/>
          <w:sz w:val="24"/>
          <w:szCs w:val="24"/>
          <w:lang w:val="en-US"/>
        </w:rPr>
        <w:t>Fig</w:t>
      </w:r>
      <w:r w:rsidR="00960C73" w:rsidRPr="00CF3355">
        <w:rPr>
          <w:rFonts w:ascii="Times New Roman" w:hAnsi="Times New Roman"/>
          <w:b/>
          <w:bCs/>
          <w:sz w:val="24"/>
          <w:szCs w:val="24"/>
          <w:lang w:val="en-US"/>
        </w:rPr>
        <w:t>.</w:t>
      </w:r>
      <w:r w:rsidRPr="00CF3355">
        <w:rPr>
          <w:rFonts w:ascii="Times New Roman" w:hAnsi="Times New Roman"/>
          <w:b/>
          <w:bCs/>
          <w:sz w:val="24"/>
          <w:szCs w:val="24"/>
          <w:lang w:val="en-US"/>
        </w:rPr>
        <w:t xml:space="preserve"> S2</w:t>
      </w:r>
      <w:r w:rsidR="001B3C12" w:rsidRPr="00CF3355">
        <w:rPr>
          <w:rFonts w:ascii="Times New Roman" w:hAnsi="Times New Roman"/>
          <w:b/>
          <w:bCs/>
          <w:sz w:val="24"/>
          <w:szCs w:val="24"/>
          <w:lang w:val="en-US"/>
        </w:rPr>
        <w:t>.</w:t>
      </w:r>
      <w:r w:rsidR="00960C73" w:rsidRPr="00CF3355">
        <w:rPr>
          <w:rFonts w:ascii="Times New Roman" w:hAnsi="Times New Roman"/>
          <w:b/>
          <w:bCs/>
          <w:sz w:val="24"/>
          <w:szCs w:val="24"/>
          <w:lang w:val="en-US"/>
        </w:rPr>
        <w:t xml:space="preserve"> </w:t>
      </w:r>
      <w:r w:rsidR="00960C73" w:rsidRPr="00CF3355">
        <w:rPr>
          <w:rFonts w:ascii="Times New Roman" w:hAnsi="Times New Roman"/>
          <w:sz w:val="24"/>
          <w:szCs w:val="24"/>
          <w:lang w:val="en-US"/>
        </w:rPr>
        <w:t>FE-SEM image of (A) NH</w:t>
      </w:r>
      <w:r w:rsidR="00960C73" w:rsidRPr="00CF3355">
        <w:rPr>
          <w:rFonts w:ascii="Times New Roman" w:hAnsi="Times New Roman"/>
          <w:sz w:val="24"/>
          <w:szCs w:val="24"/>
          <w:vertAlign w:val="subscript"/>
          <w:lang w:val="en-US"/>
        </w:rPr>
        <w:t>2</w:t>
      </w:r>
      <w:r w:rsidR="00960C73" w:rsidRPr="00CF3355">
        <w:rPr>
          <w:rFonts w:ascii="Times New Roman" w:hAnsi="Times New Roman"/>
          <w:sz w:val="24"/>
          <w:szCs w:val="24"/>
          <w:lang w:val="en-US"/>
        </w:rPr>
        <w:t xml:space="preserve"> NPs (B) COOH NPs</w:t>
      </w:r>
      <w:r w:rsidR="001B3C12" w:rsidRPr="00CF3355">
        <w:rPr>
          <w:rFonts w:ascii="Times New Roman" w:hAnsi="Times New Roman"/>
          <w:b/>
          <w:bCs/>
          <w:sz w:val="24"/>
          <w:szCs w:val="24"/>
          <w:lang w:val="en-US"/>
        </w:rPr>
        <w:t xml:space="preserve"> </w:t>
      </w:r>
    </w:p>
    <w:p w14:paraId="18ADCA2B" w14:textId="7362C183" w:rsidR="001B3C12" w:rsidRPr="00CF3355" w:rsidRDefault="001B3C12">
      <w:pPr>
        <w:spacing w:after="200" w:line="276" w:lineRule="auto"/>
        <w:rPr>
          <w:rFonts w:ascii="Times New Roman" w:hAnsi="Times New Roman"/>
          <w:b/>
          <w:bCs/>
          <w:sz w:val="24"/>
          <w:szCs w:val="24"/>
          <w:lang w:val="en-US"/>
        </w:rPr>
      </w:pPr>
      <w:r w:rsidRPr="00CF3355">
        <w:rPr>
          <w:rFonts w:ascii="Times New Roman" w:hAnsi="Times New Roman"/>
          <w:b/>
          <w:bCs/>
          <w:sz w:val="24"/>
          <w:szCs w:val="24"/>
          <w:lang w:val="en-US"/>
        </w:rPr>
        <w:br w:type="page"/>
      </w:r>
    </w:p>
    <w:p w14:paraId="2EA6A65E" w14:textId="67072CCE" w:rsidR="001B3C12" w:rsidRPr="00CF3355" w:rsidRDefault="00AC110A" w:rsidP="00960C73">
      <w:pPr>
        <w:jc w:val="center"/>
        <w:rPr>
          <w:rFonts w:ascii="Times New Roman" w:hAnsi="Times New Roman"/>
          <w:b/>
          <w:bCs/>
          <w:sz w:val="24"/>
          <w:szCs w:val="24"/>
          <w:lang w:val="en-US"/>
        </w:rPr>
      </w:pPr>
      <w:r w:rsidRPr="00CF3355">
        <w:rPr>
          <w:rFonts w:ascii="Times New Roman" w:hAnsi="Times New Roman"/>
          <w:noProof/>
          <w:sz w:val="24"/>
          <w:szCs w:val="24"/>
        </w:rPr>
        <w:lastRenderedPageBreak/>
        <w:drawing>
          <wp:inline distT="0" distB="0" distL="0" distR="0" wp14:anchorId="02CE9E57" wp14:editId="6C93C765">
            <wp:extent cx="2146300" cy="2692400"/>
            <wp:effectExtent l="0" t="0" r="6350" b="0"/>
            <wp:docPr id="136930138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46300" cy="2692400"/>
                    </a:xfrm>
                    <a:prstGeom prst="rect">
                      <a:avLst/>
                    </a:prstGeom>
                    <a:noFill/>
                    <a:ln>
                      <a:noFill/>
                    </a:ln>
                  </pic:spPr>
                </pic:pic>
              </a:graphicData>
            </a:graphic>
          </wp:inline>
        </w:drawing>
      </w:r>
    </w:p>
    <w:p w14:paraId="3B9D5247" w14:textId="7F5124D6" w:rsidR="001B3C12" w:rsidRPr="00CF3355" w:rsidRDefault="001B3C12" w:rsidP="00F5227D">
      <w:pPr>
        <w:spacing w:line="480" w:lineRule="auto"/>
        <w:jc w:val="both"/>
        <w:rPr>
          <w:rFonts w:ascii="Times New Roman" w:hAnsi="Times New Roman"/>
          <w:b/>
          <w:bCs/>
          <w:sz w:val="24"/>
          <w:szCs w:val="24"/>
          <w:lang w:val="en-US"/>
        </w:rPr>
      </w:pPr>
      <w:r w:rsidRPr="00CF3355">
        <w:rPr>
          <w:rFonts w:ascii="Times New Roman" w:hAnsi="Times New Roman"/>
          <w:b/>
          <w:bCs/>
          <w:sz w:val="24"/>
          <w:szCs w:val="24"/>
          <w:lang w:val="en-US"/>
        </w:rPr>
        <w:t xml:space="preserve">Fig. S3. </w:t>
      </w:r>
      <w:r w:rsidRPr="00CF3355">
        <w:rPr>
          <w:rFonts w:ascii="Times New Roman" w:hAnsi="Times New Roman"/>
          <w:sz w:val="24"/>
          <w:szCs w:val="24"/>
          <w:lang w:val="en-US"/>
        </w:rPr>
        <w:t>Percentage growth inhibition of algal cells on exposure to metronidazole</w:t>
      </w:r>
      <w:r w:rsidR="00CF3355" w:rsidRPr="00CF3355">
        <w:rPr>
          <w:rFonts w:ascii="Times New Roman" w:hAnsi="Times New Roman"/>
          <w:sz w:val="24"/>
          <w:szCs w:val="24"/>
          <w:lang w:val="en-US"/>
        </w:rPr>
        <w:t xml:space="preserve"> (MET)</w:t>
      </w:r>
      <w:r w:rsidRPr="00CF3355">
        <w:rPr>
          <w:rFonts w:ascii="Times New Roman" w:hAnsi="Times New Roman"/>
          <w:sz w:val="24"/>
          <w:szCs w:val="24"/>
          <w:lang w:val="en-US"/>
        </w:rPr>
        <w:t>, diclofenac</w:t>
      </w:r>
      <w:r w:rsidR="00CF3355" w:rsidRPr="00CF3355">
        <w:rPr>
          <w:rFonts w:ascii="Times New Roman" w:hAnsi="Times New Roman"/>
          <w:sz w:val="24"/>
          <w:szCs w:val="24"/>
          <w:lang w:val="en-US"/>
        </w:rPr>
        <w:t xml:space="preserve"> (DIC)</w:t>
      </w:r>
      <w:r w:rsidRPr="00CF3355">
        <w:rPr>
          <w:rFonts w:ascii="Times New Roman" w:hAnsi="Times New Roman"/>
          <w:sz w:val="24"/>
          <w:szCs w:val="24"/>
          <w:lang w:val="en-US"/>
        </w:rPr>
        <w:t xml:space="preserve"> and ibuprofen</w:t>
      </w:r>
      <w:r w:rsidR="00CF3355" w:rsidRPr="00CF3355">
        <w:rPr>
          <w:rFonts w:ascii="Times New Roman" w:hAnsi="Times New Roman"/>
          <w:sz w:val="24"/>
          <w:szCs w:val="24"/>
          <w:lang w:val="en-US"/>
        </w:rPr>
        <w:t xml:space="preserve"> (IBU)</w:t>
      </w:r>
      <w:r w:rsidRPr="00CF3355">
        <w:rPr>
          <w:rFonts w:ascii="Times New Roman" w:hAnsi="Times New Roman"/>
          <w:sz w:val="24"/>
          <w:szCs w:val="24"/>
          <w:lang w:val="en-US"/>
        </w:rPr>
        <w:t>. Note: ‘*’ represents the significant difference noted between the control and test groups</w:t>
      </w:r>
      <w:r w:rsidR="00F5227D" w:rsidRPr="00CF3355">
        <w:rPr>
          <w:rFonts w:ascii="Times New Roman" w:hAnsi="Times New Roman"/>
          <w:sz w:val="24"/>
          <w:szCs w:val="24"/>
          <w:lang w:val="en-US"/>
        </w:rPr>
        <w:t xml:space="preserve">. </w:t>
      </w:r>
      <w:r w:rsidR="00F5227D" w:rsidRPr="00CF3355">
        <w:rPr>
          <w:rFonts w:ascii="Times New Roman" w:hAnsi="Times New Roman"/>
          <w:sz w:val="24"/>
          <w:szCs w:val="24"/>
        </w:rPr>
        <w:t>The significant difference between the pristine NPs and the binary mixtures of NPs with PPs are represented using ‘α’, and ‘γ’ (α = p &lt; 0.001) and (γ = p</w:t>
      </w:r>
      <w:r w:rsidR="00CF3355" w:rsidRPr="00CF3355">
        <w:rPr>
          <w:rFonts w:ascii="Times New Roman" w:hAnsi="Times New Roman"/>
          <w:sz w:val="24"/>
          <w:szCs w:val="24"/>
        </w:rPr>
        <w:t xml:space="preserve"> &lt;</w:t>
      </w:r>
      <w:r w:rsidR="00F5227D" w:rsidRPr="00CF3355">
        <w:rPr>
          <w:rFonts w:ascii="Times New Roman" w:hAnsi="Times New Roman"/>
          <w:sz w:val="24"/>
          <w:szCs w:val="24"/>
        </w:rPr>
        <w:t xml:space="preserve"> 0.05) </w:t>
      </w:r>
    </w:p>
    <w:p w14:paraId="79F1F095" w14:textId="77777777" w:rsidR="001B3C12" w:rsidRPr="00CF3355" w:rsidRDefault="001B3C12" w:rsidP="00960C73">
      <w:pPr>
        <w:jc w:val="center"/>
        <w:rPr>
          <w:rFonts w:ascii="Times New Roman" w:hAnsi="Times New Roman"/>
          <w:b/>
          <w:bCs/>
          <w:sz w:val="24"/>
          <w:szCs w:val="24"/>
          <w:lang w:val="en-US"/>
        </w:rPr>
      </w:pPr>
    </w:p>
    <w:p w14:paraId="23727848" w14:textId="77777777" w:rsidR="001B3C12" w:rsidRPr="00CF3355" w:rsidRDefault="001B3C12" w:rsidP="00960C73">
      <w:pPr>
        <w:jc w:val="center"/>
        <w:rPr>
          <w:rFonts w:ascii="Times New Roman" w:hAnsi="Times New Roman"/>
          <w:b/>
          <w:bCs/>
          <w:sz w:val="24"/>
          <w:szCs w:val="24"/>
          <w:lang w:val="en-US"/>
        </w:rPr>
      </w:pPr>
    </w:p>
    <w:p w14:paraId="5203B35F" w14:textId="77777777" w:rsidR="001B3C12" w:rsidRPr="00CF3355" w:rsidRDefault="001B3C12" w:rsidP="00960C73">
      <w:pPr>
        <w:jc w:val="center"/>
        <w:rPr>
          <w:rFonts w:ascii="Times New Roman" w:hAnsi="Times New Roman"/>
          <w:b/>
          <w:bCs/>
          <w:sz w:val="24"/>
          <w:szCs w:val="24"/>
          <w:lang w:val="en-US"/>
        </w:rPr>
      </w:pPr>
    </w:p>
    <w:p w14:paraId="27FE8374" w14:textId="77777777" w:rsidR="001B3C12" w:rsidRPr="00CF3355" w:rsidRDefault="001B3C12" w:rsidP="00960C73">
      <w:pPr>
        <w:jc w:val="center"/>
        <w:rPr>
          <w:rFonts w:ascii="Times New Roman" w:hAnsi="Times New Roman"/>
          <w:b/>
          <w:bCs/>
          <w:sz w:val="24"/>
          <w:szCs w:val="24"/>
          <w:lang w:val="en-US"/>
        </w:rPr>
      </w:pPr>
    </w:p>
    <w:p w14:paraId="794B5D95" w14:textId="77777777" w:rsidR="001B3C12" w:rsidRPr="00CF3355" w:rsidRDefault="001B3C12" w:rsidP="00960C73">
      <w:pPr>
        <w:jc w:val="center"/>
        <w:rPr>
          <w:rFonts w:ascii="Times New Roman" w:hAnsi="Times New Roman"/>
          <w:b/>
          <w:bCs/>
          <w:sz w:val="24"/>
          <w:szCs w:val="24"/>
          <w:lang w:val="en-US"/>
        </w:rPr>
      </w:pPr>
    </w:p>
    <w:p w14:paraId="755678FD" w14:textId="77777777" w:rsidR="001B3C12" w:rsidRPr="00CF3355" w:rsidRDefault="001B3C12" w:rsidP="00960C73">
      <w:pPr>
        <w:jc w:val="center"/>
        <w:rPr>
          <w:rFonts w:ascii="Times New Roman" w:hAnsi="Times New Roman"/>
          <w:b/>
          <w:bCs/>
          <w:sz w:val="24"/>
          <w:szCs w:val="24"/>
          <w:lang w:val="en-US"/>
        </w:rPr>
      </w:pPr>
    </w:p>
    <w:p w14:paraId="0A1ECBD7" w14:textId="77777777" w:rsidR="001B3C12" w:rsidRPr="00CF3355" w:rsidRDefault="001B3C12" w:rsidP="00960C73">
      <w:pPr>
        <w:jc w:val="center"/>
        <w:rPr>
          <w:rFonts w:ascii="Times New Roman" w:hAnsi="Times New Roman"/>
          <w:b/>
          <w:bCs/>
          <w:sz w:val="24"/>
          <w:szCs w:val="24"/>
          <w:lang w:val="en-US"/>
        </w:rPr>
      </w:pPr>
    </w:p>
    <w:p w14:paraId="4A42F234" w14:textId="77777777" w:rsidR="001B3C12" w:rsidRPr="00CF3355" w:rsidRDefault="001B3C12" w:rsidP="00960C73">
      <w:pPr>
        <w:jc w:val="center"/>
        <w:rPr>
          <w:rFonts w:ascii="Times New Roman" w:hAnsi="Times New Roman"/>
          <w:b/>
          <w:bCs/>
          <w:sz w:val="24"/>
          <w:szCs w:val="24"/>
          <w:lang w:val="en-US"/>
        </w:rPr>
      </w:pPr>
    </w:p>
    <w:p w14:paraId="4B824A5F" w14:textId="77777777" w:rsidR="001B3C12" w:rsidRPr="00CF3355" w:rsidRDefault="001B3C12" w:rsidP="00960C73">
      <w:pPr>
        <w:jc w:val="center"/>
        <w:rPr>
          <w:rFonts w:ascii="Times New Roman" w:hAnsi="Times New Roman"/>
          <w:b/>
          <w:bCs/>
          <w:sz w:val="24"/>
          <w:szCs w:val="24"/>
          <w:lang w:val="en-US"/>
        </w:rPr>
      </w:pPr>
    </w:p>
    <w:p w14:paraId="2AE0F253" w14:textId="77777777" w:rsidR="001B3C12" w:rsidRPr="00CF3355" w:rsidRDefault="001B3C12" w:rsidP="00960C73">
      <w:pPr>
        <w:jc w:val="center"/>
        <w:rPr>
          <w:rFonts w:ascii="Times New Roman" w:hAnsi="Times New Roman"/>
          <w:b/>
          <w:bCs/>
          <w:sz w:val="24"/>
          <w:szCs w:val="24"/>
          <w:lang w:val="en-US"/>
        </w:rPr>
      </w:pPr>
    </w:p>
    <w:p w14:paraId="7BB1F4C9" w14:textId="77777777" w:rsidR="001B3C12" w:rsidRPr="00CF3355" w:rsidRDefault="001B3C12" w:rsidP="00960C73">
      <w:pPr>
        <w:jc w:val="center"/>
        <w:rPr>
          <w:rFonts w:ascii="Times New Roman" w:hAnsi="Times New Roman"/>
          <w:b/>
          <w:bCs/>
          <w:sz w:val="24"/>
          <w:szCs w:val="24"/>
          <w:lang w:val="en-US"/>
        </w:rPr>
      </w:pPr>
    </w:p>
    <w:p w14:paraId="68C97AF9" w14:textId="77777777" w:rsidR="001B3C12" w:rsidRPr="00CF3355" w:rsidRDefault="001B3C12" w:rsidP="00960C73">
      <w:pPr>
        <w:jc w:val="center"/>
        <w:rPr>
          <w:rFonts w:ascii="Times New Roman" w:hAnsi="Times New Roman"/>
          <w:b/>
          <w:bCs/>
          <w:sz w:val="24"/>
          <w:szCs w:val="24"/>
          <w:lang w:val="en-US"/>
        </w:rPr>
      </w:pPr>
    </w:p>
    <w:p w14:paraId="7A7CB985" w14:textId="77777777" w:rsidR="001B3C12" w:rsidRPr="00CF3355" w:rsidRDefault="001B3C12" w:rsidP="00960C73">
      <w:pPr>
        <w:jc w:val="center"/>
        <w:rPr>
          <w:rFonts w:ascii="Times New Roman" w:hAnsi="Times New Roman"/>
          <w:b/>
          <w:bCs/>
          <w:sz w:val="24"/>
          <w:szCs w:val="24"/>
          <w:lang w:val="en-US"/>
        </w:rPr>
      </w:pPr>
    </w:p>
    <w:p w14:paraId="1E4CD554" w14:textId="77777777" w:rsidR="001B3C12" w:rsidRPr="00CF3355" w:rsidRDefault="001B3C12" w:rsidP="00960C73">
      <w:pPr>
        <w:jc w:val="center"/>
        <w:rPr>
          <w:rFonts w:ascii="Times New Roman" w:hAnsi="Times New Roman"/>
          <w:b/>
          <w:bCs/>
          <w:sz w:val="24"/>
          <w:szCs w:val="24"/>
          <w:lang w:val="en-US"/>
        </w:rPr>
      </w:pPr>
    </w:p>
    <w:p w14:paraId="248FEFA5" w14:textId="77777777" w:rsidR="001B3C12" w:rsidRPr="00CF3355" w:rsidRDefault="001B3C12" w:rsidP="00960C73">
      <w:pPr>
        <w:jc w:val="center"/>
        <w:rPr>
          <w:rFonts w:ascii="Times New Roman" w:hAnsi="Times New Roman"/>
          <w:b/>
          <w:bCs/>
          <w:sz w:val="24"/>
          <w:szCs w:val="24"/>
          <w:lang w:val="en-US"/>
        </w:rPr>
      </w:pPr>
    </w:p>
    <w:p w14:paraId="500E3265" w14:textId="77777777" w:rsidR="001B3C12" w:rsidRPr="00CF3355" w:rsidRDefault="001B3C12" w:rsidP="00960C73">
      <w:pPr>
        <w:jc w:val="center"/>
        <w:rPr>
          <w:rFonts w:ascii="Times New Roman" w:hAnsi="Times New Roman"/>
          <w:b/>
          <w:bCs/>
          <w:sz w:val="24"/>
          <w:szCs w:val="24"/>
          <w:lang w:val="en-US"/>
        </w:rPr>
      </w:pPr>
    </w:p>
    <w:p w14:paraId="4107D277" w14:textId="51E76B58" w:rsidR="001B3C12" w:rsidRPr="00CF3355" w:rsidRDefault="00CF3355" w:rsidP="00960C73">
      <w:pPr>
        <w:jc w:val="center"/>
        <w:rPr>
          <w:rFonts w:ascii="Times New Roman" w:hAnsi="Times New Roman"/>
          <w:b/>
          <w:bCs/>
          <w:sz w:val="24"/>
          <w:szCs w:val="24"/>
          <w:lang w:val="en-US"/>
        </w:rPr>
      </w:pPr>
      <w:r w:rsidRPr="00CF3355">
        <w:rPr>
          <w:rFonts w:ascii="Times New Roman" w:hAnsi="Times New Roman"/>
          <w:sz w:val="24"/>
          <w:szCs w:val="24"/>
        </w:rPr>
        <w:object w:dxaOrig="4128" w:dyaOrig="5131" w14:anchorId="7D3413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6.5pt;height:256.5pt" o:ole="">
            <v:imagedata r:id="rId11" o:title=""/>
          </v:shape>
          <o:OLEObject Type="Embed" ProgID="Prism8.Document" ShapeID="_x0000_i1025" DrawAspect="Content" ObjectID="_1761204460" r:id="rId12"/>
        </w:object>
      </w:r>
    </w:p>
    <w:p w14:paraId="03382BB9" w14:textId="1BF5E2B0" w:rsidR="00F5227D" w:rsidRPr="00CF3355" w:rsidRDefault="00AC110A" w:rsidP="00F5227D">
      <w:pPr>
        <w:spacing w:line="480" w:lineRule="auto"/>
        <w:jc w:val="both"/>
        <w:rPr>
          <w:rFonts w:ascii="Times New Roman" w:hAnsi="Times New Roman"/>
          <w:sz w:val="24"/>
          <w:szCs w:val="24"/>
        </w:rPr>
      </w:pPr>
      <w:r w:rsidRPr="00CF3355">
        <w:rPr>
          <w:rFonts w:ascii="Times New Roman" w:hAnsi="Times New Roman"/>
          <w:b/>
          <w:bCs/>
          <w:sz w:val="24"/>
          <w:szCs w:val="24"/>
          <w:lang w:val="en-US"/>
        </w:rPr>
        <w:t xml:space="preserve">Fig. S4. </w:t>
      </w:r>
      <w:r w:rsidR="00F5227D" w:rsidRPr="00CF3355">
        <w:rPr>
          <w:rFonts w:ascii="Times New Roman" w:hAnsi="Times New Roman"/>
          <w:sz w:val="24"/>
          <w:szCs w:val="24"/>
          <w:lang w:val="en-US"/>
        </w:rPr>
        <w:t>T</w:t>
      </w:r>
      <w:r w:rsidRPr="00CF3355">
        <w:rPr>
          <w:rFonts w:ascii="Times New Roman" w:hAnsi="Times New Roman"/>
          <w:sz w:val="24"/>
          <w:szCs w:val="24"/>
          <w:lang w:val="en-US"/>
        </w:rPr>
        <w:t xml:space="preserve">otal ROS produced on exposure to </w:t>
      </w:r>
      <w:r w:rsidR="00CF3355" w:rsidRPr="00CF3355">
        <w:rPr>
          <w:rFonts w:ascii="Times New Roman" w:hAnsi="Times New Roman"/>
          <w:sz w:val="24"/>
          <w:szCs w:val="24"/>
          <w:lang w:val="en-US"/>
        </w:rPr>
        <w:t>metronidazole (MET), diclofenac (DIC) and ibuprofen (IBU).</w:t>
      </w:r>
      <w:r w:rsidRPr="00CF3355">
        <w:rPr>
          <w:rFonts w:ascii="Times New Roman" w:hAnsi="Times New Roman"/>
          <w:sz w:val="24"/>
          <w:szCs w:val="24"/>
          <w:lang w:val="en-US"/>
        </w:rPr>
        <w:t xml:space="preserve"> </w:t>
      </w:r>
      <w:r w:rsidR="00F5227D" w:rsidRPr="00CF3355">
        <w:rPr>
          <w:rFonts w:ascii="Times New Roman" w:hAnsi="Times New Roman"/>
          <w:sz w:val="24"/>
          <w:szCs w:val="24"/>
        </w:rPr>
        <w:t xml:space="preserve">The ROS generation is presented in RFU (in relative fluorescent units). </w:t>
      </w:r>
      <w:r w:rsidRPr="00CF3355">
        <w:rPr>
          <w:rFonts w:ascii="Times New Roman" w:hAnsi="Times New Roman"/>
          <w:sz w:val="24"/>
          <w:szCs w:val="24"/>
          <w:lang w:val="en-US"/>
        </w:rPr>
        <w:t xml:space="preserve">Note: ‘*’ represents the significant difference noted between the control and test </w:t>
      </w:r>
      <w:r w:rsidR="00F5227D" w:rsidRPr="00CF3355">
        <w:rPr>
          <w:rFonts w:ascii="Times New Roman" w:hAnsi="Times New Roman"/>
          <w:sz w:val="24"/>
          <w:szCs w:val="24"/>
          <w:lang w:val="en-US"/>
        </w:rPr>
        <w:t xml:space="preserve">groups. </w:t>
      </w:r>
      <w:r w:rsidR="00F5227D" w:rsidRPr="00CF3355">
        <w:rPr>
          <w:rFonts w:ascii="Times New Roman" w:hAnsi="Times New Roman"/>
          <w:sz w:val="24"/>
          <w:szCs w:val="24"/>
        </w:rPr>
        <w:t>The symbol ‘δ’ denotes no significance</w:t>
      </w:r>
      <w:r w:rsidR="00CF3355" w:rsidRPr="00CF3355">
        <w:rPr>
          <w:rFonts w:ascii="Times New Roman" w:hAnsi="Times New Roman"/>
          <w:sz w:val="24"/>
          <w:szCs w:val="24"/>
        </w:rPr>
        <w:t xml:space="preserve"> (δ = p &gt; 0.05)</w:t>
      </w:r>
      <w:r w:rsidR="00F5227D" w:rsidRPr="00CF3355">
        <w:rPr>
          <w:rFonts w:ascii="Times New Roman" w:hAnsi="Times New Roman"/>
          <w:sz w:val="24"/>
          <w:szCs w:val="24"/>
        </w:rPr>
        <w:t xml:space="preserve"> </w:t>
      </w:r>
    </w:p>
    <w:p w14:paraId="6B83BFD9" w14:textId="1CF1FA27" w:rsidR="00AC110A" w:rsidRPr="00CF3355" w:rsidRDefault="00AC110A" w:rsidP="00AC110A">
      <w:pPr>
        <w:jc w:val="both"/>
        <w:rPr>
          <w:rFonts w:ascii="Times New Roman" w:hAnsi="Times New Roman"/>
          <w:b/>
          <w:bCs/>
          <w:sz w:val="24"/>
          <w:szCs w:val="24"/>
          <w:lang w:val="en-US"/>
        </w:rPr>
      </w:pPr>
    </w:p>
    <w:p w14:paraId="4057D3D5" w14:textId="77777777" w:rsidR="001B3C12" w:rsidRPr="00CF3355" w:rsidRDefault="001B3C12" w:rsidP="00960C73">
      <w:pPr>
        <w:jc w:val="center"/>
        <w:rPr>
          <w:rFonts w:ascii="Times New Roman" w:hAnsi="Times New Roman"/>
          <w:b/>
          <w:bCs/>
          <w:sz w:val="24"/>
          <w:szCs w:val="24"/>
          <w:lang w:val="en-US"/>
        </w:rPr>
      </w:pPr>
    </w:p>
    <w:p w14:paraId="67865B32" w14:textId="77777777" w:rsidR="001B3C12" w:rsidRPr="00CF3355" w:rsidRDefault="001B3C12" w:rsidP="00960C73">
      <w:pPr>
        <w:jc w:val="center"/>
        <w:rPr>
          <w:rFonts w:ascii="Times New Roman" w:hAnsi="Times New Roman"/>
          <w:b/>
          <w:bCs/>
          <w:sz w:val="24"/>
          <w:szCs w:val="24"/>
          <w:lang w:val="en-US"/>
        </w:rPr>
      </w:pPr>
    </w:p>
    <w:p w14:paraId="58B6DA4C" w14:textId="77777777" w:rsidR="001B3C12" w:rsidRPr="00CF3355" w:rsidRDefault="001B3C12" w:rsidP="00960C73">
      <w:pPr>
        <w:jc w:val="center"/>
        <w:rPr>
          <w:rFonts w:ascii="Times New Roman" w:hAnsi="Times New Roman"/>
          <w:b/>
          <w:bCs/>
          <w:sz w:val="24"/>
          <w:szCs w:val="24"/>
          <w:lang w:val="en-US"/>
        </w:rPr>
      </w:pPr>
    </w:p>
    <w:p w14:paraId="595AB67D" w14:textId="77777777" w:rsidR="001B3C12" w:rsidRPr="00CF3355" w:rsidRDefault="001B3C12" w:rsidP="00960C73">
      <w:pPr>
        <w:jc w:val="center"/>
        <w:rPr>
          <w:rFonts w:ascii="Times New Roman" w:hAnsi="Times New Roman"/>
          <w:b/>
          <w:bCs/>
          <w:sz w:val="24"/>
          <w:szCs w:val="24"/>
          <w:lang w:val="en-US"/>
        </w:rPr>
      </w:pPr>
    </w:p>
    <w:p w14:paraId="14664055" w14:textId="77777777" w:rsidR="001B3C12" w:rsidRPr="00CF3355" w:rsidRDefault="001B3C12" w:rsidP="00960C73">
      <w:pPr>
        <w:jc w:val="center"/>
        <w:rPr>
          <w:rFonts w:ascii="Times New Roman" w:hAnsi="Times New Roman"/>
          <w:b/>
          <w:bCs/>
          <w:sz w:val="24"/>
          <w:szCs w:val="24"/>
          <w:lang w:val="en-US"/>
        </w:rPr>
      </w:pPr>
    </w:p>
    <w:p w14:paraId="7E210677" w14:textId="77777777" w:rsidR="001B3C12" w:rsidRPr="00CF3355" w:rsidRDefault="001B3C12" w:rsidP="00960C73">
      <w:pPr>
        <w:jc w:val="center"/>
        <w:rPr>
          <w:rFonts w:ascii="Times New Roman" w:hAnsi="Times New Roman"/>
          <w:b/>
          <w:bCs/>
          <w:sz w:val="24"/>
          <w:szCs w:val="24"/>
          <w:lang w:val="en-US"/>
        </w:rPr>
      </w:pPr>
    </w:p>
    <w:p w14:paraId="6B7014E6" w14:textId="77777777" w:rsidR="001B3C12" w:rsidRPr="00CF3355" w:rsidRDefault="001B3C12" w:rsidP="00960C73">
      <w:pPr>
        <w:jc w:val="center"/>
        <w:rPr>
          <w:rFonts w:ascii="Times New Roman" w:hAnsi="Times New Roman"/>
          <w:b/>
          <w:bCs/>
          <w:sz w:val="24"/>
          <w:szCs w:val="24"/>
          <w:lang w:val="en-US"/>
        </w:rPr>
      </w:pPr>
    </w:p>
    <w:p w14:paraId="09019F67" w14:textId="1025AED8" w:rsidR="001B3C12" w:rsidRPr="00CF3355" w:rsidRDefault="00CF3355" w:rsidP="00960C73">
      <w:pPr>
        <w:jc w:val="center"/>
        <w:rPr>
          <w:rFonts w:ascii="Times New Roman" w:hAnsi="Times New Roman"/>
          <w:b/>
          <w:bCs/>
          <w:sz w:val="24"/>
          <w:szCs w:val="24"/>
          <w:lang w:val="en-US"/>
        </w:rPr>
      </w:pPr>
      <w:r w:rsidRPr="00CF3355">
        <w:rPr>
          <w:rFonts w:ascii="Times New Roman" w:hAnsi="Times New Roman"/>
          <w:sz w:val="24"/>
          <w:szCs w:val="24"/>
        </w:rPr>
        <w:object w:dxaOrig="4541" w:dyaOrig="5167" w14:anchorId="721E5166">
          <v:shape id="_x0000_i1026" type="#_x0000_t75" style="width:227pt;height:258.5pt" o:ole="">
            <v:imagedata r:id="rId13" o:title=""/>
          </v:shape>
          <o:OLEObject Type="Embed" ProgID="Prism8.Document" ShapeID="_x0000_i1026" DrawAspect="Content" ObjectID="_1761204461" r:id="rId14"/>
        </w:object>
      </w:r>
    </w:p>
    <w:p w14:paraId="07027508" w14:textId="77777777" w:rsidR="001B3C12" w:rsidRPr="00CF3355" w:rsidRDefault="001B3C12" w:rsidP="00960C73">
      <w:pPr>
        <w:jc w:val="center"/>
        <w:rPr>
          <w:rFonts w:ascii="Times New Roman" w:hAnsi="Times New Roman"/>
          <w:b/>
          <w:bCs/>
          <w:sz w:val="24"/>
          <w:szCs w:val="24"/>
          <w:lang w:val="en-US"/>
        </w:rPr>
      </w:pPr>
    </w:p>
    <w:p w14:paraId="6C14F22A" w14:textId="77777777" w:rsidR="001B3C12" w:rsidRPr="00CF3355" w:rsidRDefault="001B3C12" w:rsidP="00CF3355">
      <w:pPr>
        <w:rPr>
          <w:rFonts w:ascii="Times New Roman" w:hAnsi="Times New Roman"/>
          <w:b/>
          <w:bCs/>
          <w:sz w:val="24"/>
          <w:szCs w:val="24"/>
          <w:lang w:val="en-US"/>
        </w:rPr>
      </w:pPr>
    </w:p>
    <w:p w14:paraId="598852B6" w14:textId="7FA65C62" w:rsidR="00CF3355" w:rsidRPr="00CF3355" w:rsidRDefault="00AC110A" w:rsidP="00CF3355">
      <w:pPr>
        <w:spacing w:line="480" w:lineRule="auto"/>
        <w:jc w:val="both"/>
        <w:rPr>
          <w:rFonts w:ascii="Times New Roman" w:hAnsi="Times New Roman"/>
          <w:sz w:val="24"/>
          <w:szCs w:val="24"/>
        </w:rPr>
      </w:pPr>
      <w:r w:rsidRPr="00CF3355">
        <w:rPr>
          <w:rFonts w:ascii="Times New Roman" w:hAnsi="Times New Roman"/>
          <w:b/>
          <w:bCs/>
          <w:sz w:val="24"/>
          <w:szCs w:val="24"/>
          <w:lang w:val="en-US"/>
        </w:rPr>
        <w:t xml:space="preserve">Fig. S5. </w:t>
      </w:r>
      <w:r w:rsidR="00F5227D" w:rsidRPr="00CF3355">
        <w:rPr>
          <w:rFonts w:ascii="Times New Roman" w:hAnsi="Times New Roman"/>
          <w:sz w:val="24"/>
          <w:szCs w:val="24"/>
        </w:rPr>
        <w:t xml:space="preserve">Changes in the MDA content </w:t>
      </w:r>
      <w:r w:rsidRPr="00CF3355">
        <w:rPr>
          <w:rFonts w:ascii="Times New Roman" w:hAnsi="Times New Roman"/>
          <w:sz w:val="24"/>
          <w:szCs w:val="24"/>
          <w:lang w:val="en-US"/>
        </w:rPr>
        <w:t xml:space="preserve">on exposure to </w:t>
      </w:r>
      <w:r w:rsidR="00CF3355" w:rsidRPr="00CF3355">
        <w:rPr>
          <w:rFonts w:ascii="Times New Roman" w:hAnsi="Times New Roman"/>
          <w:sz w:val="24"/>
          <w:szCs w:val="24"/>
          <w:lang w:val="en-US"/>
        </w:rPr>
        <w:t>metronidazole (MET), diclofenac (DIC) and ibuprofen (IBU)</w:t>
      </w:r>
      <w:r w:rsidR="00F5227D" w:rsidRPr="00CF3355">
        <w:rPr>
          <w:rFonts w:ascii="Times New Roman" w:hAnsi="Times New Roman"/>
          <w:sz w:val="24"/>
          <w:szCs w:val="24"/>
        </w:rPr>
        <w:t xml:space="preserve">. </w:t>
      </w:r>
      <w:r w:rsidRPr="00CF3355">
        <w:rPr>
          <w:rFonts w:ascii="Times New Roman" w:hAnsi="Times New Roman"/>
          <w:sz w:val="24"/>
          <w:szCs w:val="24"/>
          <w:lang w:val="en-US"/>
        </w:rPr>
        <w:t xml:space="preserve"> Note: ‘*’ represents the significant difference noted between the control and test groups</w:t>
      </w:r>
      <w:r w:rsidR="00F5227D" w:rsidRPr="00CF3355">
        <w:rPr>
          <w:rFonts w:ascii="Times New Roman" w:hAnsi="Times New Roman"/>
          <w:sz w:val="24"/>
          <w:szCs w:val="24"/>
          <w:lang w:val="en-US"/>
        </w:rPr>
        <w:t xml:space="preserve">. </w:t>
      </w:r>
      <w:r w:rsidR="00F5227D" w:rsidRPr="00CF3355">
        <w:rPr>
          <w:rFonts w:ascii="Times New Roman" w:hAnsi="Times New Roman"/>
          <w:sz w:val="24"/>
          <w:szCs w:val="24"/>
        </w:rPr>
        <w:t xml:space="preserve">The symbol ‘δ’ denotes no significance </w:t>
      </w:r>
      <w:bookmarkStart w:id="1" w:name="OLE_LINK1"/>
      <w:r w:rsidR="00CF3355" w:rsidRPr="00CF3355">
        <w:rPr>
          <w:rFonts w:ascii="Times New Roman" w:hAnsi="Times New Roman"/>
          <w:sz w:val="24"/>
          <w:szCs w:val="24"/>
        </w:rPr>
        <w:t xml:space="preserve">(δ = p &gt; 0.05) </w:t>
      </w:r>
      <w:bookmarkEnd w:id="1"/>
    </w:p>
    <w:p w14:paraId="70943242" w14:textId="5DDA0262" w:rsidR="00F5227D" w:rsidRPr="00CF3355" w:rsidRDefault="00F5227D" w:rsidP="00F5227D">
      <w:pPr>
        <w:spacing w:line="480" w:lineRule="auto"/>
        <w:jc w:val="both"/>
        <w:rPr>
          <w:rFonts w:ascii="Times New Roman" w:hAnsi="Times New Roman"/>
          <w:sz w:val="24"/>
          <w:szCs w:val="24"/>
        </w:rPr>
      </w:pPr>
    </w:p>
    <w:p w14:paraId="4929BB3C" w14:textId="005904D1" w:rsidR="00AC110A" w:rsidRPr="00CF3355" w:rsidRDefault="00AC110A" w:rsidP="00AC110A">
      <w:pPr>
        <w:jc w:val="both"/>
        <w:rPr>
          <w:rFonts w:ascii="Times New Roman" w:hAnsi="Times New Roman"/>
          <w:sz w:val="24"/>
          <w:szCs w:val="24"/>
        </w:rPr>
      </w:pPr>
    </w:p>
    <w:p w14:paraId="2FBABD7A" w14:textId="77777777" w:rsidR="001B3C12" w:rsidRPr="00CF3355" w:rsidRDefault="001B3C12" w:rsidP="00960C73">
      <w:pPr>
        <w:jc w:val="center"/>
        <w:rPr>
          <w:rFonts w:ascii="Times New Roman" w:hAnsi="Times New Roman"/>
          <w:b/>
          <w:bCs/>
          <w:sz w:val="24"/>
          <w:szCs w:val="24"/>
          <w:lang w:val="en-US"/>
        </w:rPr>
      </w:pPr>
    </w:p>
    <w:p w14:paraId="6D0EC727" w14:textId="77777777" w:rsidR="001B3C12" w:rsidRPr="00CF3355" w:rsidRDefault="001B3C12" w:rsidP="00960C73">
      <w:pPr>
        <w:jc w:val="center"/>
        <w:rPr>
          <w:rFonts w:ascii="Times New Roman" w:hAnsi="Times New Roman"/>
          <w:b/>
          <w:bCs/>
          <w:sz w:val="24"/>
          <w:szCs w:val="24"/>
          <w:lang w:val="en-US"/>
        </w:rPr>
      </w:pPr>
    </w:p>
    <w:p w14:paraId="3D389FE6" w14:textId="77777777" w:rsidR="001B3C12" w:rsidRPr="00CF3355" w:rsidRDefault="001B3C12" w:rsidP="00960C73">
      <w:pPr>
        <w:jc w:val="center"/>
        <w:rPr>
          <w:rFonts w:ascii="Times New Roman" w:hAnsi="Times New Roman"/>
          <w:b/>
          <w:bCs/>
          <w:sz w:val="24"/>
          <w:szCs w:val="24"/>
          <w:lang w:val="en-US"/>
        </w:rPr>
      </w:pPr>
    </w:p>
    <w:p w14:paraId="02E4E473" w14:textId="77777777" w:rsidR="001B3C12" w:rsidRPr="00CF3355" w:rsidRDefault="001B3C12" w:rsidP="00960C73">
      <w:pPr>
        <w:jc w:val="center"/>
        <w:rPr>
          <w:rFonts w:ascii="Times New Roman" w:hAnsi="Times New Roman"/>
          <w:b/>
          <w:bCs/>
          <w:sz w:val="24"/>
          <w:szCs w:val="24"/>
          <w:lang w:val="en-US"/>
        </w:rPr>
      </w:pPr>
    </w:p>
    <w:p w14:paraId="65D3A9C1" w14:textId="77777777" w:rsidR="001B3C12" w:rsidRPr="00CF3355" w:rsidRDefault="001B3C12" w:rsidP="00F5227D">
      <w:pPr>
        <w:rPr>
          <w:rFonts w:ascii="Times New Roman" w:hAnsi="Times New Roman"/>
          <w:b/>
          <w:bCs/>
          <w:sz w:val="24"/>
          <w:szCs w:val="24"/>
          <w:lang w:val="en-US"/>
        </w:rPr>
      </w:pPr>
    </w:p>
    <w:p w14:paraId="7E311A89" w14:textId="77777777" w:rsidR="001B3C12" w:rsidRPr="00CF3355" w:rsidRDefault="001B3C12" w:rsidP="00960C73">
      <w:pPr>
        <w:jc w:val="center"/>
        <w:rPr>
          <w:rFonts w:ascii="Times New Roman" w:hAnsi="Times New Roman"/>
          <w:b/>
          <w:bCs/>
          <w:sz w:val="24"/>
          <w:szCs w:val="24"/>
          <w:lang w:val="en-US"/>
        </w:rPr>
      </w:pPr>
    </w:p>
    <w:p w14:paraId="2CD5E3DC" w14:textId="77777777" w:rsidR="001B3C12" w:rsidRPr="00CF3355" w:rsidRDefault="001B3C12" w:rsidP="00960C73">
      <w:pPr>
        <w:jc w:val="center"/>
        <w:rPr>
          <w:rFonts w:ascii="Times New Roman" w:hAnsi="Times New Roman"/>
          <w:b/>
          <w:bCs/>
          <w:sz w:val="24"/>
          <w:szCs w:val="24"/>
          <w:lang w:val="en-US"/>
        </w:rPr>
      </w:pPr>
    </w:p>
    <w:p w14:paraId="414153AD" w14:textId="20ABD76C" w:rsidR="001B3C12" w:rsidRPr="00CF3355" w:rsidRDefault="00CF3355" w:rsidP="00960C73">
      <w:pPr>
        <w:jc w:val="center"/>
        <w:rPr>
          <w:rFonts w:ascii="Times New Roman" w:hAnsi="Times New Roman"/>
          <w:b/>
          <w:bCs/>
          <w:sz w:val="24"/>
          <w:szCs w:val="24"/>
          <w:lang w:val="en-US"/>
        </w:rPr>
      </w:pPr>
      <w:r w:rsidRPr="00CF3355">
        <w:rPr>
          <w:rFonts w:ascii="Times New Roman" w:hAnsi="Times New Roman"/>
          <w:sz w:val="24"/>
          <w:szCs w:val="24"/>
        </w:rPr>
        <w:object w:dxaOrig="11602" w:dyaOrig="6602" w14:anchorId="754098DF">
          <v:shape id="_x0000_i1027" type="#_x0000_t75" style="width:467.5pt;height:266pt" o:ole="">
            <v:imagedata r:id="rId15" o:title=""/>
          </v:shape>
          <o:OLEObject Type="Embed" ProgID="Prism8.Document" ShapeID="_x0000_i1027" DrawAspect="Content" ObjectID="_1761204462" r:id="rId16"/>
        </w:object>
      </w:r>
    </w:p>
    <w:p w14:paraId="12F45063" w14:textId="77777777" w:rsidR="001B3C12" w:rsidRPr="00CF3355" w:rsidRDefault="001B3C12" w:rsidP="00960C73">
      <w:pPr>
        <w:jc w:val="center"/>
        <w:rPr>
          <w:rFonts w:ascii="Times New Roman" w:hAnsi="Times New Roman"/>
          <w:b/>
          <w:bCs/>
          <w:sz w:val="24"/>
          <w:szCs w:val="24"/>
          <w:lang w:val="en-US"/>
        </w:rPr>
      </w:pPr>
    </w:p>
    <w:p w14:paraId="407A8804" w14:textId="27BE2FA4" w:rsidR="00F5227D" w:rsidRPr="00CF3355" w:rsidRDefault="00AC110A" w:rsidP="00F5227D">
      <w:pPr>
        <w:spacing w:line="480" w:lineRule="auto"/>
        <w:jc w:val="both"/>
        <w:rPr>
          <w:rFonts w:ascii="Times New Roman" w:hAnsi="Times New Roman"/>
          <w:sz w:val="24"/>
          <w:szCs w:val="24"/>
        </w:rPr>
      </w:pPr>
      <w:r w:rsidRPr="00CF3355">
        <w:rPr>
          <w:rFonts w:ascii="Times New Roman" w:hAnsi="Times New Roman"/>
          <w:b/>
          <w:bCs/>
          <w:sz w:val="24"/>
          <w:szCs w:val="24"/>
          <w:lang w:val="en-US"/>
        </w:rPr>
        <w:t>Fig. S6. (</w:t>
      </w:r>
      <w:r w:rsidRPr="00CF3355">
        <w:rPr>
          <w:rFonts w:ascii="Times New Roman" w:hAnsi="Times New Roman"/>
          <w:sz w:val="24"/>
          <w:szCs w:val="24"/>
          <w:lang w:val="en-US"/>
        </w:rPr>
        <w:t xml:space="preserve">A) </w:t>
      </w:r>
      <w:r w:rsidR="00F5227D" w:rsidRPr="00CF3355">
        <w:rPr>
          <w:rFonts w:ascii="Times New Roman" w:hAnsi="Times New Roman"/>
          <w:sz w:val="24"/>
          <w:szCs w:val="24"/>
          <w:lang w:val="en-US"/>
        </w:rPr>
        <w:t xml:space="preserve">Changes in the </w:t>
      </w:r>
      <w:r w:rsidRPr="00CF3355">
        <w:rPr>
          <w:rFonts w:ascii="Times New Roman" w:hAnsi="Times New Roman"/>
          <w:sz w:val="24"/>
          <w:szCs w:val="24"/>
          <w:lang w:val="en-US"/>
        </w:rPr>
        <w:t>SOD activity and (B) Catalase activity on exposure to metronidazole</w:t>
      </w:r>
      <w:r w:rsidR="00CF3355" w:rsidRPr="00CF3355">
        <w:rPr>
          <w:rFonts w:ascii="Times New Roman" w:hAnsi="Times New Roman"/>
          <w:sz w:val="24"/>
          <w:szCs w:val="24"/>
          <w:lang w:val="en-US"/>
        </w:rPr>
        <w:t xml:space="preserve"> </w:t>
      </w:r>
      <w:bookmarkStart w:id="2" w:name="OLE_LINK2"/>
      <w:r w:rsidR="00CF3355" w:rsidRPr="00CF3355">
        <w:rPr>
          <w:rFonts w:ascii="Times New Roman" w:hAnsi="Times New Roman"/>
          <w:sz w:val="24"/>
          <w:szCs w:val="24"/>
          <w:lang w:val="en-US"/>
        </w:rPr>
        <w:t>(MET)</w:t>
      </w:r>
      <w:r w:rsidRPr="00CF3355">
        <w:rPr>
          <w:rFonts w:ascii="Times New Roman" w:hAnsi="Times New Roman"/>
          <w:sz w:val="24"/>
          <w:szCs w:val="24"/>
          <w:lang w:val="en-US"/>
        </w:rPr>
        <w:t>, diclofenac</w:t>
      </w:r>
      <w:r w:rsidR="00CF3355" w:rsidRPr="00CF3355">
        <w:rPr>
          <w:rFonts w:ascii="Times New Roman" w:hAnsi="Times New Roman"/>
          <w:sz w:val="24"/>
          <w:szCs w:val="24"/>
          <w:lang w:val="en-US"/>
        </w:rPr>
        <w:t xml:space="preserve"> (DIC) </w:t>
      </w:r>
      <w:r w:rsidRPr="00CF3355">
        <w:rPr>
          <w:rFonts w:ascii="Times New Roman" w:hAnsi="Times New Roman"/>
          <w:sz w:val="24"/>
          <w:szCs w:val="24"/>
          <w:lang w:val="en-US"/>
        </w:rPr>
        <w:t>and ibuprofen</w:t>
      </w:r>
      <w:r w:rsidR="00CF3355" w:rsidRPr="00CF3355">
        <w:rPr>
          <w:rFonts w:ascii="Times New Roman" w:hAnsi="Times New Roman"/>
          <w:sz w:val="24"/>
          <w:szCs w:val="24"/>
          <w:lang w:val="en-US"/>
        </w:rPr>
        <w:t xml:space="preserve"> (IBU)</w:t>
      </w:r>
      <w:r w:rsidRPr="00CF3355">
        <w:rPr>
          <w:rFonts w:ascii="Times New Roman" w:hAnsi="Times New Roman"/>
          <w:sz w:val="24"/>
          <w:szCs w:val="24"/>
          <w:lang w:val="en-US"/>
        </w:rPr>
        <w:t xml:space="preserve">. </w:t>
      </w:r>
      <w:bookmarkEnd w:id="2"/>
      <w:r w:rsidRPr="00CF3355">
        <w:rPr>
          <w:rFonts w:ascii="Times New Roman" w:hAnsi="Times New Roman"/>
          <w:sz w:val="24"/>
          <w:szCs w:val="24"/>
          <w:lang w:val="en-US"/>
        </w:rPr>
        <w:t>Note: ‘*’ represents the significant difference noted between the control and test groups</w:t>
      </w:r>
      <w:r w:rsidR="00F5227D" w:rsidRPr="00CF3355">
        <w:rPr>
          <w:rFonts w:ascii="Times New Roman" w:hAnsi="Times New Roman"/>
          <w:sz w:val="24"/>
          <w:szCs w:val="24"/>
          <w:lang w:val="en-US"/>
        </w:rPr>
        <w:t xml:space="preserve">. </w:t>
      </w:r>
      <w:r w:rsidR="00F5227D" w:rsidRPr="00CF3355">
        <w:rPr>
          <w:rFonts w:ascii="Times New Roman" w:hAnsi="Times New Roman"/>
          <w:sz w:val="24"/>
          <w:szCs w:val="24"/>
        </w:rPr>
        <w:t>The significant difference between the pristine NPs and the binary mixtures of NPs with PPs are represented using ‘α’, ‘β’ and δ (α = p &lt; 0.001), (β = p &lt; 0.001   and ‘δ’ denotes no significance</w:t>
      </w:r>
      <w:r w:rsidR="00CF3355" w:rsidRPr="00CF3355">
        <w:rPr>
          <w:rFonts w:ascii="Times New Roman" w:hAnsi="Times New Roman"/>
          <w:sz w:val="24"/>
          <w:szCs w:val="24"/>
        </w:rPr>
        <w:t xml:space="preserve"> (δ = p &gt; 0.05)</w:t>
      </w:r>
    </w:p>
    <w:p w14:paraId="24668A54" w14:textId="37C0D526" w:rsidR="00AC110A" w:rsidRPr="00CF3355" w:rsidRDefault="00AC110A" w:rsidP="00AC110A">
      <w:pPr>
        <w:jc w:val="both"/>
        <w:rPr>
          <w:rFonts w:ascii="Times New Roman" w:hAnsi="Times New Roman"/>
          <w:b/>
          <w:bCs/>
          <w:sz w:val="24"/>
          <w:szCs w:val="24"/>
          <w:lang w:val="en-US"/>
        </w:rPr>
      </w:pPr>
      <w:r w:rsidRPr="00CF3355">
        <w:rPr>
          <w:rFonts w:ascii="Times New Roman" w:hAnsi="Times New Roman"/>
          <w:b/>
          <w:bCs/>
          <w:sz w:val="24"/>
          <w:szCs w:val="24"/>
          <w:lang w:val="en-US"/>
        </w:rPr>
        <w:t xml:space="preserve"> </w:t>
      </w:r>
    </w:p>
    <w:p w14:paraId="7BDB8FC5" w14:textId="77777777" w:rsidR="001B3C12" w:rsidRPr="00CF3355" w:rsidRDefault="001B3C12" w:rsidP="00960C73">
      <w:pPr>
        <w:jc w:val="center"/>
        <w:rPr>
          <w:rFonts w:ascii="Times New Roman" w:hAnsi="Times New Roman"/>
          <w:b/>
          <w:bCs/>
          <w:sz w:val="24"/>
          <w:szCs w:val="24"/>
          <w:lang w:val="en-US"/>
        </w:rPr>
      </w:pPr>
    </w:p>
    <w:p w14:paraId="5295EC35" w14:textId="77777777" w:rsidR="001B3C12" w:rsidRPr="00CF3355" w:rsidRDefault="001B3C12" w:rsidP="00960C73">
      <w:pPr>
        <w:jc w:val="center"/>
        <w:rPr>
          <w:rFonts w:ascii="Times New Roman" w:hAnsi="Times New Roman"/>
          <w:b/>
          <w:bCs/>
          <w:sz w:val="24"/>
          <w:szCs w:val="24"/>
          <w:lang w:val="en-US"/>
        </w:rPr>
      </w:pPr>
    </w:p>
    <w:p w14:paraId="26196E35" w14:textId="77777777" w:rsidR="001B3C12" w:rsidRPr="00CF3355" w:rsidRDefault="001B3C12" w:rsidP="00960C73">
      <w:pPr>
        <w:jc w:val="center"/>
        <w:rPr>
          <w:rFonts w:ascii="Times New Roman" w:hAnsi="Times New Roman"/>
          <w:b/>
          <w:bCs/>
          <w:sz w:val="24"/>
          <w:szCs w:val="24"/>
          <w:lang w:val="en-US"/>
        </w:rPr>
      </w:pPr>
    </w:p>
    <w:p w14:paraId="1B61D67F" w14:textId="77777777" w:rsidR="001B3C12" w:rsidRPr="00CF3355" w:rsidRDefault="001B3C12" w:rsidP="00960C73">
      <w:pPr>
        <w:jc w:val="center"/>
        <w:rPr>
          <w:rFonts w:ascii="Times New Roman" w:hAnsi="Times New Roman"/>
          <w:b/>
          <w:bCs/>
          <w:sz w:val="24"/>
          <w:szCs w:val="24"/>
          <w:lang w:val="en-US"/>
        </w:rPr>
      </w:pPr>
    </w:p>
    <w:p w14:paraId="0FE331B8" w14:textId="77777777" w:rsidR="001B3C12" w:rsidRPr="00CF3355" w:rsidRDefault="001B3C12" w:rsidP="00960C73">
      <w:pPr>
        <w:jc w:val="center"/>
        <w:rPr>
          <w:rFonts w:ascii="Times New Roman" w:hAnsi="Times New Roman"/>
          <w:b/>
          <w:bCs/>
          <w:sz w:val="24"/>
          <w:szCs w:val="24"/>
          <w:lang w:val="en-US"/>
        </w:rPr>
      </w:pPr>
    </w:p>
    <w:p w14:paraId="2D4A9180" w14:textId="77777777" w:rsidR="001B3C12" w:rsidRPr="00CF3355" w:rsidRDefault="001B3C12" w:rsidP="00F5227D">
      <w:pPr>
        <w:rPr>
          <w:rFonts w:ascii="Times New Roman" w:hAnsi="Times New Roman"/>
          <w:b/>
          <w:bCs/>
          <w:sz w:val="24"/>
          <w:szCs w:val="24"/>
          <w:lang w:val="en-US"/>
        </w:rPr>
      </w:pPr>
    </w:p>
    <w:p w14:paraId="7E59C808" w14:textId="77777777" w:rsidR="001B3C12" w:rsidRPr="00CF3355" w:rsidRDefault="001B3C12" w:rsidP="00F5227D">
      <w:pPr>
        <w:rPr>
          <w:rFonts w:ascii="Times New Roman" w:hAnsi="Times New Roman"/>
          <w:b/>
          <w:bCs/>
          <w:sz w:val="24"/>
          <w:szCs w:val="24"/>
          <w:lang w:val="en-US"/>
        </w:rPr>
      </w:pPr>
    </w:p>
    <w:p w14:paraId="3C961983" w14:textId="77777777" w:rsidR="001B3C12" w:rsidRPr="00CF3355" w:rsidRDefault="001B3C12" w:rsidP="00960C73">
      <w:pPr>
        <w:jc w:val="center"/>
        <w:rPr>
          <w:rFonts w:ascii="Times New Roman" w:hAnsi="Times New Roman"/>
          <w:b/>
          <w:bCs/>
          <w:sz w:val="24"/>
          <w:szCs w:val="24"/>
          <w:lang w:val="en-US"/>
        </w:rPr>
      </w:pPr>
    </w:p>
    <w:p w14:paraId="5218B685" w14:textId="4F5509A1" w:rsidR="001B3C12" w:rsidRPr="00CF3355" w:rsidRDefault="001B3C12" w:rsidP="00960C73">
      <w:pPr>
        <w:jc w:val="center"/>
        <w:rPr>
          <w:rFonts w:ascii="Times New Roman" w:hAnsi="Times New Roman"/>
          <w:b/>
          <w:bCs/>
          <w:sz w:val="24"/>
          <w:szCs w:val="24"/>
          <w:lang w:val="en-US"/>
        </w:rPr>
      </w:pPr>
      <w:r w:rsidRPr="00CF3355">
        <w:rPr>
          <w:rFonts w:ascii="Times New Roman" w:hAnsi="Times New Roman"/>
          <w:noProof/>
          <w:sz w:val="24"/>
          <w:szCs w:val="24"/>
        </w:rPr>
        <w:lastRenderedPageBreak/>
        <w:drawing>
          <wp:inline distT="0" distB="0" distL="0" distR="0" wp14:anchorId="11C7D2B3" wp14:editId="660B8FDF">
            <wp:extent cx="5943600" cy="3293745"/>
            <wp:effectExtent l="0" t="0" r="0" b="1905"/>
            <wp:docPr id="6464572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3293745"/>
                    </a:xfrm>
                    <a:prstGeom prst="rect">
                      <a:avLst/>
                    </a:prstGeom>
                    <a:noFill/>
                    <a:ln>
                      <a:noFill/>
                    </a:ln>
                  </pic:spPr>
                </pic:pic>
              </a:graphicData>
            </a:graphic>
          </wp:inline>
        </w:drawing>
      </w:r>
    </w:p>
    <w:p w14:paraId="46B48C82" w14:textId="77777777" w:rsidR="001B3C12" w:rsidRPr="00CF3355" w:rsidRDefault="001B3C12" w:rsidP="00960C73">
      <w:pPr>
        <w:jc w:val="center"/>
        <w:rPr>
          <w:rFonts w:ascii="Times New Roman" w:hAnsi="Times New Roman"/>
          <w:b/>
          <w:bCs/>
          <w:sz w:val="24"/>
          <w:szCs w:val="24"/>
          <w:lang w:val="en-US"/>
        </w:rPr>
      </w:pPr>
    </w:p>
    <w:p w14:paraId="19776064" w14:textId="3ED141EA" w:rsidR="00F5227D" w:rsidRPr="00CF3355" w:rsidRDefault="00AC110A" w:rsidP="00F5227D">
      <w:pPr>
        <w:spacing w:line="480" w:lineRule="auto"/>
        <w:jc w:val="both"/>
        <w:rPr>
          <w:rFonts w:ascii="Times New Roman" w:hAnsi="Times New Roman"/>
          <w:sz w:val="24"/>
          <w:szCs w:val="24"/>
        </w:rPr>
      </w:pPr>
      <w:r w:rsidRPr="00CF3355">
        <w:rPr>
          <w:rFonts w:ascii="Times New Roman" w:hAnsi="Times New Roman"/>
          <w:b/>
          <w:bCs/>
          <w:sz w:val="24"/>
          <w:szCs w:val="24"/>
          <w:lang w:val="en-US"/>
        </w:rPr>
        <w:t>Fig. S</w:t>
      </w:r>
      <w:r w:rsidR="00F5227D" w:rsidRPr="00CF3355">
        <w:rPr>
          <w:rFonts w:ascii="Times New Roman" w:hAnsi="Times New Roman"/>
          <w:b/>
          <w:bCs/>
          <w:sz w:val="24"/>
          <w:szCs w:val="24"/>
          <w:lang w:val="en-US"/>
        </w:rPr>
        <w:t>7</w:t>
      </w:r>
      <w:r w:rsidRPr="00CF3355">
        <w:rPr>
          <w:rFonts w:ascii="Times New Roman" w:hAnsi="Times New Roman"/>
          <w:b/>
          <w:bCs/>
          <w:sz w:val="24"/>
          <w:szCs w:val="24"/>
          <w:lang w:val="en-US"/>
        </w:rPr>
        <w:t xml:space="preserve">. </w:t>
      </w:r>
      <w:r w:rsidR="00F5227D" w:rsidRPr="00CF3355">
        <w:rPr>
          <w:rFonts w:ascii="Times New Roman" w:hAnsi="Times New Roman"/>
          <w:sz w:val="24"/>
          <w:szCs w:val="24"/>
          <w:lang w:val="en-US"/>
        </w:rPr>
        <w:t xml:space="preserve">(A) </w:t>
      </w:r>
      <w:r w:rsidRPr="00CF3355">
        <w:rPr>
          <w:rFonts w:ascii="Times New Roman" w:hAnsi="Times New Roman"/>
          <w:sz w:val="24"/>
          <w:szCs w:val="24"/>
          <w:lang w:val="en-US"/>
        </w:rPr>
        <w:t>Percentage</w:t>
      </w:r>
      <w:r w:rsidR="00F5227D" w:rsidRPr="00CF3355">
        <w:rPr>
          <w:rFonts w:ascii="Times New Roman" w:hAnsi="Times New Roman"/>
          <w:sz w:val="24"/>
          <w:szCs w:val="24"/>
          <w:lang w:val="en-US"/>
        </w:rPr>
        <w:t xml:space="preserve"> of maximum quantum yield of PS II (B) </w:t>
      </w:r>
      <w:r w:rsidR="00F5227D" w:rsidRPr="00CF3355">
        <w:rPr>
          <w:rFonts w:ascii="Times New Roman" w:hAnsi="Times New Roman"/>
          <w:sz w:val="24"/>
          <w:szCs w:val="24"/>
        </w:rPr>
        <w:t xml:space="preserve">electron transport rate in </w:t>
      </w:r>
      <w:r w:rsidRPr="00CF3355">
        <w:rPr>
          <w:rFonts w:ascii="Times New Roman" w:hAnsi="Times New Roman"/>
          <w:sz w:val="24"/>
          <w:szCs w:val="24"/>
          <w:lang w:val="en-US"/>
        </w:rPr>
        <w:t>algal cells on exposure to metronidazole</w:t>
      </w:r>
      <w:r w:rsidR="00CF3355" w:rsidRPr="00CF3355">
        <w:rPr>
          <w:rFonts w:ascii="Times New Roman" w:hAnsi="Times New Roman"/>
          <w:sz w:val="24"/>
          <w:szCs w:val="24"/>
          <w:lang w:val="en-US"/>
        </w:rPr>
        <w:t xml:space="preserve"> (MET), diclofenac (DIC) and ibuprofen (IBU).</w:t>
      </w:r>
      <w:r w:rsidRPr="00CF3355">
        <w:rPr>
          <w:rFonts w:ascii="Times New Roman" w:hAnsi="Times New Roman"/>
          <w:sz w:val="24"/>
          <w:szCs w:val="24"/>
          <w:lang w:val="en-US"/>
        </w:rPr>
        <w:t xml:space="preserve"> Note: ‘*’ represents the significant difference noted between the control and test groups</w:t>
      </w:r>
      <w:r w:rsidR="00F5227D" w:rsidRPr="00CF3355">
        <w:rPr>
          <w:rFonts w:ascii="Times New Roman" w:hAnsi="Times New Roman"/>
          <w:sz w:val="24"/>
          <w:szCs w:val="24"/>
          <w:lang w:val="en-US"/>
        </w:rPr>
        <w:t xml:space="preserve">. </w:t>
      </w:r>
      <w:r w:rsidR="00F5227D" w:rsidRPr="00CF3355">
        <w:rPr>
          <w:rFonts w:ascii="Times New Roman" w:hAnsi="Times New Roman"/>
          <w:sz w:val="24"/>
          <w:szCs w:val="24"/>
        </w:rPr>
        <w:t xml:space="preserve">The significant difference between the pristine NPs and the binary mixtures of NPs with PPs are represented using ‘α’, ‘β’, ‘γ ‘and δ (α = p &lt; 0.001), (β = p &lt; 0.01), (γ = p &gt; 0.05) and ‘δ’ denotes no significance </w:t>
      </w:r>
      <w:r w:rsidR="00CF3355" w:rsidRPr="00CF3355">
        <w:rPr>
          <w:rFonts w:ascii="Times New Roman" w:hAnsi="Times New Roman"/>
          <w:sz w:val="24"/>
          <w:szCs w:val="24"/>
        </w:rPr>
        <w:t>(δ = p &gt; 0.05)</w:t>
      </w:r>
    </w:p>
    <w:p w14:paraId="1AE20984" w14:textId="13B9A3D0" w:rsidR="00AC110A" w:rsidRPr="00CF3355" w:rsidRDefault="00AC110A" w:rsidP="00AC110A">
      <w:pPr>
        <w:jc w:val="both"/>
        <w:rPr>
          <w:rFonts w:ascii="Times New Roman" w:hAnsi="Times New Roman"/>
          <w:b/>
          <w:bCs/>
          <w:sz w:val="24"/>
          <w:szCs w:val="24"/>
          <w:lang w:val="en-US"/>
        </w:rPr>
      </w:pPr>
      <w:r w:rsidRPr="00CF3355">
        <w:rPr>
          <w:rFonts w:ascii="Times New Roman" w:hAnsi="Times New Roman"/>
          <w:b/>
          <w:bCs/>
          <w:sz w:val="24"/>
          <w:szCs w:val="24"/>
          <w:lang w:val="en-US"/>
        </w:rPr>
        <w:t xml:space="preserve"> </w:t>
      </w:r>
    </w:p>
    <w:p w14:paraId="047ED6E1" w14:textId="77777777" w:rsidR="001B3C12" w:rsidRPr="00CF3355" w:rsidRDefault="001B3C12" w:rsidP="00960C73">
      <w:pPr>
        <w:jc w:val="center"/>
        <w:rPr>
          <w:rFonts w:ascii="Times New Roman" w:hAnsi="Times New Roman"/>
          <w:b/>
          <w:bCs/>
          <w:sz w:val="24"/>
          <w:szCs w:val="24"/>
          <w:lang w:val="en-US"/>
        </w:rPr>
      </w:pPr>
    </w:p>
    <w:p w14:paraId="34485613" w14:textId="77777777" w:rsidR="001B3C12" w:rsidRPr="00CF3355" w:rsidRDefault="001B3C12" w:rsidP="00960C73">
      <w:pPr>
        <w:jc w:val="center"/>
        <w:rPr>
          <w:rFonts w:ascii="Times New Roman" w:hAnsi="Times New Roman"/>
          <w:b/>
          <w:bCs/>
          <w:sz w:val="24"/>
          <w:szCs w:val="24"/>
          <w:lang w:val="en-US"/>
        </w:rPr>
      </w:pPr>
    </w:p>
    <w:p w14:paraId="638C8F71" w14:textId="77777777" w:rsidR="001B3C12" w:rsidRPr="00CF3355" w:rsidRDefault="001B3C12" w:rsidP="00960C73">
      <w:pPr>
        <w:jc w:val="center"/>
        <w:rPr>
          <w:rFonts w:ascii="Times New Roman" w:hAnsi="Times New Roman"/>
          <w:b/>
          <w:bCs/>
          <w:sz w:val="24"/>
          <w:szCs w:val="24"/>
          <w:lang w:val="en-US"/>
        </w:rPr>
      </w:pPr>
    </w:p>
    <w:p w14:paraId="0451A0F5" w14:textId="77777777" w:rsidR="001B3C12" w:rsidRPr="00CF3355" w:rsidRDefault="001B3C12" w:rsidP="00960C73">
      <w:pPr>
        <w:jc w:val="center"/>
        <w:rPr>
          <w:rFonts w:ascii="Times New Roman" w:hAnsi="Times New Roman"/>
          <w:b/>
          <w:bCs/>
          <w:sz w:val="24"/>
          <w:szCs w:val="24"/>
          <w:lang w:val="en-US"/>
        </w:rPr>
      </w:pPr>
    </w:p>
    <w:p w14:paraId="56FD19C3" w14:textId="77777777" w:rsidR="001B3C12" w:rsidRPr="00CF3355" w:rsidRDefault="001B3C12" w:rsidP="00960C73">
      <w:pPr>
        <w:jc w:val="center"/>
        <w:rPr>
          <w:rFonts w:ascii="Times New Roman" w:hAnsi="Times New Roman"/>
          <w:b/>
          <w:bCs/>
          <w:sz w:val="24"/>
          <w:szCs w:val="24"/>
          <w:lang w:val="en-US"/>
        </w:rPr>
      </w:pPr>
    </w:p>
    <w:p w14:paraId="09C4534E" w14:textId="77777777" w:rsidR="001B3C12" w:rsidRPr="00CF3355" w:rsidRDefault="001B3C12" w:rsidP="00960C73">
      <w:pPr>
        <w:jc w:val="center"/>
        <w:rPr>
          <w:rFonts w:ascii="Times New Roman" w:hAnsi="Times New Roman"/>
          <w:b/>
          <w:bCs/>
          <w:sz w:val="24"/>
          <w:szCs w:val="24"/>
          <w:lang w:val="en-US"/>
        </w:rPr>
      </w:pPr>
    </w:p>
    <w:p w14:paraId="24BFD210" w14:textId="77777777" w:rsidR="00F5227D" w:rsidRPr="00CF3355" w:rsidRDefault="00F5227D" w:rsidP="00F5227D">
      <w:pPr>
        <w:rPr>
          <w:rFonts w:ascii="Times New Roman" w:hAnsi="Times New Roman"/>
          <w:b/>
          <w:bCs/>
          <w:sz w:val="24"/>
          <w:szCs w:val="24"/>
          <w:lang w:val="en-US"/>
        </w:rPr>
      </w:pPr>
    </w:p>
    <w:p w14:paraId="2BE566F9" w14:textId="77777777" w:rsidR="00F5227D" w:rsidRPr="00CF3355" w:rsidRDefault="00F5227D" w:rsidP="00F5227D">
      <w:pPr>
        <w:rPr>
          <w:rFonts w:ascii="Times New Roman" w:hAnsi="Times New Roman"/>
          <w:b/>
          <w:bCs/>
          <w:sz w:val="24"/>
          <w:szCs w:val="24"/>
          <w:lang w:val="en-US"/>
        </w:rPr>
      </w:pPr>
    </w:p>
    <w:p w14:paraId="1C932ED0" w14:textId="6B475DC6" w:rsidR="001B3C12" w:rsidRPr="00CF3355" w:rsidRDefault="00F5227D" w:rsidP="00F5227D">
      <w:pPr>
        <w:rPr>
          <w:rFonts w:ascii="Times New Roman" w:hAnsi="Times New Roman"/>
          <w:b/>
          <w:bCs/>
          <w:sz w:val="24"/>
          <w:szCs w:val="24"/>
          <w:lang w:val="en-US"/>
        </w:rPr>
      </w:pPr>
      <w:r w:rsidRPr="00CF3355">
        <w:rPr>
          <w:rFonts w:ascii="Times New Roman" w:hAnsi="Times New Roman"/>
          <w:b/>
          <w:bCs/>
          <w:sz w:val="24"/>
          <w:szCs w:val="24"/>
          <w:lang w:val="en-US"/>
        </w:rPr>
        <w:t xml:space="preserve">References </w:t>
      </w:r>
    </w:p>
    <w:p w14:paraId="699A3B69" w14:textId="77777777" w:rsidR="001B3C12" w:rsidRPr="00CF3355" w:rsidRDefault="001B3C12" w:rsidP="00960C73">
      <w:pPr>
        <w:jc w:val="center"/>
        <w:rPr>
          <w:rFonts w:ascii="Times New Roman" w:hAnsi="Times New Roman"/>
          <w:b/>
          <w:bCs/>
          <w:sz w:val="24"/>
          <w:szCs w:val="24"/>
          <w:lang w:val="en-US"/>
        </w:rPr>
      </w:pPr>
    </w:p>
    <w:sdt>
      <w:sdtPr>
        <w:rPr>
          <w:rFonts w:ascii="Times New Roman" w:hAnsi="Times New Roman"/>
          <w:b/>
          <w:bCs/>
          <w:sz w:val="24"/>
          <w:szCs w:val="24"/>
          <w:lang w:val="en-US"/>
        </w:rPr>
        <w:tag w:val="MENDELEY_BIBLIOGRAPHY"/>
        <w:id w:val="1783604918"/>
        <w:placeholder>
          <w:docPart w:val="DefaultPlaceholder_-1854013440"/>
        </w:placeholder>
      </w:sdtPr>
      <w:sdtContent>
        <w:p w14:paraId="6F79E17C" w14:textId="77777777" w:rsidR="00B03777" w:rsidRDefault="00B03777">
          <w:pPr>
            <w:autoSpaceDE w:val="0"/>
            <w:autoSpaceDN w:val="0"/>
            <w:ind w:hanging="480"/>
            <w:divId w:val="263879365"/>
            <w:rPr>
              <w:rFonts w:eastAsia="Times New Roman"/>
              <w:sz w:val="24"/>
              <w:szCs w:val="24"/>
            </w:rPr>
          </w:pPr>
          <w:r>
            <w:rPr>
              <w:rFonts w:eastAsia="Times New Roman"/>
            </w:rPr>
            <w:t xml:space="preserve">Ahmed-Anwar, A. A., Mohamed, M. A., Farghali, A. A., Mahmoud, R., &amp; Hassouna, M. E. M. (2023). Green UPLC method for estimation of ciprofloxacin, diclofenac sodium, and ibuprofen with application to pharmacokinetic study of human samples. </w:t>
          </w:r>
          <w:r>
            <w:rPr>
              <w:rFonts w:eastAsia="Times New Roman"/>
              <w:i/>
              <w:iCs/>
            </w:rPr>
            <w:t>Scientific Reports</w:t>
          </w:r>
          <w:r>
            <w:rPr>
              <w:rFonts w:eastAsia="Times New Roman"/>
            </w:rPr>
            <w:t xml:space="preserve">, </w:t>
          </w:r>
          <w:r>
            <w:rPr>
              <w:rFonts w:eastAsia="Times New Roman"/>
              <w:i/>
              <w:iCs/>
            </w:rPr>
            <w:t>13</w:t>
          </w:r>
          <w:r>
            <w:rPr>
              <w:rFonts w:eastAsia="Times New Roman"/>
            </w:rPr>
            <w:t>(1), 17613. https://doi.org/10.1038/s41598-023-44846-5</w:t>
          </w:r>
        </w:p>
        <w:p w14:paraId="31CC5134" w14:textId="77777777" w:rsidR="00B03777" w:rsidRDefault="00B03777">
          <w:pPr>
            <w:autoSpaceDE w:val="0"/>
            <w:autoSpaceDN w:val="0"/>
            <w:ind w:hanging="480"/>
            <w:divId w:val="209461052"/>
            <w:rPr>
              <w:rFonts w:eastAsia="Times New Roman"/>
            </w:rPr>
          </w:pPr>
          <w:r>
            <w:rPr>
              <w:rFonts w:eastAsia="Times New Roman"/>
            </w:rPr>
            <w:t xml:space="preserve">Das, S., Thiagarajan, V., Chandrasekaran, N., Ravindran, B., &amp; Mukherjee, A. (2022). Nanoplastics enhance the toxic effects of titanium dioxide nanoparticle in freshwater algae Scenedesmus obliquus. </w:t>
          </w:r>
          <w:r>
            <w:rPr>
              <w:rFonts w:eastAsia="Times New Roman"/>
              <w:i/>
              <w:iCs/>
            </w:rPr>
            <w:t>Comparative Biochemistry and Physiology Part C: Toxicology &amp; Pharmacology</w:t>
          </w:r>
          <w:r>
            <w:rPr>
              <w:rFonts w:eastAsia="Times New Roman"/>
            </w:rPr>
            <w:t xml:space="preserve">, </w:t>
          </w:r>
          <w:r>
            <w:rPr>
              <w:rFonts w:eastAsia="Times New Roman"/>
              <w:i/>
              <w:iCs/>
            </w:rPr>
            <w:t>256</w:t>
          </w:r>
          <w:r>
            <w:rPr>
              <w:rFonts w:eastAsia="Times New Roman"/>
            </w:rPr>
            <w:t>, 109305. https://doi.org/10.1016/J.CBPC.2022.109305</w:t>
          </w:r>
        </w:p>
        <w:p w14:paraId="0653F4D0" w14:textId="77777777" w:rsidR="00B03777" w:rsidRDefault="00B03777">
          <w:pPr>
            <w:autoSpaceDE w:val="0"/>
            <w:autoSpaceDN w:val="0"/>
            <w:ind w:hanging="480"/>
            <w:divId w:val="1274438796"/>
            <w:rPr>
              <w:rFonts w:eastAsia="Times New Roman"/>
            </w:rPr>
          </w:pPr>
          <w:r>
            <w:rPr>
              <w:rFonts w:eastAsia="Times New Roman"/>
            </w:rPr>
            <w:t xml:space="preserve">Elzayat, E. M., Ibrahim, M. F., Abdel-Rahman, A. A., Ahmed, S. M., Alanazi, F. K., &amp; Habib, W. A. (2017). A validated stability-indicating UPLC method for determination of diclofenac sodium in its pure form and matrix formulations. </w:t>
          </w:r>
          <w:r>
            <w:rPr>
              <w:rFonts w:eastAsia="Times New Roman"/>
              <w:i/>
              <w:iCs/>
            </w:rPr>
            <w:t>Arabian Journal of Chemistry</w:t>
          </w:r>
          <w:r>
            <w:rPr>
              <w:rFonts w:eastAsia="Times New Roman"/>
            </w:rPr>
            <w:t xml:space="preserve">, </w:t>
          </w:r>
          <w:r>
            <w:rPr>
              <w:rFonts w:eastAsia="Times New Roman"/>
              <w:i/>
              <w:iCs/>
            </w:rPr>
            <w:t>10</w:t>
          </w:r>
          <w:r>
            <w:rPr>
              <w:rFonts w:eastAsia="Times New Roman"/>
            </w:rPr>
            <w:t>, S3245–S3254. https://doi.org/https://doi.org/10.1016/j.arabjc.2013.12.022</w:t>
          </w:r>
        </w:p>
        <w:p w14:paraId="5DE37686" w14:textId="77777777" w:rsidR="00B03777" w:rsidRDefault="00B03777">
          <w:pPr>
            <w:autoSpaceDE w:val="0"/>
            <w:autoSpaceDN w:val="0"/>
            <w:ind w:hanging="480"/>
            <w:divId w:val="1989439105"/>
            <w:rPr>
              <w:rFonts w:eastAsia="Times New Roman"/>
            </w:rPr>
          </w:pPr>
          <w:r w:rsidRPr="00B03777">
            <w:rPr>
              <w:rFonts w:eastAsia="Times New Roman"/>
              <w:lang w:val="it-IT"/>
            </w:rPr>
            <w:t xml:space="preserve">Fan, G., Bao, M., Wang, B., Wu, S., Luo, L., Li, B., &amp; Lin, J. (2019). </w:t>
          </w:r>
          <w:r>
            <w:rPr>
              <w:rFonts w:eastAsia="Times New Roman"/>
            </w:rPr>
            <w:t xml:space="preserve">Inhibitory effects of Cu2O/SiO2 on the growth of Microcystis aeruginosa and its mechanism. </w:t>
          </w:r>
          <w:r>
            <w:rPr>
              <w:rFonts w:eastAsia="Times New Roman"/>
              <w:i/>
              <w:iCs/>
            </w:rPr>
            <w:t>Nanomaterials</w:t>
          </w:r>
          <w:r>
            <w:rPr>
              <w:rFonts w:eastAsia="Times New Roman"/>
            </w:rPr>
            <w:t xml:space="preserve">, </w:t>
          </w:r>
          <w:r>
            <w:rPr>
              <w:rFonts w:eastAsia="Times New Roman"/>
              <w:i/>
              <w:iCs/>
            </w:rPr>
            <w:t>9</w:t>
          </w:r>
          <w:r>
            <w:rPr>
              <w:rFonts w:eastAsia="Times New Roman"/>
            </w:rPr>
            <w:t>(12), 1669.</w:t>
          </w:r>
        </w:p>
        <w:p w14:paraId="7A46DDE6" w14:textId="77777777" w:rsidR="00B03777" w:rsidRDefault="00B03777">
          <w:pPr>
            <w:autoSpaceDE w:val="0"/>
            <w:autoSpaceDN w:val="0"/>
            <w:ind w:hanging="480"/>
            <w:divId w:val="115608917"/>
            <w:rPr>
              <w:rFonts w:eastAsia="Times New Roman"/>
            </w:rPr>
          </w:pPr>
          <w:r>
            <w:rPr>
              <w:rFonts w:eastAsia="Times New Roman"/>
            </w:rPr>
            <w:t xml:space="preserve">Giri, S., Christudoss, A. C., Chandrasekaran, N., Peijnenburg, W. J. G. M., &amp; Mukherjee, A. (2023). The role of algal EPS in reducing the combined toxicity of BPA and polystyrene nanoparticles to the freshwater algae Scenedesmus obliquus. </w:t>
          </w:r>
          <w:r>
            <w:rPr>
              <w:rFonts w:eastAsia="Times New Roman"/>
              <w:i/>
              <w:iCs/>
            </w:rPr>
            <w:t>Plant Physiology and Biochemistry</w:t>
          </w:r>
          <w:r>
            <w:rPr>
              <w:rFonts w:eastAsia="Times New Roman"/>
            </w:rPr>
            <w:t xml:space="preserve">, </w:t>
          </w:r>
          <w:r>
            <w:rPr>
              <w:rFonts w:eastAsia="Times New Roman"/>
              <w:i/>
              <w:iCs/>
            </w:rPr>
            <w:t>197</w:t>
          </w:r>
          <w:r>
            <w:rPr>
              <w:rFonts w:eastAsia="Times New Roman"/>
            </w:rPr>
            <w:t>, 107664.</w:t>
          </w:r>
        </w:p>
        <w:p w14:paraId="0BBBBDFD" w14:textId="77777777" w:rsidR="00B03777" w:rsidRDefault="00B03777">
          <w:pPr>
            <w:autoSpaceDE w:val="0"/>
            <w:autoSpaceDN w:val="0"/>
            <w:ind w:hanging="480"/>
            <w:divId w:val="1862281640"/>
            <w:rPr>
              <w:rFonts w:eastAsia="Times New Roman"/>
            </w:rPr>
          </w:pPr>
          <w:r>
            <w:rPr>
              <w:rFonts w:eastAsia="Times New Roman"/>
            </w:rPr>
            <w:t xml:space="preserve">Natarajan, L., Jenifer, M. A., Chandrasekaran, N., Suraishkumar, G. K., &amp; Mukherjee, A. (2022). Polystyrene nanoplastics diminish the toxic effects of Nano-TiO2 in marine algae Chlorella sp. </w:t>
          </w:r>
          <w:r>
            <w:rPr>
              <w:rFonts w:eastAsia="Times New Roman"/>
              <w:i/>
              <w:iCs/>
            </w:rPr>
            <w:t>Environmental Research</w:t>
          </w:r>
          <w:r>
            <w:rPr>
              <w:rFonts w:eastAsia="Times New Roman"/>
            </w:rPr>
            <w:t xml:space="preserve">, </w:t>
          </w:r>
          <w:r>
            <w:rPr>
              <w:rFonts w:eastAsia="Times New Roman"/>
              <w:i/>
              <w:iCs/>
            </w:rPr>
            <w:t>204</w:t>
          </w:r>
          <w:r>
            <w:rPr>
              <w:rFonts w:eastAsia="Times New Roman"/>
            </w:rPr>
            <w:t>, 112400.</w:t>
          </w:r>
        </w:p>
        <w:p w14:paraId="3C744915" w14:textId="77777777" w:rsidR="00B03777" w:rsidRDefault="00B03777">
          <w:pPr>
            <w:autoSpaceDE w:val="0"/>
            <w:autoSpaceDN w:val="0"/>
            <w:ind w:hanging="480"/>
            <w:divId w:val="467675261"/>
            <w:rPr>
              <w:rFonts w:eastAsia="Times New Roman"/>
            </w:rPr>
          </w:pPr>
          <w:r>
            <w:rPr>
              <w:rFonts w:eastAsia="Times New Roman"/>
            </w:rPr>
            <w:t xml:space="preserve">Natarajan, L., Soupam, D., Dey, S., Chandrasekaran, N., Kundu, R., Paul, S., &amp; Mukherjee, A. (2022). Toxicity of polystyrene microplastics in freshwater algae Scenedesmus obliquus: Effects of particle size and surface charge. </w:t>
          </w:r>
          <w:r>
            <w:rPr>
              <w:rFonts w:eastAsia="Times New Roman"/>
              <w:i/>
              <w:iCs/>
            </w:rPr>
            <w:t>Toxicology Reports</w:t>
          </w:r>
          <w:r>
            <w:rPr>
              <w:rFonts w:eastAsia="Times New Roman"/>
            </w:rPr>
            <w:t xml:space="preserve">, </w:t>
          </w:r>
          <w:r>
            <w:rPr>
              <w:rFonts w:eastAsia="Times New Roman"/>
              <w:i/>
              <w:iCs/>
            </w:rPr>
            <w:t>9</w:t>
          </w:r>
          <w:r>
            <w:rPr>
              <w:rFonts w:eastAsia="Times New Roman"/>
            </w:rPr>
            <w:t>, 1953–1961.</w:t>
          </w:r>
        </w:p>
        <w:p w14:paraId="542490FB" w14:textId="77777777" w:rsidR="00B03777" w:rsidRDefault="00B03777">
          <w:pPr>
            <w:autoSpaceDE w:val="0"/>
            <w:autoSpaceDN w:val="0"/>
            <w:ind w:hanging="480"/>
            <w:divId w:val="1484859423"/>
            <w:rPr>
              <w:rFonts w:eastAsia="Times New Roman"/>
            </w:rPr>
          </w:pPr>
          <w:r>
            <w:rPr>
              <w:rFonts w:eastAsia="Times New Roman"/>
            </w:rPr>
            <w:t xml:space="preserve">Roy, B., P.K., S., Chandrasekaran, N., &amp; Mukherjee, A. (2020). UVB pre-irradiation of titanium dioxide nanoparticles is more detrimental to freshwater algae than UVA pre-irradiation. </w:t>
          </w:r>
          <w:r>
            <w:rPr>
              <w:rFonts w:eastAsia="Times New Roman"/>
              <w:i/>
              <w:iCs/>
            </w:rPr>
            <w:t>Journal of Environmental Chemical Engineering</w:t>
          </w:r>
          <w:r>
            <w:rPr>
              <w:rFonts w:eastAsia="Times New Roman"/>
            </w:rPr>
            <w:t xml:space="preserve">, </w:t>
          </w:r>
          <w:r>
            <w:rPr>
              <w:rFonts w:eastAsia="Times New Roman"/>
              <w:i/>
              <w:iCs/>
            </w:rPr>
            <w:t>8</w:t>
          </w:r>
          <w:r>
            <w:rPr>
              <w:rFonts w:eastAsia="Times New Roman"/>
            </w:rPr>
            <w:t>(5), 104076. https://doi.org/https://doi.org/10.1016/j.jece.2020.104076</w:t>
          </w:r>
        </w:p>
        <w:p w14:paraId="19DACBAC" w14:textId="77777777" w:rsidR="00B03777" w:rsidRDefault="00B03777">
          <w:pPr>
            <w:autoSpaceDE w:val="0"/>
            <w:autoSpaceDN w:val="0"/>
            <w:ind w:hanging="480"/>
            <w:divId w:val="1127552128"/>
            <w:rPr>
              <w:rFonts w:eastAsia="Times New Roman"/>
            </w:rPr>
          </w:pPr>
          <w:r w:rsidRPr="00B03777">
            <w:rPr>
              <w:rFonts w:eastAsia="Times New Roman"/>
              <w:lang w:val="pt-BR"/>
            </w:rPr>
            <w:t xml:space="preserve">Soares, G. A., Rodrigues, G. S., Buranello, L. P., de Oliveira, R. B., &amp; de Arruda Miranda, J. R. (2023). </w:t>
          </w:r>
          <w:r>
            <w:rPr>
              <w:rFonts w:eastAsia="Times New Roman"/>
            </w:rPr>
            <w:t xml:space="preserve">Pharmacomagnetography assessment of the prokinetic effect on metronidazole absorption. </w:t>
          </w:r>
          <w:r>
            <w:rPr>
              <w:rFonts w:eastAsia="Times New Roman"/>
              <w:i/>
              <w:iCs/>
            </w:rPr>
            <w:t>Journal of Pharmacy and Pharmacology</w:t>
          </w:r>
          <w:r>
            <w:rPr>
              <w:rFonts w:eastAsia="Times New Roman"/>
            </w:rPr>
            <w:t>, rgad088. https://doi.org/10.1093/jpp/rgad088</w:t>
          </w:r>
        </w:p>
        <w:p w14:paraId="79C43AD5" w14:textId="77777777" w:rsidR="00B03777" w:rsidRDefault="00B03777">
          <w:pPr>
            <w:autoSpaceDE w:val="0"/>
            <w:autoSpaceDN w:val="0"/>
            <w:ind w:hanging="480"/>
            <w:divId w:val="243688153"/>
            <w:rPr>
              <w:rFonts w:eastAsia="Times New Roman"/>
            </w:rPr>
          </w:pPr>
          <w:r>
            <w:rPr>
              <w:rFonts w:eastAsia="Times New Roman"/>
            </w:rPr>
            <w:t xml:space="preserve">Thiagarajan, V., Alex, S. A., Seenivasan, R., Chandrasekaran, N., &amp; Mukherjee, A. (2021). Toxicity evaluation of nano-TiO2 in the presence of functionalized microplastics at two trophic levels: Algae and crustaceans. </w:t>
          </w:r>
          <w:r>
            <w:rPr>
              <w:rFonts w:eastAsia="Times New Roman"/>
              <w:i/>
              <w:iCs/>
            </w:rPr>
            <w:t>Science of the Total Environment</w:t>
          </w:r>
          <w:r>
            <w:rPr>
              <w:rFonts w:eastAsia="Times New Roman"/>
            </w:rPr>
            <w:t xml:space="preserve">, </w:t>
          </w:r>
          <w:r>
            <w:rPr>
              <w:rFonts w:eastAsia="Times New Roman"/>
              <w:i/>
              <w:iCs/>
            </w:rPr>
            <w:t>784</w:t>
          </w:r>
          <w:r>
            <w:rPr>
              <w:rFonts w:eastAsia="Times New Roman"/>
            </w:rPr>
            <w:t>, 147262.</w:t>
          </w:r>
        </w:p>
        <w:p w14:paraId="7811E3CE" w14:textId="77777777" w:rsidR="00B03777" w:rsidRDefault="00B03777">
          <w:pPr>
            <w:autoSpaceDE w:val="0"/>
            <w:autoSpaceDN w:val="0"/>
            <w:ind w:hanging="480"/>
            <w:divId w:val="990406606"/>
            <w:rPr>
              <w:rFonts w:eastAsia="Times New Roman"/>
            </w:rPr>
          </w:pPr>
          <w:r>
            <w:rPr>
              <w:rFonts w:eastAsia="Times New Roman"/>
            </w:rPr>
            <w:lastRenderedPageBreak/>
            <w:t xml:space="preserve">Thiagarajan, V., Iswarya, V., P., A. J., Seenivasan, R., Chandrasekaran, N., &amp; Mukherjee, A. (2019). Influence of differently functionalized polystyrene microplastics on the toxic effects of P25 TiO2 NPs towards marine algae Chlorella sp. </w:t>
          </w:r>
          <w:r>
            <w:rPr>
              <w:rFonts w:eastAsia="Times New Roman"/>
              <w:i/>
              <w:iCs/>
            </w:rPr>
            <w:t>Aquatic Toxicology</w:t>
          </w:r>
          <w:r>
            <w:rPr>
              <w:rFonts w:eastAsia="Times New Roman"/>
            </w:rPr>
            <w:t xml:space="preserve">, </w:t>
          </w:r>
          <w:r>
            <w:rPr>
              <w:rFonts w:eastAsia="Times New Roman"/>
              <w:i/>
              <w:iCs/>
            </w:rPr>
            <w:t>207</w:t>
          </w:r>
          <w:r>
            <w:rPr>
              <w:rFonts w:eastAsia="Times New Roman"/>
            </w:rPr>
            <w:t>(December 2018), 208–216. https://doi.org/10.1016/j.aquatox.2018.12.014</w:t>
          </w:r>
        </w:p>
        <w:p w14:paraId="615D3B5D" w14:textId="77777777" w:rsidR="00B03777" w:rsidRDefault="00B03777">
          <w:pPr>
            <w:autoSpaceDE w:val="0"/>
            <w:autoSpaceDN w:val="0"/>
            <w:ind w:hanging="480"/>
            <w:divId w:val="2009477078"/>
            <w:rPr>
              <w:rFonts w:eastAsia="Times New Roman"/>
            </w:rPr>
          </w:pPr>
          <w:r>
            <w:rPr>
              <w:rFonts w:eastAsia="Times New Roman"/>
            </w:rPr>
            <w:t xml:space="preserve">Thiagarajan, V., Natarajan, L., Seenivasan, R., Chandrasekaran, N., &amp; Mukherjee, A. (2019). Tetracycline affects the toxicity of P25 n-TiO2 towards marine microalgae Chlorella sp. </w:t>
          </w:r>
          <w:r>
            <w:rPr>
              <w:rFonts w:eastAsia="Times New Roman"/>
              <w:i/>
              <w:iCs/>
            </w:rPr>
            <w:t>Environmental Research</w:t>
          </w:r>
          <w:r>
            <w:rPr>
              <w:rFonts w:eastAsia="Times New Roman"/>
            </w:rPr>
            <w:t xml:space="preserve">, </w:t>
          </w:r>
          <w:r>
            <w:rPr>
              <w:rFonts w:eastAsia="Times New Roman"/>
              <w:i/>
              <w:iCs/>
            </w:rPr>
            <w:t>179</w:t>
          </w:r>
          <w:r>
            <w:rPr>
              <w:rFonts w:eastAsia="Times New Roman"/>
            </w:rPr>
            <w:t>, 108808. https://doi.org/https://doi.org/10.1016/j.envres.2019.108808</w:t>
          </w:r>
        </w:p>
        <w:p w14:paraId="04F468B0" w14:textId="50BB3D6B" w:rsidR="001B3C12" w:rsidRPr="00CF3355" w:rsidRDefault="00B03777" w:rsidP="00F5227D">
          <w:pPr>
            <w:rPr>
              <w:rFonts w:ascii="Times New Roman" w:hAnsi="Times New Roman"/>
              <w:b/>
              <w:bCs/>
              <w:sz w:val="24"/>
              <w:szCs w:val="24"/>
              <w:lang w:val="en-US"/>
            </w:rPr>
          </w:pPr>
          <w:r>
            <w:rPr>
              <w:rFonts w:eastAsia="Times New Roman"/>
            </w:rPr>
            <w:t> </w:t>
          </w:r>
        </w:p>
      </w:sdtContent>
    </w:sdt>
    <w:p w14:paraId="340489B4" w14:textId="77777777" w:rsidR="001B3C12" w:rsidRPr="00CF3355" w:rsidRDefault="001B3C12" w:rsidP="00960C73">
      <w:pPr>
        <w:jc w:val="center"/>
        <w:rPr>
          <w:rFonts w:ascii="Times New Roman" w:hAnsi="Times New Roman"/>
          <w:b/>
          <w:bCs/>
          <w:sz w:val="24"/>
          <w:szCs w:val="24"/>
          <w:lang w:val="en-US"/>
        </w:rPr>
      </w:pPr>
    </w:p>
    <w:sectPr w:rsidR="001B3C12" w:rsidRPr="00CF3355" w:rsidSect="00F5227D">
      <w:footerReference w:type="default" r:id="rId1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4C4E3" w14:textId="77777777" w:rsidR="00947E29" w:rsidRDefault="00947E29" w:rsidP="00F5227D">
      <w:pPr>
        <w:spacing w:after="0" w:line="240" w:lineRule="auto"/>
      </w:pPr>
      <w:r>
        <w:separator/>
      </w:r>
    </w:p>
  </w:endnote>
  <w:endnote w:type="continuationSeparator" w:id="0">
    <w:p w14:paraId="0190DE43" w14:textId="77777777" w:rsidR="00947E29" w:rsidRDefault="00947E29" w:rsidP="00F52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vOT596495f2+20">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817359"/>
      <w:docPartObj>
        <w:docPartGallery w:val="Page Numbers (Bottom of Page)"/>
        <w:docPartUnique/>
      </w:docPartObj>
    </w:sdtPr>
    <w:sdtEndPr>
      <w:rPr>
        <w:noProof/>
      </w:rPr>
    </w:sdtEndPr>
    <w:sdtContent>
      <w:p w14:paraId="4F859FC1" w14:textId="662D8731" w:rsidR="00F5227D" w:rsidRDefault="00F5227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FDFD98" w14:textId="77777777" w:rsidR="00F5227D" w:rsidRDefault="00F522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07632B" w14:textId="77777777" w:rsidR="00947E29" w:rsidRDefault="00947E29" w:rsidP="00F5227D">
      <w:pPr>
        <w:spacing w:after="0" w:line="240" w:lineRule="auto"/>
      </w:pPr>
      <w:r>
        <w:separator/>
      </w:r>
    </w:p>
  </w:footnote>
  <w:footnote w:type="continuationSeparator" w:id="0">
    <w:p w14:paraId="63DE7243" w14:textId="77777777" w:rsidR="00947E29" w:rsidRDefault="00947E29" w:rsidP="00F522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jA1MbSwsDCxMDA3NDZX0lEKTi0uzszPAykwqwUAZVs27CwAAAA="/>
  </w:docVars>
  <w:rsids>
    <w:rsidRoot w:val="00195570"/>
    <w:rsid w:val="00101053"/>
    <w:rsid w:val="00112C76"/>
    <w:rsid w:val="00136E54"/>
    <w:rsid w:val="001629A8"/>
    <w:rsid w:val="00186B7D"/>
    <w:rsid w:val="00195570"/>
    <w:rsid w:val="001B3C12"/>
    <w:rsid w:val="002B40DA"/>
    <w:rsid w:val="002D63D9"/>
    <w:rsid w:val="002F0421"/>
    <w:rsid w:val="003055FD"/>
    <w:rsid w:val="00325F63"/>
    <w:rsid w:val="003A6EC1"/>
    <w:rsid w:val="0048270F"/>
    <w:rsid w:val="004A7AC7"/>
    <w:rsid w:val="004B1E1A"/>
    <w:rsid w:val="004B35E5"/>
    <w:rsid w:val="004C3C3F"/>
    <w:rsid w:val="005564DB"/>
    <w:rsid w:val="00664787"/>
    <w:rsid w:val="006B3030"/>
    <w:rsid w:val="007145AD"/>
    <w:rsid w:val="00746A11"/>
    <w:rsid w:val="007F0BE2"/>
    <w:rsid w:val="008D1FD3"/>
    <w:rsid w:val="00947E29"/>
    <w:rsid w:val="00960C73"/>
    <w:rsid w:val="009859BA"/>
    <w:rsid w:val="00A765E8"/>
    <w:rsid w:val="00AC110A"/>
    <w:rsid w:val="00AF6721"/>
    <w:rsid w:val="00B03777"/>
    <w:rsid w:val="00CF07AE"/>
    <w:rsid w:val="00CF3355"/>
    <w:rsid w:val="00D46024"/>
    <w:rsid w:val="00DE3529"/>
    <w:rsid w:val="00EF17D3"/>
    <w:rsid w:val="00F06F86"/>
    <w:rsid w:val="00F5227D"/>
    <w:rsid w:val="00FF10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CCA9A"/>
  <w15:chartTrackingRefBased/>
  <w15:docId w15:val="{E824A870-5B1C-420C-9949-5C12A88EE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355"/>
    <w:pPr>
      <w:spacing w:after="160" w:line="256" w:lineRule="auto"/>
    </w:pPr>
    <w:rPr>
      <w:rFonts w:ascii="Calibri" w:eastAsia="Calibri" w:hAnsi="Calibri" w:cs="Times New Roman"/>
      <w:kern w:val="0"/>
      <w:lang w:val="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4">
    <w:name w:val="4"/>
    <w:basedOn w:val="TableNormal"/>
    <w:rsid w:val="00186B7D"/>
    <w:pPr>
      <w:spacing w:after="0" w:line="240" w:lineRule="auto"/>
    </w:pPr>
    <w:rPr>
      <w:rFonts w:ascii="Calibri" w:eastAsia="Calibri" w:hAnsi="Calibri" w:cs="Calibri"/>
      <w:kern w:val="0"/>
      <w14:ligatures w14:val="none"/>
    </w:rPr>
    <w:tblPr>
      <w:tblStyleRowBandSize w:val="1"/>
      <w:tblStyleColBandSize w:val="1"/>
    </w:tblPr>
  </w:style>
  <w:style w:type="table" w:customStyle="1" w:styleId="3">
    <w:name w:val="3"/>
    <w:basedOn w:val="TableNormal"/>
    <w:rsid w:val="00186B7D"/>
    <w:pPr>
      <w:spacing w:after="0" w:line="240" w:lineRule="auto"/>
    </w:pPr>
    <w:rPr>
      <w:rFonts w:ascii="Calibri" w:eastAsia="Calibri" w:hAnsi="Calibri" w:cs="Calibri"/>
      <w:kern w:val="0"/>
      <w14:ligatures w14:val="none"/>
    </w:rPr>
    <w:tblPr>
      <w:tblStyleRowBandSize w:val="1"/>
      <w:tblStyleColBandSize w:val="1"/>
    </w:tblPr>
  </w:style>
  <w:style w:type="table" w:customStyle="1" w:styleId="2">
    <w:name w:val="2"/>
    <w:basedOn w:val="TableNormal"/>
    <w:rsid w:val="00186B7D"/>
    <w:pPr>
      <w:spacing w:after="0" w:line="240" w:lineRule="auto"/>
    </w:pPr>
    <w:rPr>
      <w:rFonts w:ascii="Calibri" w:eastAsia="Calibri" w:hAnsi="Calibri" w:cs="Calibri"/>
      <w:kern w:val="0"/>
      <w14:ligatures w14:val="none"/>
    </w:rPr>
    <w:tblPr>
      <w:tblStyleRowBandSize w:val="1"/>
      <w:tblStyleColBandSize w:val="1"/>
    </w:tblPr>
  </w:style>
  <w:style w:type="table" w:customStyle="1" w:styleId="1">
    <w:name w:val="1"/>
    <w:basedOn w:val="TableNormal"/>
    <w:rsid w:val="00186B7D"/>
    <w:pPr>
      <w:spacing w:after="0" w:line="240" w:lineRule="auto"/>
    </w:pPr>
    <w:rPr>
      <w:rFonts w:ascii="Calibri" w:eastAsia="Calibri" w:hAnsi="Calibri" w:cs="Calibri"/>
      <w:kern w:val="0"/>
      <w14:ligatures w14:val="none"/>
    </w:rPr>
    <w:tblPr>
      <w:tblStyleRowBandSize w:val="1"/>
      <w:tblStyleColBandSize w:val="1"/>
    </w:tblPr>
  </w:style>
  <w:style w:type="character" w:styleId="Hyperlink">
    <w:name w:val="Hyperlink"/>
    <w:basedOn w:val="DefaultParagraphFont"/>
    <w:uiPriority w:val="99"/>
    <w:unhideWhenUsed/>
    <w:rsid w:val="00186B7D"/>
    <w:rPr>
      <w:color w:val="0000FF" w:themeColor="hyperlink"/>
      <w:u w:val="single"/>
    </w:rPr>
  </w:style>
  <w:style w:type="character" w:styleId="PlaceholderText">
    <w:name w:val="Placeholder Text"/>
    <w:basedOn w:val="DefaultParagraphFont"/>
    <w:uiPriority w:val="99"/>
    <w:semiHidden/>
    <w:rsid w:val="00DE3529"/>
    <w:rPr>
      <w:color w:val="808080"/>
    </w:rPr>
  </w:style>
  <w:style w:type="table" w:styleId="TableGrid">
    <w:name w:val="Table Grid"/>
    <w:basedOn w:val="TableNormal"/>
    <w:uiPriority w:val="59"/>
    <w:rsid w:val="00D460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522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227D"/>
    <w:rPr>
      <w:rFonts w:ascii="Calibri" w:eastAsia="Calibri" w:hAnsi="Calibri" w:cs="Times New Roman"/>
      <w:kern w:val="0"/>
      <w:lang w:val="en-IN"/>
      <w14:ligatures w14:val="none"/>
    </w:rPr>
  </w:style>
  <w:style w:type="paragraph" w:styleId="Footer">
    <w:name w:val="footer"/>
    <w:basedOn w:val="Normal"/>
    <w:link w:val="FooterChar"/>
    <w:uiPriority w:val="99"/>
    <w:unhideWhenUsed/>
    <w:rsid w:val="00F522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227D"/>
    <w:rPr>
      <w:rFonts w:ascii="Calibri" w:eastAsia="Calibri" w:hAnsi="Calibri" w:cs="Times New Roman"/>
      <w:kern w:val="0"/>
      <w:lang w:val="en-IN"/>
      <w14:ligatures w14:val="none"/>
    </w:rPr>
  </w:style>
  <w:style w:type="character" w:styleId="LineNumber">
    <w:name w:val="line number"/>
    <w:basedOn w:val="DefaultParagraphFont"/>
    <w:uiPriority w:val="99"/>
    <w:semiHidden/>
    <w:unhideWhenUsed/>
    <w:rsid w:val="00F5227D"/>
  </w:style>
  <w:style w:type="paragraph" w:customStyle="1" w:styleId="Authornames">
    <w:name w:val="Author names"/>
    <w:basedOn w:val="Normal"/>
    <w:next w:val="Normal"/>
    <w:qFormat/>
    <w:rsid w:val="006B3030"/>
    <w:pPr>
      <w:spacing w:before="240" w:after="0" w:line="360" w:lineRule="auto"/>
    </w:pPr>
    <w:rPr>
      <w:rFonts w:ascii="Times New Roman" w:eastAsia="Times New Roman" w:hAnsi="Times New Roman"/>
      <w:sz w:val="28"/>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510929">
      <w:bodyDiv w:val="1"/>
      <w:marLeft w:val="0"/>
      <w:marRight w:val="0"/>
      <w:marTop w:val="0"/>
      <w:marBottom w:val="0"/>
      <w:divBdr>
        <w:top w:val="none" w:sz="0" w:space="0" w:color="auto"/>
        <w:left w:val="none" w:sz="0" w:space="0" w:color="auto"/>
        <w:bottom w:val="none" w:sz="0" w:space="0" w:color="auto"/>
        <w:right w:val="none" w:sz="0" w:space="0" w:color="auto"/>
      </w:divBdr>
    </w:div>
    <w:div w:id="208611021">
      <w:bodyDiv w:val="1"/>
      <w:marLeft w:val="0"/>
      <w:marRight w:val="0"/>
      <w:marTop w:val="0"/>
      <w:marBottom w:val="0"/>
      <w:divBdr>
        <w:top w:val="none" w:sz="0" w:space="0" w:color="auto"/>
        <w:left w:val="none" w:sz="0" w:space="0" w:color="auto"/>
        <w:bottom w:val="none" w:sz="0" w:space="0" w:color="auto"/>
        <w:right w:val="none" w:sz="0" w:space="0" w:color="auto"/>
      </w:divBdr>
    </w:div>
    <w:div w:id="341593079">
      <w:bodyDiv w:val="1"/>
      <w:marLeft w:val="0"/>
      <w:marRight w:val="0"/>
      <w:marTop w:val="0"/>
      <w:marBottom w:val="0"/>
      <w:divBdr>
        <w:top w:val="none" w:sz="0" w:space="0" w:color="auto"/>
        <w:left w:val="none" w:sz="0" w:space="0" w:color="auto"/>
        <w:bottom w:val="none" w:sz="0" w:space="0" w:color="auto"/>
        <w:right w:val="none" w:sz="0" w:space="0" w:color="auto"/>
      </w:divBdr>
      <w:divsChild>
        <w:div w:id="647173677">
          <w:marLeft w:val="480"/>
          <w:marRight w:val="0"/>
          <w:marTop w:val="0"/>
          <w:marBottom w:val="0"/>
          <w:divBdr>
            <w:top w:val="none" w:sz="0" w:space="0" w:color="auto"/>
            <w:left w:val="none" w:sz="0" w:space="0" w:color="auto"/>
            <w:bottom w:val="none" w:sz="0" w:space="0" w:color="auto"/>
            <w:right w:val="none" w:sz="0" w:space="0" w:color="auto"/>
          </w:divBdr>
        </w:div>
        <w:div w:id="953099625">
          <w:marLeft w:val="480"/>
          <w:marRight w:val="0"/>
          <w:marTop w:val="0"/>
          <w:marBottom w:val="0"/>
          <w:divBdr>
            <w:top w:val="none" w:sz="0" w:space="0" w:color="auto"/>
            <w:left w:val="none" w:sz="0" w:space="0" w:color="auto"/>
            <w:bottom w:val="none" w:sz="0" w:space="0" w:color="auto"/>
            <w:right w:val="none" w:sz="0" w:space="0" w:color="auto"/>
          </w:divBdr>
        </w:div>
        <w:div w:id="1275790998">
          <w:marLeft w:val="480"/>
          <w:marRight w:val="0"/>
          <w:marTop w:val="0"/>
          <w:marBottom w:val="0"/>
          <w:divBdr>
            <w:top w:val="none" w:sz="0" w:space="0" w:color="auto"/>
            <w:left w:val="none" w:sz="0" w:space="0" w:color="auto"/>
            <w:bottom w:val="none" w:sz="0" w:space="0" w:color="auto"/>
            <w:right w:val="none" w:sz="0" w:space="0" w:color="auto"/>
          </w:divBdr>
        </w:div>
        <w:div w:id="900597588">
          <w:marLeft w:val="480"/>
          <w:marRight w:val="0"/>
          <w:marTop w:val="0"/>
          <w:marBottom w:val="0"/>
          <w:divBdr>
            <w:top w:val="none" w:sz="0" w:space="0" w:color="auto"/>
            <w:left w:val="none" w:sz="0" w:space="0" w:color="auto"/>
            <w:bottom w:val="none" w:sz="0" w:space="0" w:color="auto"/>
            <w:right w:val="none" w:sz="0" w:space="0" w:color="auto"/>
          </w:divBdr>
        </w:div>
        <w:div w:id="911476149">
          <w:marLeft w:val="480"/>
          <w:marRight w:val="0"/>
          <w:marTop w:val="0"/>
          <w:marBottom w:val="0"/>
          <w:divBdr>
            <w:top w:val="none" w:sz="0" w:space="0" w:color="auto"/>
            <w:left w:val="none" w:sz="0" w:space="0" w:color="auto"/>
            <w:bottom w:val="none" w:sz="0" w:space="0" w:color="auto"/>
            <w:right w:val="none" w:sz="0" w:space="0" w:color="auto"/>
          </w:divBdr>
        </w:div>
        <w:div w:id="1760903378">
          <w:marLeft w:val="480"/>
          <w:marRight w:val="0"/>
          <w:marTop w:val="0"/>
          <w:marBottom w:val="0"/>
          <w:divBdr>
            <w:top w:val="none" w:sz="0" w:space="0" w:color="auto"/>
            <w:left w:val="none" w:sz="0" w:space="0" w:color="auto"/>
            <w:bottom w:val="none" w:sz="0" w:space="0" w:color="auto"/>
            <w:right w:val="none" w:sz="0" w:space="0" w:color="auto"/>
          </w:divBdr>
        </w:div>
        <w:div w:id="1219901122">
          <w:marLeft w:val="480"/>
          <w:marRight w:val="0"/>
          <w:marTop w:val="0"/>
          <w:marBottom w:val="0"/>
          <w:divBdr>
            <w:top w:val="none" w:sz="0" w:space="0" w:color="auto"/>
            <w:left w:val="none" w:sz="0" w:space="0" w:color="auto"/>
            <w:bottom w:val="none" w:sz="0" w:space="0" w:color="auto"/>
            <w:right w:val="none" w:sz="0" w:space="0" w:color="auto"/>
          </w:divBdr>
        </w:div>
        <w:div w:id="1263878975">
          <w:marLeft w:val="480"/>
          <w:marRight w:val="0"/>
          <w:marTop w:val="0"/>
          <w:marBottom w:val="0"/>
          <w:divBdr>
            <w:top w:val="none" w:sz="0" w:space="0" w:color="auto"/>
            <w:left w:val="none" w:sz="0" w:space="0" w:color="auto"/>
            <w:bottom w:val="none" w:sz="0" w:space="0" w:color="auto"/>
            <w:right w:val="none" w:sz="0" w:space="0" w:color="auto"/>
          </w:divBdr>
        </w:div>
        <w:div w:id="1446730833">
          <w:marLeft w:val="480"/>
          <w:marRight w:val="0"/>
          <w:marTop w:val="0"/>
          <w:marBottom w:val="0"/>
          <w:divBdr>
            <w:top w:val="none" w:sz="0" w:space="0" w:color="auto"/>
            <w:left w:val="none" w:sz="0" w:space="0" w:color="auto"/>
            <w:bottom w:val="none" w:sz="0" w:space="0" w:color="auto"/>
            <w:right w:val="none" w:sz="0" w:space="0" w:color="auto"/>
          </w:divBdr>
        </w:div>
        <w:div w:id="586230993">
          <w:marLeft w:val="480"/>
          <w:marRight w:val="0"/>
          <w:marTop w:val="0"/>
          <w:marBottom w:val="0"/>
          <w:divBdr>
            <w:top w:val="none" w:sz="0" w:space="0" w:color="auto"/>
            <w:left w:val="none" w:sz="0" w:space="0" w:color="auto"/>
            <w:bottom w:val="none" w:sz="0" w:space="0" w:color="auto"/>
            <w:right w:val="none" w:sz="0" w:space="0" w:color="auto"/>
          </w:divBdr>
        </w:div>
        <w:div w:id="1843811905">
          <w:marLeft w:val="480"/>
          <w:marRight w:val="0"/>
          <w:marTop w:val="0"/>
          <w:marBottom w:val="0"/>
          <w:divBdr>
            <w:top w:val="none" w:sz="0" w:space="0" w:color="auto"/>
            <w:left w:val="none" w:sz="0" w:space="0" w:color="auto"/>
            <w:bottom w:val="none" w:sz="0" w:space="0" w:color="auto"/>
            <w:right w:val="none" w:sz="0" w:space="0" w:color="auto"/>
          </w:divBdr>
        </w:div>
      </w:divsChild>
    </w:div>
    <w:div w:id="385615973">
      <w:bodyDiv w:val="1"/>
      <w:marLeft w:val="0"/>
      <w:marRight w:val="0"/>
      <w:marTop w:val="0"/>
      <w:marBottom w:val="0"/>
      <w:divBdr>
        <w:top w:val="none" w:sz="0" w:space="0" w:color="auto"/>
        <w:left w:val="none" w:sz="0" w:space="0" w:color="auto"/>
        <w:bottom w:val="none" w:sz="0" w:space="0" w:color="auto"/>
        <w:right w:val="none" w:sz="0" w:space="0" w:color="auto"/>
      </w:divBdr>
      <w:divsChild>
        <w:div w:id="190647967">
          <w:marLeft w:val="480"/>
          <w:marRight w:val="0"/>
          <w:marTop w:val="0"/>
          <w:marBottom w:val="0"/>
          <w:divBdr>
            <w:top w:val="none" w:sz="0" w:space="0" w:color="auto"/>
            <w:left w:val="none" w:sz="0" w:space="0" w:color="auto"/>
            <w:bottom w:val="none" w:sz="0" w:space="0" w:color="auto"/>
            <w:right w:val="none" w:sz="0" w:space="0" w:color="auto"/>
          </w:divBdr>
        </w:div>
        <w:div w:id="1713311125">
          <w:marLeft w:val="480"/>
          <w:marRight w:val="0"/>
          <w:marTop w:val="0"/>
          <w:marBottom w:val="0"/>
          <w:divBdr>
            <w:top w:val="none" w:sz="0" w:space="0" w:color="auto"/>
            <w:left w:val="none" w:sz="0" w:space="0" w:color="auto"/>
            <w:bottom w:val="none" w:sz="0" w:space="0" w:color="auto"/>
            <w:right w:val="none" w:sz="0" w:space="0" w:color="auto"/>
          </w:divBdr>
        </w:div>
        <w:div w:id="375853255">
          <w:marLeft w:val="480"/>
          <w:marRight w:val="0"/>
          <w:marTop w:val="0"/>
          <w:marBottom w:val="0"/>
          <w:divBdr>
            <w:top w:val="none" w:sz="0" w:space="0" w:color="auto"/>
            <w:left w:val="none" w:sz="0" w:space="0" w:color="auto"/>
            <w:bottom w:val="none" w:sz="0" w:space="0" w:color="auto"/>
            <w:right w:val="none" w:sz="0" w:space="0" w:color="auto"/>
          </w:divBdr>
        </w:div>
        <w:div w:id="783841816">
          <w:marLeft w:val="480"/>
          <w:marRight w:val="0"/>
          <w:marTop w:val="0"/>
          <w:marBottom w:val="0"/>
          <w:divBdr>
            <w:top w:val="none" w:sz="0" w:space="0" w:color="auto"/>
            <w:left w:val="none" w:sz="0" w:space="0" w:color="auto"/>
            <w:bottom w:val="none" w:sz="0" w:space="0" w:color="auto"/>
            <w:right w:val="none" w:sz="0" w:space="0" w:color="auto"/>
          </w:divBdr>
        </w:div>
        <w:div w:id="653797319">
          <w:marLeft w:val="480"/>
          <w:marRight w:val="0"/>
          <w:marTop w:val="0"/>
          <w:marBottom w:val="0"/>
          <w:divBdr>
            <w:top w:val="none" w:sz="0" w:space="0" w:color="auto"/>
            <w:left w:val="none" w:sz="0" w:space="0" w:color="auto"/>
            <w:bottom w:val="none" w:sz="0" w:space="0" w:color="auto"/>
            <w:right w:val="none" w:sz="0" w:space="0" w:color="auto"/>
          </w:divBdr>
        </w:div>
        <w:div w:id="2121752402">
          <w:marLeft w:val="480"/>
          <w:marRight w:val="0"/>
          <w:marTop w:val="0"/>
          <w:marBottom w:val="0"/>
          <w:divBdr>
            <w:top w:val="none" w:sz="0" w:space="0" w:color="auto"/>
            <w:left w:val="none" w:sz="0" w:space="0" w:color="auto"/>
            <w:bottom w:val="none" w:sz="0" w:space="0" w:color="auto"/>
            <w:right w:val="none" w:sz="0" w:space="0" w:color="auto"/>
          </w:divBdr>
        </w:div>
        <w:div w:id="1813205290">
          <w:marLeft w:val="480"/>
          <w:marRight w:val="0"/>
          <w:marTop w:val="0"/>
          <w:marBottom w:val="0"/>
          <w:divBdr>
            <w:top w:val="none" w:sz="0" w:space="0" w:color="auto"/>
            <w:left w:val="none" w:sz="0" w:space="0" w:color="auto"/>
            <w:bottom w:val="none" w:sz="0" w:space="0" w:color="auto"/>
            <w:right w:val="none" w:sz="0" w:space="0" w:color="auto"/>
          </w:divBdr>
        </w:div>
        <w:div w:id="1648437374">
          <w:marLeft w:val="480"/>
          <w:marRight w:val="0"/>
          <w:marTop w:val="0"/>
          <w:marBottom w:val="0"/>
          <w:divBdr>
            <w:top w:val="none" w:sz="0" w:space="0" w:color="auto"/>
            <w:left w:val="none" w:sz="0" w:space="0" w:color="auto"/>
            <w:bottom w:val="none" w:sz="0" w:space="0" w:color="auto"/>
            <w:right w:val="none" w:sz="0" w:space="0" w:color="auto"/>
          </w:divBdr>
        </w:div>
        <w:div w:id="1927810937">
          <w:marLeft w:val="480"/>
          <w:marRight w:val="0"/>
          <w:marTop w:val="0"/>
          <w:marBottom w:val="0"/>
          <w:divBdr>
            <w:top w:val="none" w:sz="0" w:space="0" w:color="auto"/>
            <w:left w:val="none" w:sz="0" w:space="0" w:color="auto"/>
            <w:bottom w:val="none" w:sz="0" w:space="0" w:color="auto"/>
            <w:right w:val="none" w:sz="0" w:space="0" w:color="auto"/>
          </w:divBdr>
        </w:div>
      </w:divsChild>
    </w:div>
    <w:div w:id="421335664">
      <w:bodyDiv w:val="1"/>
      <w:marLeft w:val="0"/>
      <w:marRight w:val="0"/>
      <w:marTop w:val="0"/>
      <w:marBottom w:val="0"/>
      <w:divBdr>
        <w:top w:val="none" w:sz="0" w:space="0" w:color="auto"/>
        <w:left w:val="none" w:sz="0" w:space="0" w:color="auto"/>
        <w:bottom w:val="none" w:sz="0" w:space="0" w:color="auto"/>
        <w:right w:val="none" w:sz="0" w:space="0" w:color="auto"/>
      </w:divBdr>
    </w:div>
    <w:div w:id="789787969">
      <w:bodyDiv w:val="1"/>
      <w:marLeft w:val="0"/>
      <w:marRight w:val="0"/>
      <w:marTop w:val="0"/>
      <w:marBottom w:val="0"/>
      <w:divBdr>
        <w:top w:val="none" w:sz="0" w:space="0" w:color="auto"/>
        <w:left w:val="none" w:sz="0" w:space="0" w:color="auto"/>
        <w:bottom w:val="none" w:sz="0" w:space="0" w:color="auto"/>
        <w:right w:val="none" w:sz="0" w:space="0" w:color="auto"/>
      </w:divBdr>
      <w:divsChild>
        <w:div w:id="1720199928">
          <w:marLeft w:val="480"/>
          <w:marRight w:val="0"/>
          <w:marTop w:val="0"/>
          <w:marBottom w:val="0"/>
          <w:divBdr>
            <w:top w:val="none" w:sz="0" w:space="0" w:color="auto"/>
            <w:left w:val="none" w:sz="0" w:space="0" w:color="auto"/>
            <w:bottom w:val="none" w:sz="0" w:space="0" w:color="auto"/>
            <w:right w:val="none" w:sz="0" w:space="0" w:color="auto"/>
          </w:divBdr>
        </w:div>
        <w:div w:id="2133546628">
          <w:marLeft w:val="480"/>
          <w:marRight w:val="0"/>
          <w:marTop w:val="0"/>
          <w:marBottom w:val="0"/>
          <w:divBdr>
            <w:top w:val="none" w:sz="0" w:space="0" w:color="auto"/>
            <w:left w:val="none" w:sz="0" w:space="0" w:color="auto"/>
            <w:bottom w:val="none" w:sz="0" w:space="0" w:color="auto"/>
            <w:right w:val="none" w:sz="0" w:space="0" w:color="auto"/>
          </w:divBdr>
        </w:div>
        <w:div w:id="857888557">
          <w:marLeft w:val="480"/>
          <w:marRight w:val="0"/>
          <w:marTop w:val="0"/>
          <w:marBottom w:val="0"/>
          <w:divBdr>
            <w:top w:val="none" w:sz="0" w:space="0" w:color="auto"/>
            <w:left w:val="none" w:sz="0" w:space="0" w:color="auto"/>
            <w:bottom w:val="none" w:sz="0" w:space="0" w:color="auto"/>
            <w:right w:val="none" w:sz="0" w:space="0" w:color="auto"/>
          </w:divBdr>
        </w:div>
        <w:div w:id="1775176099">
          <w:marLeft w:val="480"/>
          <w:marRight w:val="0"/>
          <w:marTop w:val="0"/>
          <w:marBottom w:val="0"/>
          <w:divBdr>
            <w:top w:val="none" w:sz="0" w:space="0" w:color="auto"/>
            <w:left w:val="none" w:sz="0" w:space="0" w:color="auto"/>
            <w:bottom w:val="none" w:sz="0" w:space="0" w:color="auto"/>
            <w:right w:val="none" w:sz="0" w:space="0" w:color="auto"/>
          </w:divBdr>
        </w:div>
        <w:div w:id="787509893">
          <w:marLeft w:val="480"/>
          <w:marRight w:val="0"/>
          <w:marTop w:val="0"/>
          <w:marBottom w:val="0"/>
          <w:divBdr>
            <w:top w:val="none" w:sz="0" w:space="0" w:color="auto"/>
            <w:left w:val="none" w:sz="0" w:space="0" w:color="auto"/>
            <w:bottom w:val="none" w:sz="0" w:space="0" w:color="auto"/>
            <w:right w:val="none" w:sz="0" w:space="0" w:color="auto"/>
          </w:divBdr>
        </w:div>
        <w:div w:id="166598144">
          <w:marLeft w:val="480"/>
          <w:marRight w:val="0"/>
          <w:marTop w:val="0"/>
          <w:marBottom w:val="0"/>
          <w:divBdr>
            <w:top w:val="none" w:sz="0" w:space="0" w:color="auto"/>
            <w:left w:val="none" w:sz="0" w:space="0" w:color="auto"/>
            <w:bottom w:val="none" w:sz="0" w:space="0" w:color="auto"/>
            <w:right w:val="none" w:sz="0" w:space="0" w:color="auto"/>
          </w:divBdr>
        </w:div>
        <w:div w:id="257713840">
          <w:marLeft w:val="480"/>
          <w:marRight w:val="0"/>
          <w:marTop w:val="0"/>
          <w:marBottom w:val="0"/>
          <w:divBdr>
            <w:top w:val="none" w:sz="0" w:space="0" w:color="auto"/>
            <w:left w:val="none" w:sz="0" w:space="0" w:color="auto"/>
            <w:bottom w:val="none" w:sz="0" w:space="0" w:color="auto"/>
            <w:right w:val="none" w:sz="0" w:space="0" w:color="auto"/>
          </w:divBdr>
        </w:div>
        <w:div w:id="310213295">
          <w:marLeft w:val="480"/>
          <w:marRight w:val="0"/>
          <w:marTop w:val="0"/>
          <w:marBottom w:val="0"/>
          <w:divBdr>
            <w:top w:val="none" w:sz="0" w:space="0" w:color="auto"/>
            <w:left w:val="none" w:sz="0" w:space="0" w:color="auto"/>
            <w:bottom w:val="none" w:sz="0" w:space="0" w:color="auto"/>
            <w:right w:val="none" w:sz="0" w:space="0" w:color="auto"/>
          </w:divBdr>
        </w:div>
        <w:div w:id="1090390728">
          <w:marLeft w:val="480"/>
          <w:marRight w:val="0"/>
          <w:marTop w:val="0"/>
          <w:marBottom w:val="0"/>
          <w:divBdr>
            <w:top w:val="none" w:sz="0" w:space="0" w:color="auto"/>
            <w:left w:val="none" w:sz="0" w:space="0" w:color="auto"/>
            <w:bottom w:val="none" w:sz="0" w:space="0" w:color="auto"/>
            <w:right w:val="none" w:sz="0" w:space="0" w:color="auto"/>
          </w:divBdr>
        </w:div>
        <w:div w:id="485825590">
          <w:marLeft w:val="480"/>
          <w:marRight w:val="0"/>
          <w:marTop w:val="0"/>
          <w:marBottom w:val="0"/>
          <w:divBdr>
            <w:top w:val="none" w:sz="0" w:space="0" w:color="auto"/>
            <w:left w:val="none" w:sz="0" w:space="0" w:color="auto"/>
            <w:bottom w:val="none" w:sz="0" w:space="0" w:color="auto"/>
            <w:right w:val="none" w:sz="0" w:space="0" w:color="auto"/>
          </w:divBdr>
        </w:div>
        <w:div w:id="1129669880">
          <w:marLeft w:val="480"/>
          <w:marRight w:val="0"/>
          <w:marTop w:val="0"/>
          <w:marBottom w:val="0"/>
          <w:divBdr>
            <w:top w:val="none" w:sz="0" w:space="0" w:color="auto"/>
            <w:left w:val="none" w:sz="0" w:space="0" w:color="auto"/>
            <w:bottom w:val="none" w:sz="0" w:space="0" w:color="auto"/>
            <w:right w:val="none" w:sz="0" w:space="0" w:color="auto"/>
          </w:divBdr>
        </w:div>
      </w:divsChild>
    </w:div>
    <w:div w:id="840046076">
      <w:bodyDiv w:val="1"/>
      <w:marLeft w:val="0"/>
      <w:marRight w:val="0"/>
      <w:marTop w:val="0"/>
      <w:marBottom w:val="0"/>
      <w:divBdr>
        <w:top w:val="none" w:sz="0" w:space="0" w:color="auto"/>
        <w:left w:val="none" w:sz="0" w:space="0" w:color="auto"/>
        <w:bottom w:val="none" w:sz="0" w:space="0" w:color="auto"/>
        <w:right w:val="none" w:sz="0" w:space="0" w:color="auto"/>
      </w:divBdr>
      <w:divsChild>
        <w:div w:id="1933464053">
          <w:marLeft w:val="480"/>
          <w:marRight w:val="0"/>
          <w:marTop w:val="0"/>
          <w:marBottom w:val="0"/>
          <w:divBdr>
            <w:top w:val="none" w:sz="0" w:space="0" w:color="auto"/>
            <w:left w:val="none" w:sz="0" w:space="0" w:color="auto"/>
            <w:bottom w:val="none" w:sz="0" w:space="0" w:color="auto"/>
            <w:right w:val="none" w:sz="0" w:space="0" w:color="auto"/>
          </w:divBdr>
        </w:div>
        <w:div w:id="913589599">
          <w:marLeft w:val="480"/>
          <w:marRight w:val="0"/>
          <w:marTop w:val="0"/>
          <w:marBottom w:val="0"/>
          <w:divBdr>
            <w:top w:val="none" w:sz="0" w:space="0" w:color="auto"/>
            <w:left w:val="none" w:sz="0" w:space="0" w:color="auto"/>
            <w:bottom w:val="none" w:sz="0" w:space="0" w:color="auto"/>
            <w:right w:val="none" w:sz="0" w:space="0" w:color="auto"/>
          </w:divBdr>
        </w:div>
        <w:div w:id="1983847617">
          <w:marLeft w:val="480"/>
          <w:marRight w:val="0"/>
          <w:marTop w:val="0"/>
          <w:marBottom w:val="0"/>
          <w:divBdr>
            <w:top w:val="none" w:sz="0" w:space="0" w:color="auto"/>
            <w:left w:val="none" w:sz="0" w:space="0" w:color="auto"/>
            <w:bottom w:val="none" w:sz="0" w:space="0" w:color="auto"/>
            <w:right w:val="none" w:sz="0" w:space="0" w:color="auto"/>
          </w:divBdr>
        </w:div>
        <w:div w:id="803693912">
          <w:marLeft w:val="480"/>
          <w:marRight w:val="0"/>
          <w:marTop w:val="0"/>
          <w:marBottom w:val="0"/>
          <w:divBdr>
            <w:top w:val="none" w:sz="0" w:space="0" w:color="auto"/>
            <w:left w:val="none" w:sz="0" w:space="0" w:color="auto"/>
            <w:bottom w:val="none" w:sz="0" w:space="0" w:color="auto"/>
            <w:right w:val="none" w:sz="0" w:space="0" w:color="auto"/>
          </w:divBdr>
        </w:div>
        <w:div w:id="47340388">
          <w:marLeft w:val="480"/>
          <w:marRight w:val="0"/>
          <w:marTop w:val="0"/>
          <w:marBottom w:val="0"/>
          <w:divBdr>
            <w:top w:val="none" w:sz="0" w:space="0" w:color="auto"/>
            <w:left w:val="none" w:sz="0" w:space="0" w:color="auto"/>
            <w:bottom w:val="none" w:sz="0" w:space="0" w:color="auto"/>
            <w:right w:val="none" w:sz="0" w:space="0" w:color="auto"/>
          </w:divBdr>
        </w:div>
        <w:div w:id="819462398">
          <w:marLeft w:val="480"/>
          <w:marRight w:val="0"/>
          <w:marTop w:val="0"/>
          <w:marBottom w:val="0"/>
          <w:divBdr>
            <w:top w:val="none" w:sz="0" w:space="0" w:color="auto"/>
            <w:left w:val="none" w:sz="0" w:space="0" w:color="auto"/>
            <w:bottom w:val="none" w:sz="0" w:space="0" w:color="auto"/>
            <w:right w:val="none" w:sz="0" w:space="0" w:color="auto"/>
          </w:divBdr>
        </w:div>
        <w:div w:id="537163190">
          <w:marLeft w:val="480"/>
          <w:marRight w:val="0"/>
          <w:marTop w:val="0"/>
          <w:marBottom w:val="0"/>
          <w:divBdr>
            <w:top w:val="none" w:sz="0" w:space="0" w:color="auto"/>
            <w:left w:val="none" w:sz="0" w:space="0" w:color="auto"/>
            <w:bottom w:val="none" w:sz="0" w:space="0" w:color="auto"/>
            <w:right w:val="none" w:sz="0" w:space="0" w:color="auto"/>
          </w:divBdr>
        </w:div>
        <w:div w:id="2129739502">
          <w:marLeft w:val="480"/>
          <w:marRight w:val="0"/>
          <w:marTop w:val="0"/>
          <w:marBottom w:val="0"/>
          <w:divBdr>
            <w:top w:val="none" w:sz="0" w:space="0" w:color="auto"/>
            <w:left w:val="none" w:sz="0" w:space="0" w:color="auto"/>
            <w:bottom w:val="none" w:sz="0" w:space="0" w:color="auto"/>
            <w:right w:val="none" w:sz="0" w:space="0" w:color="auto"/>
          </w:divBdr>
        </w:div>
        <w:div w:id="1250623536">
          <w:marLeft w:val="480"/>
          <w:marRight w:val="0"/>
          <w:marTop w:val="0"/>
          <w:marBottom w:val="0"/>
          <w:divBdr>
            <w:top w:val="none" w:sz="0" w:space="0" w:color="auto"/>
            <w:left w:val="none" w:sz="0" w:space="0" w:color="auto"/>
            <w:bottom w:val="none" w:sz="0" w:space="0" w:color="auto"/>
            <w:right w:val="none" w:sz="0" w:space="0" w:color="auto"/>
          </w:divBdr>
        </w:div>
      </w:divsChild>
    </w:div>
    <w:div w:id="852761612">
      <w:bodyDiv w:val="1"/>
      <w:marLeft w:val="0"/>
      <w:marRight w:val="0"/>
      <w:marTop w:val="0"/>
      <w:marBottom w:val="0"/>
      <w:divBdr>
        <w:top w:val="none" w:sz="0" w:space="0" w:color="auto"/>
        <w:left w:val="none" w:sz="0" w:space="0" w:color="auto"/>
        <w:bottom w:val="none" w:sz="0" w:space="0" w:color="auto"/>
        <w:right w:val="none" w:sz="0" w:space="0" w:color="auto"/>
      </w:divBdr>
    </w:div>
    <w:div w:id="951477083">
      <w:bodyDiv w:val="1"/>
      <w:marLeft w:val="0"/>
      <w:marRight w:val="0"/>
      <w:marTop w:val="0"/>
      <w:marBottom w:val="0"/>
      <w:divBdr>
        <w:top w:val="none" w:sz="0" w:space="0" w:color="auto"/>
        <w:left w:val="none" w:sz="0" w:space="0" w:color="auto"/>
        <w:bottom w:val="none" w:sz="0" w:space="0" w:color="auto"/>
        <w:right w:val="none" w:sz="0" w:space="0" w:color="auto"/>
      </w:divBdr>
    </w:div>
    <w:div w:id="990449295">
      <w:bodyDiv w:val="1"/>
      <w:marLeft w:val="0"/>
      <w:marRight w:val="0"/>
      <w:marTop w:val="0"/>
      <w:marBottom w:val="0"/>
      <w:divBdr>
        <w:top w:val="none" w:sz="0" w:space="0" w:color="auto"/>
        <w:left w:val="none" w:sz="0" w:space="0" w:color="auto"/>
        <w:bottom w:val="none" w:sz="0" w:space="0" w:color="auto"/>
        <w:right w:val="none" w:sz="0" w:space="0" w:color="auto"/>
      </w:divBdr>
      <w:divsChild>
        <w:div w:id="162161134">
          <w:marLeft w:val="480"/>
          <w:marRight w:val="0"/>
          <w:marTop w:val="0"/>
          <w:marBottom w:val="0"/>
          <w:divBdr>
            <w:top w:val="none" w:sz="0" w:space="0" w:color="auto"/>
            <w:left w:val="none" w:sz="0" w:space="0" w:color="auto"/>
            <w:bottom w:val="none" w:sz="0" w:space="0" w:color="auto"/>
            <w:right w:val="none" w:sz="0" w:space="0" w:color="auto"/>
          </w:divBdr>
        </w:div>
        <w:div w:id="2104107012">
          <w:marLeft w:val="480"/>
          <w:marRight w:val="0"/>
          <w:marTop w:val="0"/>
          <w:marBottom w:val="0"/>
          <w:divBdr>
            <w:top w:val="none" w:sz="0" w:space="0" w:color="auto"/>
            <w:left w:val="none" w:sz="0" w:space="0" w:color="auto"/>
            <w:bottom w:val="none" w:sz="0" w:space="0" w:color="auto"/>
            <w:right w:val="none" w:sz="0" w:space="0" w:color="auto"/>
          </w:divBdr>
        </w:div>
        <w:div w:id="1467048234">
          <w:marLeft w:val="480"/>
          <w:marRight w:val="0"/>
          <w:marTop w:val="0"/>
          <w:marBottom w:val="0"/>
          <w:divBdr>
            <w:top w:val="none" w:sz="0" w:space="0" w:color="auto"/>
            <w:left w:val="none" w:sz="0" w:space="0" w:color="auto"/>
            <w:bottom w:val="none" w:sz="0" w:space="0" w:color="auto"/>
            <w:right w:val="none" w:sz="0" w:space="0" w:color="auto"/>
          </w:divBdr>
        </w:div>
        <w:div w:id="728848338">
          <w:marLeft w:val="480"/>
          <w:marRight w:val="0"/>
          <w:marTop w:val="0"/>
          <w:marBottom w:val="0"/>
          <w:divBdr>
            <w:top w:val="none" w:sz="0" w:space="0" w:color="auto"/>
            <w:left w:val="none" w:sz="0" w:space="0" w:color="auto"/>
            <w:bottom w:val="none" w:sz="0" w:space="0" w:color="auto"/>
            <w:right w:val="none" w:sz="0" w:space="0" w:color="auto"/>
          </w:divBdr>
        </w:div>
        <w:div w:id="770131427">
          <w:marLeft w:val="480"/>
          <w:marRight w:val="0"/>
          <w:marTop w:val="0"/>
          <w:marBottom w:val="0"/>
          <w:divBdr>
            <w:top w:val="none" w:sz="0" w:space="0" w:color="auto"/>
            <w:left w:val="none" w:sz="0" w:space="0" w:color="auto"/>
            <w:bottom w:val="none" w:sz="0" w:space="0" w:color="auto"/>
            <w:right w:val="none" w:sz="0" w:space="0" w:color="auto"/>
          </w:divBdr>
        </w:div>
        <w:div w:id="1031764536">
          <w:marLeft w:val="480"/>
          <w:marRight w:val="0"/>
          <w:marTop w:val="0"/>
          <w:marBottom w:val="0"/>
          <w:divBdr>
            <w:top w:val="none" w:sz="0" w:space="0" w:color="auto"/>
            <w:left w:val="none" w:sz="0" w:space="0" w:color="auto"/>
            <w:bottom w:val="none" w:sz="0" w:space="0" w:color="auto"/>
            <w:right w:val="none" w:sz="0" w:space="0" w:color="auto"/>
          </w:divBdr>
        </w:div>
        <w:div w:id="1725525232">
          <w:marLeft w:val="480"/>
          <w:marRight w:val="0"/>
          <w:marTop w:val="0"/>
          <w:marBottom w:val="0"/>
          <w:divBdr>
            <w:top w:val="none" w:sz="0" w:space="0" w:color="auto"/>
            <w:left w:val="none" w:sz="0" w:space="0" w:color="auto"/>
            <w:bottom w:val="none" w:sz="0" w:space="0" w:color="auto"/>
            <w:right w:val="none" w:sz="0" w:space="0" w:color="auto"/>
          </w:divBdr>
        </w:div>
        <w:div w:id="1222516290">
          <w:marLeft w:val="480"/>
          <w:marRight w:val="0"/>
          <w:marTop w:val="0"/>
          <w:marBottom w:val="0"/>
          <w:divBdr>
            <w:top w:val="none" w:sz="0" w:space="0" w:color="auto"/>
            <w:left w:val="none" w:sz="0" w:space="0" w:color="auto"/>
            <w:bottom w:val="none" w:sz="0" w:space="0" w:color="auto"/>
            <w:right w:val="none" w:sz="0" w:space="0" w:color="auto"/>
          </w:divBdr>
        </w:div>
        <w:div w:id="1834251620">
          <w:marLeft w:val="480"/>
          <w:marRight w:val="0"/>
          <w:marTop w:val="0"/>
          <w:marBottom w:val="0"/>
          <w:divBdr>
            <w:top w:val="none" w:sz="0" w:space="0" w:color="auto"/>
            <w:left w:val="none" w:sz="0" w:space="0" w:color="auto"/>
            <w:bottom w:val="none" w:sz="0" w:space="0" w:color="auto"/>
            <w:right w:val="none" w:sz="0" w:space="0" w:color="auto"/>
          </w:divBdr>
        </w:div>
        <w:div w:id="454758129">
          <w:marLeft w:val="480"/>
          <w:marRight w:val="0"/>
          <w:marTop w:val="0"/>
          <w:marBottom w:val="0"/>
          <w:divBdr>
            <w:top w:val="none" w:sz="0" w:space="0" w:color="auto"/>
            <w:left w:val="none" w:sz="0" w:space="0" w:color="auto"/>
            <w:bottom w:val="none" w:sz="0" w:space="0" w:color="auto"/>
            <w:right w:val="none" w:sz="0" w:space="0" w:color="auto"/>
          </w:divBdr>
        </w:div>
      </w:divsChild>
    </w:div>
    <w:div w:id="995038731">
      <w:bodyDiv w:val="1"/>
      <w:marLeft w:val="0"/>
      <w:marRight w:val="0"/>
      <w:marTop w:val="0"/>
      <w:marBottom w:val="0"/>
      <w:divBdr>
        <w:top w:val="none" w:sz="0" w:space="0" w:color="auto"/>
        <w:left w:val="none" w:sz="0" w:space="0" w:color="auto"/>
        <w:bottom w:val="none" w:sz="0" w:space="0" w:color="auto"/>
        <w:right w:val="none" w:sz="0" w:space="0" w:color="auto"/>
      </w:divBdr>
      <w:divsChild>
        <w:div w:id="1598715139">
          <w:marLeft w:val="480"/>
          <w:marRight w:val="0"/>
          <w:marTop w:val="0"/>
          <w:marBottom w:val="0"/>
          <w:divBdr>
            <w:top w:val="none" w:sz="0" w:space="0" w:color="auto"/>
            <w:left w:val="none" w:sz="0" w:space="0" w:color="auto"/>
            <w:bottom w:val="none" w:sz="0" w:space="0" w:color="auto"/>
            <w:right w:val="none" w:sz="0" w:space="0" w:color="auto"/>
          </w:divBdr>
        </w:div>
        <w:div w:id="398211657">
          <w:marLeft w:val="480"/>
          <w:marRight w:val="0"/>
          <w:marTop w:val="0"/>
          <w:marBottom w:val="0"/>
          <w:divBdr>
            <w:top w:val="none" w:sz="0" w:space="0" w:color="auto"/>
            <w:left w:val="none" w:sz="0" w:space="0" w:color="auto"/>
            <w:bottom w:val="none" w:sz="0" w:space="0" w:color="auto"/>
            <w:right w:val="none" w:sz="0" w:space="0" w:color="auto"/>
          </w:divBdr>
        </w:div>
        <w:div w:id="558173618">
          <w:marLeft w:val="480"/>
          <w:marRight w:val="0"/>
          <w:marTop w:val="0"/>
          <w:marBottom w:val="0"/>
          <w:divBdr>
            <w:top w:val="none" w:sz="0" w:space="0" w:color="auto"/>
            <w:left w:val="none" w:sz="0" w:space="0" w:color="auto"/>
            <w:bottom w:val="none" w:sz="0" w:space="0" w:color="auto"/>
            <w:right w:val="none" w:sz="0" w:space="0" w:color="auto"/>
          </w:divBdr>
        </w:div>
        <w:div w:id="1898544075">
          <w:marLeft w:val="480"/>
          <w:marRight w:val="0"/>
          <w:marTop w:val="0"/>
          <w:marBottom w:val="0"/>
          <w:divBdr>
            <w:top w:val="none" w:sz="0" w:space="0" w:color="auto"/>
            <w:left w:val="none" w:sz="0" w:space="0" w:color="auto"/>
            <w:bottom w:val="none" w:sz="0" w:space="0" w:color="auto"/>
            <w:right w:val="none" w:sz="0" w:space="0" w:color="auto"/>
          </w:divBdr>
        </w:div>
        <w:div w:id="930511778">
          <w:marLeft w:val="480"/>
          <w:marRight w:val="0"/>
          <w:marTop w:val="0"/>
          <w:marBottom w:val="0"/>
          <w:divBdr>
            <w:top w:val="none" w:sz="0" w:space="0" w:color="auto"/>
            <w:left w:val="none" w:sz="0" w:space="0" w:color="auto"/>
            <w:bottom w:val="none" w:sz="0" w:space="0" w:color="auto"/>
            <w:right w:val="none" w:sz="0" w:space="0" w:color="auto"/>
          </w:divBdr>
        </w:div>
        <w:div w:id="365571238">
          <w:marLeft w:val="480"/>
          <w:marRight w:val="0"/>
          <w:marTop w:val="0"/>
          <w:marBottom w:val="0"/>
          <w:divBdr>
            <w:top w:val="none" w:sz="0" w:space="0" w:color="auto"/>
            <w:left w:val="none" w:sz="0" w:space="0" w:color="auto"/>
            <w:bottom w:val="none" w:sz="0" w:space="0" w:color="auto"/>
            <w:right w:val="none" w:sz="0" w:space="0" w:color="auto"/>
          </w:divBdr>
        </w:div>
        <w:div w:id="1888762684">
          <w:marLeft w:val="480"/>
          <w:marRight w:val="0"/>
          <w:marTop w:val="0"/>
          <w:marBottom w:val="0"/>
          <w:divBdr>
            <w:top w:val="none" w:sz="0" w:space="0" w:color="auto"/>
            <w:left w:val="none" w:sz="0" w:space="0" w:color="auto"/>
            <w:bottom w:val="none" w:sz="0" w:space="0" w:color="auto"/>
            <w:right w:val="none" w:sz="0" w:space="0" w:color="auto"/>
          </w:divBdr>
        </w:div>
        <w:div w:id="357859070">
          <w:marLeft w:val="480"/>
          <w:marRight w:val="0"/>
          <w:marTop w:val="0"/>
          <w:marBottom w:val="0"/>
          <w:divBdr>
            <w:top w:val="none" w:sz="0" w:space="0" w:color="auto"/>
            <w:left w:val="none" w:sz="0" w:space="0" w:color="auto"/>
            <w:bottom w:val="none" w:sz="0" w:space="0" w:color="auto"/>
            <w:right w:val="none" w:sz="0" w:space="0" w:color="auto"/>
          </w:divBdr>
        </w:div>
        <w:div w:id="367875846">
          <w:marLeft w:val="480"/>
          <w:marRight w:val="0"/>
          <w:marTop w:val="0"/>
          <w:marBottom w:val="0"/>
          <w:divBdr>
            <w:top w:val="none" w:sz="0" w:space="0" w:color="auto"/>
            <w:left w:val="none" w:sz="0" w:space="0" w:color="auto"/>
            <w:bottom w:val="none" w:sz="0" w:space="0" w:color="auto"/>
            <w:right w:val="none" w:sz="0" w:space="0" w:color="auto"/>
          </w:divBdr>
        </w:div>
        <w:div w:id="800423930">
          <w:marLeft w:val="480"/>
          <w:marRight w:val="0"/>
          <w:marTop w:val="0"/>
          <w:marBottom w:val="0"/>
          <w:divBdr>
            <w:top w:val="none" w:sz="0" w:space="0" w:color="auto"/>
            <w:left w:val="none" w:sz="0" w:space="0" w:color="auto"/>
            <w:bottom w:val="none" w:sz="0" w:space="0" w:color="auto"/>
            <w:right w:val="none" w:sz="0" w:space="0" w:color="auto"/>
          </w:divBdr>
        </w:div>
      </w:divsChild>
    </w:div>
    <w:div w:id="1015770260">
      <w:bodyDiv w:val="1"/>
      <w:marLeft w:val="0"/>
      <w:marRight w:val="0"/>
      <w:marTop w:val="0"/>
      <w:marBottom w:val="0"/>
      <w:divBdr>
        <w:top w:val="none" w:sz="0" w:space="0" w:color="auto"/>
        <w:left w:val="none" w:sz="0" w:space="0" w:color="auto"/>
        <w:bottom w:val="none" w:sz="0" w:space="0" w:color="auto"/>
        <w:right w:val="none" w:sz="0" w:space="0" w:color="auto"/>
      </w:divBdr>
    </w:div>
    <w:div w:id="1066688159">
      <w:bodyDiv w:val="1"/>
      <w:marLeft w:val="0"/>
      <w:marRight w:val="0"/>
      <w:marTop w:val="0"/>
      <w:marBottom w:val="0"/>
      <w:divBdr>
        <w:top w:val="none" w:sz="0" w:space="0" w:color="auto"/>
        <w:left w:val="none" w:sz="0" w:space="0" w:color="auto"/>
        <w:bottom w:val="none" w:sz="0" w:space="0" w:color="auto"/>
        <w:right w:val="none" w:sz="0" w:space="0" w:color="auto"/>
      </w:divBdr>
      <w:divsChild>
        <w:div w:id="1659917247">
          <w:marLeft w:val="480"/>
          <w:marRight w:val="0"/>
          <w:marTop w:val="0"/>
          <w:marBottom w:val="0"/>
          <w:divBdr>
            <w:top w:val="none" w:sz="0" w:space="0" w:color="auto"/>
            <w:left w:val="none" w:sz="0" w:space="0" w:color="auto"/>
            <w:bottom w:val="none" w:sz="0" w:space="0" w:color="auto"/>
            <w:right w:val="none" w:sz="0" w:space="0" w:color="auto"/>
          </w:divBdr>
        </w:div>
        <w:div w:id="1867252347">
          <w:marLeft w:val="480"/>
          <w:marRight w:val="0"/>
          <w:marTop w:val="0"/>
          <w:marBottom w:val="0"/>
          <w:divBdr>
            <w:top w:val="none" w:sz="0" w:space="0" w:color="auto"/>
            <w:left w:val="none" w:sz="0" w:space="0" w:color="auto"/>
            <w:bottom w:val="none" w:sz="0" w:space="0" w:color="auto"/>
            <w:right w:val="none" w:sz="0" w:space="0" w:color="auto"/>
          </w:divBdr>
        </w:div>
        <w:div w:id="627980151">
          <w:marLeft w:val="480"/>
          <w:marRight w:val="0"/>
          <w:marTop w:val="0"/>
          <w:marBottom w:val="0"/>
          <w:divBdr>
            <w:top w:val="none" w:sz="0" w:space="0" w:color="auto"/>
            <w:left w:val="none" w:sz="0" w:space="0" w:color="auto"/>
            <w:bottom w:val="none" w:sz="0" w:space="0" w:color="auto"/>
            <w:right w:val="none" w:sz="0" w:space="0" w:color="auto"/>
          </w:divBdr>
        </w:div>
        <w:div w:id="1799565809">
          <w:marLeft w:val="480"/>
          <w:marRight w:val="0"/>
          <w:marTop w:val="0"/>
          <w:marBottom w:val="0"/>
          <w:divBdr>
            <w:top w:val="none" w:sz="0" w:space="0" w:color="auto"/>
            <w:left w:val="none" w:sz="0" w:space="0" w:color="auto"/>
            <w:bottom w:val="none" w:sz="0" w:space="0" w:color="auto"/>
            <w:right w:val="none" w:sz="0" w:space="0" w:color="auto"/>
          </w:divBdr>
        </w:div>
        <w:div w:id="2124574382">
          <w:marLeft w:val="480"/>
          <w:marRight w:val="0"/>
          <w:marTop w:val="0"/>
          <w:marBottom w:val="0"/>
          <w:divBdr>
            <w:top w:val="none" w:sz="0" w:space="0" w:color="auto"/>
            <w:left w:val="none" w:sz="0" w:space="0" w:color="auto"/>
            <w:bottom w:val="none" w:sz="0" w:space="0" w:color="auto"/>
            <w:right w:val="none" w:sz="0" w:space="0" w:color="auto"/>
          </w:divBdr>
        </w:div>
        <w:div w:id="1158032708">
          <w:marLeft w:val="480"/>
          <w:marRight w:val="0"/>
          <w:marTop w:val="0"/>
          <w:marBottom w:val="0"/>
          <w:divBdr>
            <w:top w:val="none" w:sz="0" w:space="0" w:color="auto"/>
            <w:left w:val="none" w:sz="0" w:space="0" w:color="auto"/>
            <w:bottom w:val="none" w:sz="0" w:space="0" w:color="auto"/>
            <w:right w:val="none" w:sz="0" w:space="0" w:color="auto"/>
          </w:divBdr>
        </w:div>
        <w:div w:id="278220489">
          <w:marLeft w:val="480"/>
          <w:marRight w:val="0"/>
          <w:marTop w:val="0"/>
          <w:marBottom w:val="0"/>
          <w:divBdr>
            <w:top w:val="none" w:sz="0" w:space="0" w:color="auto"/>
            <w:left w:val="none" w:sz="0" w:space="0" w:color="auto"/>
            <w:bottom w:val="none" w:sz="0" w:space="0" w:color="auto"/>
            <w:right w:val="none" w:sz="0" w:space="0" w:color="auto"/>
          </w:divBdr>
        </w:div>
        <w:div w:id="318266820">
          <w:marLeft w:val="480"/>
          <w:marRight w:val="0"/>
          <w:marTop w:val="0"/>
          <w:marBottom w:val="0"/>
          <w:divBdr>
            <w:top w:val="none" w:sz="0" w:space="0" w:color="auto"/>
            <w:left w:val="none" w:sz="0" w:space="0" w:color="auto"/>
            <w:bottom w:val="none" w:sz="0" w:space="0" w:color="auto"/>
            <w:right w:val="none" w:sz="0" w:space="0" w:color="auto"/>
          </w:divBdr>
        </w:div>
        <w:div w:id="1219394407">
          <w:marLeft w:val="480"/>
          <w:marRight w:val="0"/>
          <w:marTop w:val="0"/>
          <w:marBottom w:val="0"/>
          <w:divBdr>
            <w:top w:val="none" w:sz="0" w:space="0" w:color="auto"/>
            <w:left w:val="none" w:sz="0" w:space="0" w:color="auto"/>
            <w:bottom w:val="none" w:sz="0" w:space="0" w:color="auto"/>
            <w:right w:val="none" w:sz="0" w:space="0" w:color="auto"/>
          </w:divBdr>
        </w:div>
      </w:divsChild>
    </w:div>
    <w:div w:id="1077287987">
      <w:bodyDiv w:val="1"/>
      <w:marLeft w:val="0"/>
      <w:marRight w:val="0"/>
      <w:marTop w:val="0"/>
      <w:marBottom w:val="0"/>
      <w:divBdr>
        <w:top w:val="none" w:sz="0" w:space="0" w:color="auto"/>
        <w:left w:val="none" w:sz="0" w:space="0" w:color="auto"/>
        <w:bottom w:val="none" w:sz="0" w:space="0" w:color="auto"/>
        <w:right w:val="none" w:sz="0" w:space="0" w:color="auto"/>
      </w:divBdr>
    </w:div>
    <w:div w:id="1264605582">
      <w:bodyDiv w:val="1"/>
      <w:marLeft w:val="0"/>
      <w:marRight w:val="0"/>
      <w:marTop w:val="0"/>
      <w:marBottom w:val="0"/>
      <w:divBdr>
        <w:top w:val="none" w:sz="0" w:space="0" w:color="auto"/>
        <w:left w:val="none" w:sz="0" w:space="0" w:color="auto"/>
        <w:bottom w:val="none" w:sz="0" w:space="0" w:color="auto"/>
        <w:right w:val="none" w:sz="0" w:space="0" w:color="auto"/>
      </w:divBdr>
      <w:divsChild>
        <w:div w:id="1019772353">
          <w:marLeft w:val="480"/>
          <w:marRight w:val="0"/>
          <w:marTop w:val="0"/>
          <w:marBottom w:val="0"/>
          <w:divBdr>
            <w:top w:val="none" w:sz="0" w:space="0" w:color="auto"/>
            <w:left w:val="none" w:sz="0" w:space="0" w:color="auto"/>
            <w:bottom w:val="none" w:sz="0" w:space="0" w:color="auto"/>
            <w:right w:val="none" w:sz="0" w:space="0" w:color="auto"/>
          </w:divBdr>
        </w:div>
        <w:div w:id="1928418000">
          <w:marLeft w:val="480"/>
          <w:marRight w:val="0"/>
          <w:marTop w:val="0"/>
          <w:marBottom w:val="0"/>
          <w:divBdr>
            <w:top w:val="none" w:sz="0" w:space="0" w:color="auto"/>
            <w:left w:val="none" w:sz="0" w:space="0" w:color="auto"/>
            <w:bottom w:val="none" w:sz="0" w:space="0" w:color="auto"/>
            <w:right w:val="none" w:sz="0" w:space="0" w:color="auto"/>
          </w:divBdr>
        </w:div>
        <w:div w:id="607784944">
          <w:marLeft w:val="480"/>
          <w:marRight w:val="0"/>
          <w:marTop w:val="0"/>
          <w:marBottom w:val="0"/>
          <w:divBdr>
            <w:top w:val="none" w:sz="0" w:space="0" w:color="auto"/>
            <w:left w:val="none" w:sz="0" w:space="0" w:color="auto"/>
            <w:bottom w:val="none" w:sz="0" w:space="0" w:color="auto"/>
            <w:right w:val="none" w:sz="0" w:space="0" w:color="auto"/>
          </w:divBdr>
        </w:div>
        <w:div w:id="1906527567">
          <w:marLeft w:val="480"/>
          <w:marRight w:val="0"/>
          <w:marTop w:val="0"/>
          <w:marBottom w:val="0"/>
          <w:divBdr>
            <w:top w:val="none" w:sz="0" w:space="0" w:color="auto"/>
            <w:left w:val="none" w:sz="0" w:space="0" w:color="auto"/>
            <w:bottom w:val="none" w:sz="0" w:space="0" w:color="auto"/>
            <w:right w:val="none" w:sz="0" w:space="0" w:color="auto"/>
          </w:divBdr>
        </w:div>
        <w:div w:id="1878423423">
          <w:marLeft w:val="480"/>
          <w:marRight w:val="0"/>
          <w:marTop w:val="0"/>
          <w:marBottom w:val="0"/>
          <w:divBdr>
            <w:top w:val="none" w:sz="0" w:space="0" w:color="auto"/>
            <w:left w:val="none" w:sz="0" w:space="0" w:color="auto"/>
            <w:bottom w:val="none" w:sz="0" w:space="0" w:color="auto"/>
            <w:right w:val="none" w:sz="0" w:space="0" w:color="auto"/>
          </w:divBdr>
        </w:div>
        <w:div w:id="1999726262">
          <w:marLeft w:val="480"/>
          <w:marRight w:val="0"/>
          <w:marTop w:val="0"/>
          <w:marBottom w:val="0"/>
          <w:divBdr>
            <w:top w:val="none" w:sz="0" w:space="0" w:color="auto"/>
            <w:left w:val="none" w:sz="0" w:space="0" w:color="auto"/>
            <w:bottom w:val="none" w:sz="0" w:space="0" w:color="auto"/>
            <w:right w:val="none" w:sz="0" w:space="0" w:color="auto"/>
          </w:divBdr>
        </w:div>
        <w:div w:id="1838617124">
          <w:marLeft w:val="480"/>
          <w:marRight w:val="0"/>
          <w:marTop w:val="0"/>
          <w:marBottom w:val="0"/>
          <w:divBdr>
            <w:top w:val="none" w:sz="0" w:space="0" w:color="auto"/>
            <w:left w:val="none" w:sz="0" w:space="0" w:color="auto"/>
            <w:bottom w:val="none" w:sz="0" w:space="0" w:color="auto"/>
            <w:right w:val="none" w:sz="0" w:space="0" w:color="auto"/>
          </w:divBdr>
        </w:div>
        <w:div w:id="1776822819">
          <w:marLeft w:val="480"/>
          <w:marRight w:val="0"/>
          <w:marTop w:val="0"/>
          <w:marBottom w:val="0"/>
          <w:divBdr>
            <w:top w:val="none" w:sz="0" w:space="0" w:color="auto"/>
            <w:left w:val="none" w:sz="0" w:space="0" w:color="auto"/>
            <w:bottom w:val="none" w:sz="0" w:space="0" w:color="auto"/>
            <w:right w:val="none" w:sz="0" w:space="0" w:color="auto"/>
          </w:divBdr>
        </w:div>
        <w:div w:id="560671863">
          <w:marLeft w:val="480"/>
          <w:marRight w:val="0"/>
          <w:marTop w:val="0"/>
          <w:marBottom w:val="0"/>
          <w:divBdr>
            <w:top w:val="none" w:sz="0" w:space="0" w:color="auto"/>
            <w:left w:val="none" w:sz="0" w:space="0" w:color="auto"/>
            <w:bottom w:val="none" w:sz="0" w:space="0" w:color="auto"/>
            <w:right w:val="none" w:sz="0" w:space="0" w:color="auto"/>
          </w:divBdr>
        </w:div>
        <w:div w:id="1706101419">
          <w:marLeft w:val="480"/>
          <w:marRight w:val="0"/>
          <w:marTop w:val="0"/>
          <w:marBottom w:val="0"/>
          <w:divBdr>
            <w:top w:val="none" w:sz="0" w:space="0" w:color="auto"/>
            <w:left w:val="none" w:sz="0" w:space="0" w:color="auto"/>
            <w:bottom w:val="none" w:sz="0" w:space="0" w:color="auto"/>
            <w:right w:val="none" w:sz="0" w:space="0" w:color="auto"/>
          </w:divBdr>
        </w:div>
        <w:div w:id="1455826338">
          <w:marLeft w:val="480"/>
          <w:marRight w:val="0"/>
          <w:marTop w:val="0"/>
          <w:marBottom w:val="0"/>
          <w:divBdr>
            <w:top w:val="none" w:sz="0" w:space="0" w:color="auto"/>
            <w:left w:val="none" w:sz="0" w:space="0" w:color="auto"/>
            <w:bottom w:val="none" w:sz="0" w:space="0" w:color="auto"/>
            <w:right w:val="none" w:sz="0" w:space="0" w:color="auto"/>
          </w:divBdr>
        </w:div>
        <w:div w:id="1438524827">
          <w:marLeft w:val="480"/>
          <w:marRight w:val="0"/>
          <w:marTop w:val="0"/>
          <w:marBottom w:val="0"/>
          <w:divBdr>
            <w:top w:val="none" w:sz="0" w:space="0" w:color="auto"/>
            <w:left w:val="none" w:sz="0" w:space="0" w:color="auto"/>
            <w:bottom w:val="none" w:sz="0" w:space="0" w:color="auto"/>
            <w:right w:val="none" w:sz="0" w:space="0" w:color="auto"/>
          </w:divBdr>
        </w:div>
      </w:divsChild>
    </w:div>
    <w:div w:id="1303463583">
      <w:bodyDiv w:val="1"/>
      <w:marLeft w:val="0"/>
      <w:marRight w:val="0"/>
      <w:marTop w:val="0"/>
      <w:marBottom w:val="0"/>
      <w:divBdr>
        <w:top w:val="none" w:sz="0" w:space="0" w:color="auto"/>
        <w:left w:val="none" w:sz="0" w:space="0" w:color="auto"/>
        <w:bottom w:val="none" w:sz="0" w:space="0" w:color="auto"/>
        <w:right w:val="none" w:sz="0" w:space="0" w:color="auto"/>
      </w:divBdr>
      <w:divsChild>
        <w:div w:id="263879365">
          <w:marLeft w:val="480"/>
          <w:marRight w:val="0"/>
          <w:marTop w:val="0"/>
          <w:marBottom w:val="0"/>
          <w:divBdr>
            <w:top w:val="none" w:sz="0" w:space="0" w:color="auto"/>
            <w:left w:val="none" w:sz="0" w:space="0" w:color="auto"/>
            <w:bottom w:val="none" w:sz="0" w:space="0" w:color="auto"/>
            <w:right w:val="none" w:sz="0" w:space="0" w:color="auto"/>
          </w:divBdr>
        </w:div>
        <w:div w:id="209461052">
          <w:marLeft w:val="480"/>
          <w:marRight w:val="0"/>
          <w:marTop w:val="0"/>
          <w:marBottom w:val="0"/>
          <w:divBdr>
            <w:top w:val="none" w:sz="0" w:space="0" w:color="auto"/>
            <w:left w:val="none" w:sz="0" w:space="0" w:color="auto"/>
            <w:bottom w:val="none" w:sz="0" w:space="0" w:color="auto"/>
            <w:right w:val="none" w:sz="0" w:space="0" w:color="auto"/>
          </w:divBdr>
        </w:div>
        <w:div w:id="1274438796">
          <w:marLeft w:val="480"/>
          <w:marRight w:val="0"/>
          <w:marTop w:val="0"/>
          <w:marBottom w:val="0"/>
          <w:divBdr>
            <w:top w:val="none" w:sz="0" w:space="0" w:color="auto"/>
            <w:left w:val="none" w:sz="0" w:space="0" w:color="auto"/>
            <w:bottom w:val="none" w:sz="0" w:space="0" w:color="auto"/>
            <w:right w:val="none" w:sz="0" w:space="0" w:color="auto"/>
          </w:divBdr>
        </w:div>
        <w:div w:id="1989439105">
          <w:marLeft w:val="480"/>
          <w:marRight w:val="0"/>
          <w:marTop w:val="0"/>
          <w:marBottom w:val="0"/>
          <w:divBdr>
            <w:top w:val="none" w:sz="0" w:space="0" w:color="auto"/>
            <w:left w:val="none" w:sz="0" w:space="0" w:color="auto"/>
            <w:bottom w:val="none" w:sz="0" w:space="0" w:color="auto"/>
            <w:right w:val="none" w:sz="0" w:space="0" w:color="auto"/>
          </w:divBdr>
        </w:div>
        <w:div w:id="115608917">
          <w:marLeft w:val="480"/>
          <w:marRight w:val="0"/>
          <w:marTop w:val="0"/>
          <w:marBottom w:val="0"/>
          <w:divBdr>
            <w:top w:val="none" w:sz="0" w:space="0" w:color="auto"/>
            <w:left w:val="none" w:sz="0" w:space="0" w:color="auto"/>
            <w:bottom w:val="none" w:sz="0" w:space="0" w:color="auto"/>
            <w:right w:val="none" w:sz="0" w:space="0" w:color="auto"/>
          </w:divBdr>
        </w:div>
        <w:div w:id="1862281640">
          <w:marLeft w:val="480"/>
          <w:marRight w:val="0"/>
          <w:marTop w:val="0"/>
          <w:marBottom w:val="0"/>
          <w:divBdr>
            <w:top w:val="none" w:sz="0" w:space="0" w:color="auto"/>
            <w:left w:val="none" w:sz="0" w:space="0" w:color="auto"/>
            <w:bottom w:val="none" w:sz="0" w:space="0" w:color="auto"/>
            <w:right w:val="none" w:sz="0" w:space="0" w:color="auto"/>
          </w:divBdr>
        </w:div>
        <w:div w:id="467675261">
          <w:marLeft w:val="480"/>
          <w:marRight w:val="0"/>
          <w:marTop w:val="0"/>
          <w:marBottom w:val="0"/>
          <w:divBdr>
            <w:top w:val="none" w:sz="0" w:space="0" w:color="auto"/>
            <w:left w:val="none" w:sz="0" w:space="0" w:color="auto"/>
            <w:bottom w:val="none" w:sz="0" w:space="0" w:color="auto"/>
            <w:right w:val="none" w:sz="0" w:space="0" w:color="auto"/>
          </w:divBdr>
        </w:div>
        <w:div w:id="1484859423">
          <w:marLeft w:val="480"/>
          <w:marRight w:val="0"/>
          <w:marTop w:val="0"/>
          <w:marBottom w:val="0"/>
          <w:divBdr>
            <w:top w:val="none" w:sz="0" w:space="0" w:color="auto"/>
            <w:left w:val="none" w:sz="0" w:space="0" w:color="auto"/>
            <w:bottom w:val="none" w:sz="0" w:space="0" w:color="auto"/>
            <w:right w:val="none" w:sz="0" w:space="0" w:color="auto"/>
          </w:divBdr>
        </w:div>
        <w:div w:id="1127552128">
          <w:marLeft w:val="480"/>
          <w:marRight w:val="0"/>
          <w:marTop w:val="0"/>
          <w:marBottom w:val="0"/>
          <w:divBdr>
            <w:top w:val="none" w:sz="0" w:space="0" w:color="auto"/>
            <w:left w:val="none" w:sz="0" w:space="0" w:color="auto"/>
            <w:bottom w:val="none" w:sz="0" w:space="0" w:color="auto"/>
            <w:right w:val="none" w:sz="0" w:space="0" w:color="auto"/>
          </w:divBdr>
        </w:div>
        <w:div w:id="243688153">
          <w:marLeft w:val="480"/>
          <w:marRight w:val="0"/>
          <w:marTop w:val="0"/>
          <w:marBottom w:val="0"/>
          <w:divBdr>
            <w:top w:val="none" w:sz="0" w:space="0" w:color="auto"/>
            <w:left w:val="none" w:sz="0" w:space="0" w:color="auto"/>
            <w:bottom w:val="none" w:sz="0" w:space="0" w:color="auto"/>
            <w:right w:val="none" w:sz="0" w:space="0" w:color="auto"/>
          </w:divBdr>
        </w:div>
        <w:div w:id="990406606">
          <w:marLeft w:val="480"/>
          <w:marRight w:val="0"/>
          <w:marTop w:val="0"/>
          <w:marBottom w:val="0"/>
          <w:divBdr>
            <w:top w:val="none" w:sz="0" w:space="0" w:color="auto"/>
            <w:left w:val="none" w:sz="0" w:space="0" w:color="auto"/>
            <w:bottom w:val="none" w:sz="0" w:space="0" w:color="auto"/>
            <w:right w:val="none" w:sz="0" w:space="0" w:color="auto"/>
          </w:divBdr>
        </w:div>
        <w:div w:id="2009477078">
          <w:marLeft w:val="480"/>
          <w:marRight w:val="0"/>
          <w:marTop w:val="0"/>
          <w:marBottom w:val="0"/>
          <w:divBdr>
            <w:top w:val="none" w:sz="0" w:space="0" w:color="auto"/>
            <w:left w:val="none" w:sz="0" w:space="0" w:color="auto"/>
            <w:bottom w:val="none" w:sz="0" w:space="0" w:color="auto"/>
            <w:right w:val="none" w:sz="0" w:space="0" w:color="auto"/>
          </w:divBdr>
        </w:div>
      </w:divsChild>
    </w:div>
    <w:div w:id="1316566328">
      <w:bodyDiv w:val="1"/>
      <w:marLeft w:val="0"/>
      <w:marRight w:val="0"/>
      <w:marTop w:val="0"/>
      <w:marBottom w:val="0"/>
      <w:divBdr>
        <w:top w:val="none" w:sz="0" w:space="0" w:color="auto"/>
        <w:left w:val="none" w:sz="0" w:space="0" w:color="auto"/>
        <w:bottom w:val="none" w:sz="0" w:space="0" w:color="auto"/>
        <w:right w:val="none" w:sz="0" w:space="0" w:color="auto"/>
      </w:divBdr>
    </w:div>
    <w:div w:id="1476947205">
      <w:bodyDiv w:val="1"/>
      <w:marLeft w:val="0"/>
      <w:marRight w:val="0"/>
      <w:marTop w:val="0"/>
      <w:marBottom w:val="0"/>
      <w:divBdr>
        <w:top w:val="none" w:sz="0" w:space="0" w:color="auto"/>
        <w:left w:val="none" w:sz="0" w:space="0" w:color="auto"/>
        <w:bottom w:val="none" w:sz="0" w:space="0" w:color="auto"/>
        <w:right w:val="none" w:sz="0" w:space="0" w:color="auto"/>
      </w:divBdr>
    </w:div>
    <w:div w:id="1579557077">
      <w:bodyDiv w:val="1"/>
      <w:marLeft w:val="0"/>
      <w:marRight w:val="0"/>
      <w:marTop w:val="0"/>
      <w:marBottom w:val="0"/>
      <w:divBdr>
        <w:top w:val="none" w:sz="0" w:space="0" w:color="auto"/>
        <w:left w:val="none" w:sz="0" w:space="0" w:color="auto"/>
        <w:bottom w:val="none" w:sz="0" w:space="0" w:color="auto"/>
        <w:right w:val="none" w:sz="0" w:space="0" w:color="auto"/>
      </w:divBdr>
    </w:div>
    <w:div w:id="1624385503">
      <w:bodyDiv w:val="1"/>
      <w:marLeft w:val="0"/>
      <w:marRight w:val="0"/>
      <w:marTop w:val="0"/>
      <w:marBottom w:val="0"/>
      <w:divBdr>
        <w:top w:val="none" w:sz="0" w:space="0" w:color="auto"/>
        <w:left w:val="none" w:sz="0" w:space="0" w:color="auto"/>
        <w:bottom w:val="none" w:sz="0" w:space="0" w:color="auto"/>
        <w:right w:val="none" w:sz="0" w:space="0" w:color="auto"/>
      </w:divBdr>
      <w:divsChild>
        <w:div w:id="693193677">
          <w:marLeft w:val="480"/>
          <w:marRight w:val="0"/>
          <w:marTop w:val="0"/>
          <w:marBottom w:val="0"/>
          <w:divBdr>
            <w:top w:val="none" w:sz="0" w:space="0" w:color="auto"/>
            <w:left w:val="none" w:sz="0" w:space="0" w:color="auto"/>
            <w:bottom w:val="none" w:sz="0" w:space="0" w:color="auto"/>
            <w:right w:val="none" w:sz="0" w:space="0" w:color="auto"/>
          </w:divBdr>
        </w:div>
        <w:div w:id="160438393">
          <w:marLeft w:val="480"/>
          <w:marRight w:val="0"/>
          <w:marTop w:val="0"/>
          <w:marBottom w:val="0"/>
          <w:divBdr>
            <w:top w:val="none" w:sz="0" w:space="0" w:color="auto"/>
            <w:left w:val="none" w:sz="0" w:space="0" w:color="auto"/>
            <w:bottom w:val="none" w:sz="0" w:space="0" w:color="auto"/>
            <w:right w:val="none" w:sz="0" w:space="0" w:color="auto"/>
          </w:divBdr>
        </w:div>
        <w:div w:id="1912503379">
          <w:marLeft w:val="480"/>
          <w:marRight w:val="0"/>
          <w:marTop w:val="0"/>
          <w:marBottom w:val="0"/>
          <w:divBdr>
            <w:top w:val="none" w:sz="0" w:space="0" w:color="auto"/>
            <w:left w:val="none" w:sz="0" w:space="0" w:color="auto"/>
            <w:bottom w:val="none" w:sz="0" w:space="0" w:color="auto"/>
            <w:right w:val="none" w:sz="0" w:space="0" w:color="auto"/>
          </w:divBdr>
        </w:div>
        <w:div w:id="564222660">
          <w:marLeft w:val="480"/>
          <w:marRight w:val="0"/>
          <w:marTop w:val="0"/>
          <w:marBottom w:val="0"/>
          <w:divBdr>
            <w:top w:val="none" w:sz="0" w:space="0" w:color="auto"/>
            <w:left w:val="none" w:sz="0" w:space="0" w:color="auto"/>
            <w:bottom w:val="none" w:sz="0" w:space="0" w:color="auto"/>
            <w:right w:val="none" w:sz="0" w:space="0" w:color="auto"/>
          </w:divBdr>
        </w:div>
        <w:div w:id="994532967">
          <w:marLeft w:val="480"/>
          <w:marRight w:val="0"/>
          <w:marTop w:val="0"/>
          <w:marBottom w:val="0"/>
          <w:divBdr>
            <w:top w:val="none" w:sz="0" w:space="0" w:color="auto"/>
            <w:left w:val="none" w:sz="0" w:space="0" w:color="auto"/>
            <w:bottom w:val="none" w:sz="0" w:space="0" w:color="auto"/>
            <w:right w:val="none" w:sz="0" w:space="0" w:color="auto"/>
          </w:divBdr>
        </w:div>
        <w:div w:id="1054549779">
          <w:marLeft w:val="480"/>
          <w:marRight w:val="0"/>
          <w:marTop w:val="0"/>
          <w:marBottom w:val="0"/>
          <w:divBdr>
            <w:top w:val="none" w:sz="0" w:space="0" w:color="auto"/>
            <w:left w:val="none" w:sz="0" w:space="0" w:color="auto"/>
            <w:bottom w:val="none" w:sz="0" w:space="0" w:color="auto"/>
            <w:right w:val="none" w:sz="0" w:space="0" w:color="auto"/>
          </w:divBdr>
        </w:div>
        <w:div w:id="703755489">
          <w:marLeft w:val="480"/>
          <w:marRight w:val="0"/>
          <w:marTop w:val="0"/>
          <w:marBottom w:val="0"/>
          <w:divBdr>
            <w:top w:val="none" w:sz="0" w:space="0" w:color="auto"/>
            <w:left w:val="none" w:sz="0" w:space="0" w:color="auto"/>
            <w:bottom w:val="none" w:sz="0" w:space="0" w:color="auto"/>
            <w:right w:val="none" w:sz="0" w:space="0" w:color="auto"/>
          </w:divBdr>
        </w:div>
        <w:div w:id="2048482822">
          <w:marLeft w:val="480"/>
          <w:marRight w:val="0"/>
          <w:marTop w:val="0"/>
          <w:marBottom w:val="0"/>
          <w:divBdr>
            <w:top w:val="none" w:sz="0" w:space="0" w:color="auto"/>
            <w:left w:val="none" w:sz="0" w:space="0" w:color="auto"/>
            <w:bottom w:val="none" w:sz="0" w:space="0" w:color="auto"/>
            <w:right w:val="none" w:sz="0" w:space="0" w:color="auto"/>
          </w:divBdr>
        </w:div>
        <w:div w:id="545682993">
          <w:marLeft w:val="480"/>
          <w:marRight w:val="0"/>
          <w:marTop w:val="0"/>
          <w:marBottom w:val="0"/>
          <w:divBdr>
            <w:top w:val="none" w:sz="0" w:space="0" w:color="auto"/>
            <w:left w:val="none" w:sz="0" w:space="0" w:color="auto"/>
            <w:bottom w:val="none" w:sz="0" w:space="0" w:color="auto"/>
            <w:right w:val="none" w:sz="0" w:space="0" w:color="auto"/>
          </w:divBdr>
        </w:div>
      </w:divsChild>
    </w:div>
    <w:div w:id="1660573497">
      <w:bodyDiv w:val="1"/>
      <w:marLeft w:val="0"/>
      <w:marRight w:val="0"/>
      <w:marTop w:val="0"/>
      <w:marBottom w:val="0"/>
      <w:divBdr>
        <w:top w:val="none" w:sz="0" w:space="0" w:color="auto"/>
        <w:left w:val="none" w:sz="0" w:space="0" w:color="auto"/>
        <w:bottom w:val="none" w:sz="0" w:space="0" w:color="auto"/>
        <w:right w:val="none" w:sz="0" w:space="0" w:color="auto"/>
      </w:divBdr>
      <w:divsChild>
        <w:div w:id="1840539207">
          <w:marLeft w:val="480"/>
          <w:marRight w:val="0"/>
          <w:marTop w:val="0"/>
          <w:marBottom w:val="0"/>
          <w:divBdr>
            <w:top w:val="none" w:sz="0" w:space="0" w:color="auto"/>
            <w:left w:val="none" w:sz="0" w:space="0" w:color="auto"/>
            <w:bottom w:val="none" w:sz="0" w:space="0" w:color="auto"/>
            <w:right w:val="none" w:sz="0" w:space="0" w:color="auto"/>
          </w:divBdr>
        </w:div>
        <w:div w:id="1283072464">
          <w:marLeft w:val="480"/>
          <w:marRight w:val="0"/>
          <w:marTop w:val="0"/>
          <w:marBottom w:val="0"/>
          <w:divBdr>
            <w:top w:val="none" w:sz="0" w:space="0" w:color="auto"/>
            <w:left w:val="none" w:sz="0" w:space="0" w:color="auto"/>
            <w:bottom w:val="none" w:sz="0" w:space="0" w:color="auto"/>
            <w:right w:val="none" w:sz="0" w:space="0" w:color="auto"/>
          </w:divBdr>
        </w:div>
        <w:div w:id="688331105">
          <w:marLeft w:val="480"/>
          <w:marRight w:val="0"/>
          <w:marTop w:val="0"/>
          <w:marBottom w:val="0"/>
          <w:divBdr>
            <w:top w:val="none" w:sz="0" w:space="0" w:color="auto"/>
            <w:left w:val="none" w:sz="0" w:space="0" w:color="auto"/>
            <w:bottom w:val="none" w:sz="0" w:space="0" w:color="auto"/>
            <w:right w:val="none" w:sz="0" w:space="0" w:color="auto"/>
          </w:divBdr>
        </w:div>
        <w:div w:id="904339123">
          <w:marLeft w:val="480"/>
          <w:marRight w:val="0"/>
          <w:marTop w:val="0"/>
          <w:marBottom w:val="0"/>
          <w:divBdr>
            <w:top w:val="none" w:sz="0" w:space="0" w:color="auto"/>
            <w:left w:val="none" w:sz="0" w:space="0" w:color="auto"/>
            <w:bottom w:val="none" w:sz="0" w:space="0" w:color="auto"/>
            <w:right w:val="none" w:sz="0" w:space="0" w:color="auto"/>
          </w:divBdr>
        </w:div>
        <w:div w:id="1345091572">
          <w:marLeft w:val="480"/>
          <w:marRight w:val="0"/>
          <w:marTop w:val="0"/>
          <w:marBottom w:val="0"/>
          <w:divBdr>
            <w:top w:val="none" w:sz="0" w:space="0" w:color="auto"/>
            <w:left w:val="none" w:sz="0" w:space="0" w:color="auto"/>
            <w:bottom w:val="none" w:sz="0" w:space="0" w:color="auto"/>
            <w:right w:val="none" w:sz="0" w:space="0" w:color="auto"/>
          </w:divBdr>
        </w:div>
        <w:div w:id="2029987656">
          <w:marLeft w:val="480"/>
          <w:marRight w:val="0"/>
          <w:marTop w:val="0"/>
          <w:marBottom w:val="0"/>
          <w:divBdr>
            <w:top w:val="none" w:sz="0" w:space="0" w:color="auto"/>
            <w:left w:val="none" w:sz="0" w:space="0" w:color="auto"/>
            <w:bottom w:val="none" w:sz="0" w:space="0" w:color="auto"/>
            <w:right w:val="none" w:sz="0" w:space="0" w:color="auto"/>
          </w:divBdr>
        </w:div>
        <w:div w:id="161168767">
          <w:marLeft w:val="480"/>
          <w:marRight w:val="0"/>
          <w:marTop w:val="0"/>
          <w:marBottom w:val="0"/>
          <w:divBdr>
            <w:top w:val="none" w:sz="0" w:space="0" w:color="auto"/>
            <w:left w:val="none" w:sz="0" w:space="0" w:color="auto"/>
            <w:bottom w:val="none" w:sz="0" w:space="0" w:color="auto"/>
            <w:right w:val="none" w:sz="0" w:space="0" w:color="auto"/>
          </w:divBdr>
        </w:div>
        <w:div w:id="1255090057">
          <w:marLeft w:val="480"/>
          <w:marRight w:val="0"/>
          <w:marTop w:val="0"/>
          <w:marBottom w:val="0"/>
          <w:divBdr>
            <w:top w:val="none" w:sz="0" w:space="0" w:color="auto"/>
            <w:left w:val="none" w:sz="0" w:space="0" w:color="auto"/>
            <w:bottom w:val="none" w:sz="0" w:space="0" w:color="auto"/>
            <w:right w:val="none" w:sz="0" w:space="0" w:color="auto"/>
          </w:divBdr>
        </w:div>
        <w:div w:id="1280918576">
          <w:marLeft w:val="480"/>
          <w:marRight w:val="0"/>
          <w:marTop w:val="0"/>
          <w:marBottom w:val="0"/>
          <w:divBdr>
            <w:top w:val="none" w:sz="0" w:space="0" w:color="auto"/>
            <w:left w:val="none" w:sz="0" w:space="0" w:color="auto"/>
            <w:bottom w:val="none" w:sz="0" w:space="0" w:color="auto"/>
            <w:right w:val="none" w:sz="0" w:space="0" w:color="auto"/>
          </w:divBdr>
        </w:div>
        <w:div w:id="231739362">
          <w:marLeft w:val="480"/>
          <w:marRight w:val="0"/>
          <w:marTop w:val="0"/>
          <w:marBottom w:val="0"/>
          <w:divBdr>
            <w:top w:val="none" w:sz="0" w:space="0" w:color="auto"/>
            <w:left w:val="none" w:sz="0" w:space="0" w:color="auto"/>
            <w:bottom w:val="none" w:sz="0" w:space="0" w:color="auto"/>
            <w:right w:val="none" w:sz="0" w:space="0" w:color="auto"/>
          </w:divBdr>
        </w:div>
      </w:divsChild>
    </w:div>
    <w:div w:id="1713142409">
      <w:bodyDiv w:val="1"/>
      <w:marLeft w:val="0"/>
      <w:marRight w:val="0"/>
      <w:marTop w:val="0"/>
      <w:marBottom w:val="0"/>
      <w:divBdr>
        <w:top w:val="none" w:sz="0" w:space="0" w:color="auto"/>
        <w:left w:val="none" w:sz="0" w:space="0" w:color="auto"/>
        <w:bottom w:val="none" w:sz="0" w:space="0" w:color="auto"/>
        <w:right w:val="none" w:sz="0" w:space="0" w:color="auto"/>
      </w:divBdr>
    </w:div>
    <w:div w:id="1796830506">
      <w:bodyDiv w:val="1"/>
      <w:marLeft w:val="0"/>
      <w:marRight w:val="0"/>
      <w:marTop w:val="0"/>
      <w:marBottom w:val="0"/>
      <w:divBdr>
        <w:top w:val="none" w:sz="0" w:space="0" w:color="auto"/>
        <w:left w:val="none" w:sz="0" w:space="0" w:color="auto"/>
        <w:bottom w:val="none" w:sz="0" w:space="0" w:color="auto"/>
        <w:right w:val="none" w:sz="0" w:space="0" w:color="auto"/>
      </w:divBdr>
      <w:divsChild>
        <w:div w:id="898518525">
          <w:marLeft w:val="480"/>
          <w:marRight w:val="0"/>
          <w:marTop w:val="0"/>
          <w:marBottom w:val="0"/>
          <w:divBdr>
            <w:top w:val="none" w:sz="0" w:space="0" w:color="auto"/>
            <w:left w:val="none" w:sz="0" w:space="0" w:color="auto"/>
            <w:bottom w:val="none" w:sz="0" w:space="0" w:color="auto"/>
            <w:right w:val="none" w:sz="0" w:space="0" w:color="auto"/>
          </w:divBdr>
        </w:div>
        <w:div w:id="90593303">
          <w:marLeft w:val="480"/>
          <w:marRight w:val="0"/>
          <w:marTop w:val="0"/>
          <w:marBottom w:val="0"/>
          <w:divBdr>
            <w:top w:val="none" w:sz="0" w:space="0" w:color="auto"/>
            <w:left w:val="none" w:sz="0" w:space="0" w:color="auto"/>
            <w:bottom w:val="none" w:sz="0" w:space="0" w:color="auto"/>
            <w:right w:val="none" w:sz="0" w:space="0" w:color="auto"/>
          </w:divBdr>
        </w:div>
        <w:div w:id="2073235805">
          <w:marLeft w:val="480"/>
          <w:marRight w:val="0"/>
          <w:marTop w:val="0"/>
          <w:marBottom w:val="0"/>
          <w:divBdr>
            <w:top w:val="none" w:sz="0" w:space="0" w:color="auto"/>
            <w:left w:val="none" w:sz="0" w:space="0" w:color="auto"/>
            <w:bottom w:val="none" w:sz="0" w:space="0" w:color="auto"/>
            <w:right w:val="none" w:sz="0" w:space="0" w:color="auto"/>
          </w:divBdr>
        </w:div>
        <w:div w:id="819426499">
          <w:marLeft w:val="480"/>
          <w:marRight w:val="0"/>
          <w:marTop w:val="0"/>
          <w:marBottom w:val="0"/>
          <w:divBdr>
            <w:top w:val="none" w:sz="0" w:space="0" w:color="auto"/>
            <w:left w:val="none" w:sz="0" w:space="0" w:color="auto"/>
            <w:bottom w:val="none" w:sz="0" w:space="0" w:color="auto"/>
            <w:right w:val="none" w:sz="0" w:space="0" w:color="auto"/>
          </w:divBdr>
        </w:div>
        <w:div w:id="2100633316">
          <w:marLeft w:val="480"/>
          <w:marRight w:val="0"/>
          <w:marTop w:val="0"/>
          <w:marBottom w:val="0"/>
          <w:divBdr>
            <w:top w:val="none" w:sz="0" w:space="0" w:color="auto"/>
            <w:left w:val="none" w:sz="0" w:space="0" w:color="auto"/>
            <w:bottom w:val="none" w:sz="0" w:space="0" w:color="auto"/>
            <w:right w:val="none" w:sz="0" w:space="0" w:color="auto"/>
          </w:divBdr>
        </w:div>
        <w:div w:id="679890308">
          <w:marLeft w:val="480"/>
          <w:marRight w:val="0"/>
          <w:marTop w:val="0"/>
          <w:marBottom w:val="0"/>
          <w:divBdr>
            <w:top w:val="none" w:sz="0" w:space="0" w:color="auto"/>
            <w:left w:val="none" w:sz="0" w:space="0" w:color="auto"/>
            <w:bottom w:val="none" w:sz="0" w:space="0" w:color="auto"/>
            <w:right w:val="none" w:sz="0" w:space="0" w:color="auto"/>
          </w:divBdr>
        </w:div>
        <w:div w:id="1873422866">
          <w:marLeft w:val="480"/>
          <w:marRight w:val="0"/>
          <w:marTop w:val="0"/>
          <w:marBottom w:val="0"/>
          <w:divBdr>
            <w:top w:val="none" w:sz="0" w:space="0" w:color="auto"/>
            <w:left w:val="none" w:sz="0" w:space="0" w:color="auto"/>
            <w:bottom w:val="none" w:sz="0" w:space="0" w:color="auto"/>
            <w:right w:val="none" w:sz="0" w:space="0" w:color="auto"/>
          </w:divBdr>
        </w:div>
        <w:div w:id="66733008">
          <w:marLeft w:val="480"/>
          <w:marRight w:val="0"/>
          <w:marTop w:val="0"/>
          <w:marBottom w:val="0"/>
          <w:divBdr>
            <w:top w:val="none" w:sz="0" w:space="0" w:color="auto"/>
            <w:left w:val="none" w:sz="0" w:space="0" w:color="auto"/>
            <w:bottom w:val="none" w:sz="0" w:space="0" w:color="auto"/>
            <w:right w:val="none" w:sz="0" w:space="0" w:color="auto"/>
          </w:divBdr>
        </w:div>
        <w:div w:id="680088411">
          <w:marLeft w:val="480"/>
          <w:marRight w:val="0"/>
          <w:marTop w:val="0"/>
          <w:marBottom w:val="0"/>
          <w:divBdr>
            <w:top w:val="none" w:sz="0" w:space="0" w:color="auto"/>
            <w:left w:val="none" w:sz="0" w:space="0" w:color="auto"/>
            <w:bottom w:val="none" w:sz="0" w:space="0" w:color="auto"/>
            <w:right w:val="none" w:sz="0" w:space="0" w:color="auto"/>
          </w:divBdr>
        </w:div>
      </w:divsChild>
    </w:div>
    <w:div w:id="181555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5.emf"/><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amitav@vit.ac.in,%20amit.mookerjea@gmail.com" TargetMode="External"/><Relationship Id="rId12" Type="http://schemas.openxmlformats.org/officeDocument/2006/relationships/oleObject" Target="embeddings/oleObject1.bin"/><Relationship Id="rId17" Type="http://schemas.openxmlformats.org/officeDocument/2006/relationships/image" Target="media/image7.tiff"/><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6.emf"/><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oleObject" Target="embeddings/oleObject2.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7C2F275-10E9-4AB0-80C3-ED4DA2F9C4B4}"/>
      </w:docPartPr>
      <w:docPartBody>
        <w:p w:rsidR="00FA674A" w:rsidRDefault="00C240BB">
          <w:r w:rsidRPr="00434397">
            <w:rPr>
              <w:rStyle w:val="PlaceholderText"/>
            </w:rPr>
            <w:t>Click or tap here to enter text.</w:t>
          </w:r>
        </w:p>
      </w:docPartBody>
    </w:docPart>
    <w:docPart>
      <w:docPartPr>
        <w:name w:val="E7729458B8BB4DB6B020EF9A06BC8DA5"/>
        <w:category>
          <w:name w:val="General"/>
          <w:gallery w:val="placeholder"/>
        </w:category>
        <w:types>
          <w:type w:val="bbPlcHdr"/>
        </w:types>
        <w:behaviors>
          <w:behavior w:val="content"/>
        </w:behaviors>
        <w:guid w:val="{19CF741A-295C-47E5-8B0D-AE7841D21DC6}"/>
      </w:docPartPr>
      <w:docPartBody>
        <w:p w:rsidR="00FA674A" w:rsidRDefault="00C240BB" w:rsidP="00C240BB">
          <w:pPr>
            <w:pStyle w:val="E7729458B8BB4DB6B020EF9A06BC8DA5"/>
          </w:pPr>
          <w:r w:rsidRPr="00434397">
            <w:rPr>
              <w:rStyle w:val="PlaceholderText"/>
            </w:rPr>
            <w:t>Click or tap here to enter text.</w:t>
          </w:r>
        </w:p>
      </w:docPartBody>
    </w:docPart>
    <w:docPart>
      <w:docPartPr>
        <w:name w:val="9AAB1E2FE8324042A10FF2C3092EB6F2"/>
        <w:category>
          <w:name w:val="General"/>
          <w:gallery w:val="placeholder"/>
        </w:category>
        <w:types>
          <w:type w:val="bbPlcHdr"/>
        </w:types>
        <w:behaviors>
          <w:behavior w:val="content"/>
        </w:behaviors>
        <w:guid w:val="{2701059F-C4A9-494A-BD8F-775B9D27AAB3}"/>
      </w:docPartPr>
      <w:docPartBody>
        <w:p w:rsidR="00A76278" w:rsidRDefault="00C814CC" w:rsidP="00C814CC">
          <w:pPr>
            <w:pStyle w:val="9AAB1E2FE8324042A10FF2C3092EB6F2"/>
          </w:pPr>
          <w:r w:rsidRPr="00434397">
            <w:rPr>
              <w:rStyle w:val="PlaceholderText"/>
            </w:rPr>
            <w:t>Click or tap here to enter text.</w:t>
          </w:r>
        </w:p>
      </w:docPartBody>
    </w:docPart>
    <w:docPart>
      <w:docPartPr>
        <w:name w:val="9011666DCFC743BD83D54622E44DFA76"/>
        <w:category>
          <w:name w:val="General"/>
          <w:gallery w:val="placeholder"/>
        </w:category>
        <w:types>
          <w:type w:val="bbPlcHdr"/>
        </w:types>
        <w:behaviors>
          <w:behavior w:val="content"/>
        </w:behaviors>
        <w:guid w:val="{CFD2ABC3-7323-46A9-8281-149A4BA9FDDC}"/>
      </w:docPartPr>
      <w:docPartBody>
        <w:p w:rsidR="00A76278" w:rsidRDefault="00C814CC" w:rsidP="00C814CC">
          <w:pPr>
            <w:pStyle w:val="9011666DCFC743BD83D54622E44DFA76"/>
          </w:pPr>
          <w:r w:rsidRPr="0043439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vOT596495f2+20">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0BB"/>
    <w:rsid w:val="004E4E3B"/>
    <w:rsid w:val="00635958"/>
    <w:rsid w:val="00912242"/>
    <w:rsid w:val="00913632"/>
    <w:rsid w:val="00A76278"/>
    <w:rsid w:val="00AB24E6"/>
    <w:rsid w:val="00B31BEF"/>
    <w:rsid w:val="00C240BB"/>
    <w:rsid w:val="00C814CC"/>
    <w:rsid w:val="00CA6BA4"/>
    <w:rsid w:val="00DD0342"/>
    <w:rsid w:val="00FA674A"/>
    <w:rsid w:val="00FC1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814CC"/>
    <w:rPr>
      <w:color w:val="808080"/>
    </w:rPr>
  </w:style>
  <w:style w:type="paragraph" w:customStyle="1" w:styleId="E7729458B8BB4DB6B020EF9A06BC8DA5">
    <w:name w:val="E7729458B8BB4DB6B020EF9A06BC8DA5"/>
    <w:rsid w:val="00C240BB"/>
  </w:style>
  <w:style w:type="paragraph" w:customStyle="1" w:styleId="9AAB1E2FE8324042A10FF2C3092EB6F2">
    <w:name w:val="9AAB1E2FE8324042A10FF2C3092EB6F2"/>
    <w:rsid w:val="00C814CC"/>
  </w:style>
  <w:style w:type="paragraph" w:customStyle="1" w:styleId="9011666DCFC743BD83D54622E44DFA76">
    <w:name w:val="9011666DCFC743BD83D54622E44DFA76"/>
    <w:rsid w:val="00C814C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35F61A5-3EDE-495F-84B7-B7EA2F9EECF6}">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fe8182e7-cd31-45ef-a97c-d692ccac8b25&quot;,&quot;properties&quot;:{&quot;noteIndex&quot;:0},&quot;isEdited&quot;:false,&quot;manualOverride&quot;:{&quot;citeprocText&quot;:&quot;(Fan et al., 2019; Thiagarajan et al., 2021)&quot;,&quot;isManuallyOverridden&quot;:false,&quot;manualOverrideText&quot;:&quot;&quot;},&quot;citationTag&quot;:&quot;MENDELEY_CITATION_v3_eyJjaXRhdGlvbklEIjoiTUVOREVMRVlfQ0lUQVRJT05fZmU4MTgyZTctY2QzMS00NWVmLWE5N2MtZDY5MmNjYWM4YjI1IiwicHJvcGVydGllcyI6eyJub3RlSW5kZXgiOjB9LCJpc0VkaXRlZCI6ZmFsc2UsIm1hbnVhbE92ZXJyaWRlIjp7ImNpdGVwcm9jVGV4dCI6IihGYW4gZXQgYWwuLCAyMDE5OyBUaGlhZ2FyYWphbiBldCBhbC4sIDIwMjEpIiwiaXNNYW51YWxseU92ZXJyaWRkZW4iOmZhbHNlLCJtYW51YWxPdmVycmlkZVRleHQiOiIifSwiY2l0YXRpb25JdGVtcyI6W3siaWQiOiIzZTllY2NjNi1iYjlmLTVlMmUtYjMzYy02M2YxYjI4NzNjZmYiLCJpdGVtRGF0YSI6eyJJU1NOIjoiMDA0OC05Njk3IiwiYXV0aG9yIjpbeyJkcm9wcGluZy1wYXJ0aWNsZSI6IiIsImZhbWlseSI6IlRoaWFnYXJhamFuIiwiZ2l2ZW4iOiJWaWduZXNoIiwibm9uLWRyb3BwaW5nLXBhcnRpY2xlIjoiIiwicGFyc2UtbmFtZXMiOmZhbHNlLCJzdWZmaXgiOiIifSx7ImRyb3BwaW5nLXBhcnRpY2xlIjoiIiwiZmFtaWx5IjoiQWxleCIsImdpdmVuIjoiU3J1dGhpIEFubiIsIm5vbi1kcm9wcGluZy1wYXJ0aWNsZSI6IiIsInBhcnNlLW5hbWVzIjpmYWxzZSwic3VmZml4IjoiIn0seyJkcm9wcGluZy1wYXJ0aWNsZSI6IiIsImZhbWlseSI6IlNlZW5pdmFzYW4iLCJnaXZlbiI6IlIiLCJub24tZHJvcHBpbmctcGFydGljbGUiOiIiLCJwYXJzZS1uYW1lcyI6ZmFsc2UsInN1ZmZpeCI6IiJ9LHsiZHJvcHBpbmctcGFydGljbGUiOiIiLCJmYW1pbHkiOiJDaGFuZHJhc2VrYXJhbiIsImdpdmVuIjoiTiIsIm5vbi1kcm9wcGluZy1wYXJ0aWNsZSI6IiIsInBhcnNlLW5hbWVzIjpmYWxzZSwic3VmZml4IjoiIn0seyJkcm9wcGluZy1wYXJ0aWNsZSI6IiIsImZhbWlseSI6Ik11a2hlcmplZSIsImdpdmVuIjoiQW1pdGF2YSIsIm5vbi1kcm9wcGluZy1wYXJ0aWNsZSI6IiIsInBhcnNlLW5hbWVzIjpmYWxzZSwic3VmZml4IjoiIn1dLCJjb250YWluZXItdGl0bGUiOiJTY2llbmNlIG9mIHRoZSBUb3RhbCBFbnZpcm9ubWVudCIsImlkIjoiM2U5ZWNjYzYtYmI5Zi01ZTJlLWIzM2MtNjNmMWIyODczY2ZmIiwiaXNzdWVkIjp7ImRhdGUtcGFydHMiOltbIjIwMjEiXV19LCJwYWdlIjoiMTQ3MjYyIiwicHVibGlzaGVyIjoiRWxzZXZpZXIiLCJ0aXRsZSI6IlRveGljaXR5IGV2YWx1YXRpb24gb2YgbmFuby1UaU8yIGluIHRoZSBwcmVzZW5jZSBvZiBmdW5jdGlvbmFsaXplZCBtaWNyb3BsYXN0aWNzIGF0IHR3byB0cm9waGljIGxldmVsczogQWxnYWUgYW5kIGNydXN0YWNlYW5zIiwidHlwZSI6ImFydGljbGUtam91cm5hbCIsInZvbHVtZSI6Ijc4NCIsImNvbnRhaW5lci10aXRsZS1zaG9ydCI6IiJ9LCJ1cmlzIjpbImh0dHA6Ly93d3cubWVuZGVsZXkuY29tL2RvY3VtZW50cy8/dXVpZD01NTA1MTRiZC00NWExLTRmMzktYjNiMi02NDAzMjY1ZmE4N2IiXSwiaXNUZW1wb3JhcnkiOmZhbHNlLCJsZWdhY3lEZXNrdG9wSWQiOiI1NTA1MTRiZC00NWExLTRmMzktYjNiMi02NDAzMjY1ZmE4N2IifSx7ImlkIjoiOTA1NDFjZDUtODVmNS0zMjEwLThmMjEtY2VmOGQyOGEzMGY2IiwiaXRlbURhdGEiOnsidHlwZSI6ImFydGljbGUtam91cm5hbCIsImlkIjoiOTA1NDFjZDUtODVmNS0zMjEwLThmMjEtY2VmOGQyOGEzMGY2IiwidGl0bGUiOiJJbmhpYml0b3J5IGVmZmVjdHMgb2YgQ3UyTy9TaU8yIG9uIHRoZSBncm93dGggb2YgTWljcm9jeXN0aXMgYWVydWdpbm9zYSBhbmQgaXRzIG1lY2hhbmlzbSIsImF1dGhvciI6W3siZmFtaWx5IjoiRmFuIiwiZ2l2ZW4iOiJHb25nZHVhbiIsInBhcnNlLW5hbWVzIjpmYWxzZSwiZHJvcHBpbmctcGFydGljbGUiOiIiLCJub24tZHJvcHBpbmctcGFydGljbGUiOiIifSx7ImZhbWlseSI6IkJhbyIsImdpdmVuIjoiTWluY2hlbiIsInBhcnNlLW5hbWVzIjpmYWxzZSwiZHJvcHBpbmctcGFydGljbGUiOiIiLCJub24tZHJvcHBpbmctcGFydGljbGUiOiIifSx7ImZhbWlseSI6IldhbmciLCJnaXZlbiI6IkJvIiwicGFyc2UtbmFtZXMiOmZhbHNlLCJkcm9wcGluZy1wYXJ0aWNsZSI6IiIsIm5vbi1kcm9wcGluZy1wYXJ0aWNsZSI6IiJ9LHsiZmFtaWx5IjoiV3UiLCJnaXZlbiI6IlNoaW1pbiIsInBhcnNlLW5hbWVzIjpmYWxzZSwiZHJvcHBpbmctcGFydGljbGUiOiIiLCJub24tZHJvcHBpbmctcGFydGljbGUiOiIifSx7ImZhbWlseSI6Ikx1byIsImdpdmVuIjoiTGluZ3hpIiwicGFyc2UtbmFtZXMiOmZhbHNlLCJkcm9wcGluZy1wYXJ0aWNsZSI6IiIsIm5vbi1kcm9wcGluZy1wYXJ0aWNsZSI6IiJ9LHsiZmFtaWx5IjoiTGkiLCJnaXZlbiI6IkJpbmh1aSIsInBhcnNlLW5hbWVzIjpmYWxzZSwiZHJvcHBpbmctcGFydGljbGUiOiIiLCJub24tZHJvcHBpbmctcGFydGljbGUiOiIifSx7ImZhbWlseSI6IkxpbiIsImdpdmVuIjoiSml1aG9uZyIsInBhcnNlLW5hbWVzIjpmYWxzZSwiZHJvcHBpbmctcGFydGljbGUiOiIiLCJub24tZHJvcHBpbmctcGFydGljbGUiOiIifV0sImNvbnRhaW5lci10aXRsZSI6Ik5hbm9tYXRlcmlhbHMiLCJJU1NOIjoiMjA3OS00OTkxIiwiaXNzdWVkIjp7ImRhdGUtcGFydHMiOltbMjAxOV1dfSwicGFnZSI6IjE2NjkiLCJwdWJsaXNoZXIiOiJNRFBJIiwiaXNzdWUiOiIxMiIsInZvbHVtZSI6IjkiLCJjb250YWluZXItdGl0bGUtc2hvcnQiOiIifSwiaXNUZW1wb3JhcnkiOmZhbHNlfV19&quot;,&quot;citationItems&quot;:[{&quot;id&quot;:&quot;3e9eccc6-bb9f-5e2e-b33c-63f1b2873cff&quot;,&quot;itemData&quot;:{&quot;ISSN&quot;:&quot;0048-9697&quot;,&quot;author&quot;:[{&quot;dropping-particle&quot;:&quot;&quot;,&quot;family&quot;:&quot;Thiagarajan&quot;,&quot;given&quot;:&quot;Vignesh&quot;,&quot;non-dropping-particle&quot;:&quot;&quot;,&quot;parse-names&quot;:false,&quot;suffix&quot;:&quot;&quot;},{&quot;dropping-particle&quot;:&quot;&quot;,&quot;family&quot;:&quot;Alex&quot;,&quot;given&quot;:&quot;Sruthi Ann&quot;,&quot;non-dropping-particle&quot;:&quot;&quot;,&quot;parse-names&quot;:false,&quot;suffix&quot;:&quot;&quot;},{&quot;dropping-particle&quot;:&quot;&quot;,&quot;family&quot;:&quot;Seenivasan&quot;,&quot;given&quot;:&quot;R&quot;,&quot;non-dropping-particle&quot;:&quot;&quot;,&quot;parse-names&quot;:false,&quot;suffix&quot;:&quot;&quot;},{&quot;dropping-particle&quot;:&quot;&quot;,&quot;family&quot;:&quot;Chandrasekaran&quot;,&quot;given&quot;:&quot;N&quot;,&quot;non-dropping-particle&quot;:&quot;&quot;,&quot;parse-names&quot;:false,&quot;suffix&quot;:&quot;&quot;},{&quot;dropping-particle&quot;:&quot;&quot;,&quot;family&quot;:&quot;Mukherjee&quot;,&quot;given&quot;:&quot;Amitava&quot;,&quot;non-dropping-particle&quot;:&quot;&quot;,&quot;parse-names&quot;:false,&quot;suffix&quot;:&quot;&quot;}],&quot;container-title&quot;:&quot;Science of the Total Environment&quot;,&quot;id&quot;:&quot;3e9eccc6-bb9f-5e2e-b33c-63f1b2873cff&quot;,&quot;issued&quot;:{&quot;date-parts&quot;:[[&quot;2021&quot;]]},&quot;page&quot;:&quot;147262&quot;,&quot;publisher&quot;:&quot;Elsevier&quot;,&quot;title&quot;:&quot;Toxicity evaluation of nano-TiO2 in the presence of functionalized microplastics at two trophic levels: Algae and crustaceans&quot;,&quot;type&quot;:&quot;article-journal&quot;,&quot;volume&quot;:&quot;784&quot;,&quot;container-title-short&quot;:&quot;&quot;},&quot;uris&quot;:[&quot;http://www.mendeley.com/documents/?uuid=550514bd-45a1-4f39-b3b2-6403265fa87b&quot;],&quot;isTemporary&quot;:false,&quot;legacyDesktopId&quot;:&quot;550514bd-45a1-4f39-b3b2-6403265fa87b&quot;},{&quot;id&quot;:&quot;90541cd5-85f5-3210-8f21-cef8d28a30f6&quot;,&quot;itemData&quot;:{&quot;type&quot;:&quot;article-journal&quot;,&quot;id&quot;:&quot;90541cd5-85f5-3210-8f21-cef8d28a30f6&quot;,&quot;title&quot;:&quot;Inhibitory effects of Cu2O/SiO2 on the growth of Microcystis aeruginosa and its mechanism&quot;,&quot;author&quot;:[{&quot;family&quot;:&quot;Fan&quot;,&quot;given&quot;:&quot;Gongduan&quot;,&quot;parse-names&quot;:false,&quot;dropping-particle&quot;:&quot;&quot;,&quot;non-dropping-particle&quot;:&quot;&quot;},{&quot;family&quot;:&quot;Bao&quot;,&quot;given&quot;:&quot;Minchen&quot;,&quot;parse-names&quot;:false,&quot;dropping-particle&quot;:&quot;&quot;,&quot;non-dropping-particle&quot;:&quot;&quot;},{&quot;family&quot;:&quot;Wang&quot;,&quot;given&quot;:&quot;Bo&quot;,&quot;parse-names&quot;:false,&quot;dropping-particle&quot;:&quot;&quot;,&quot;non-dropping-particle&quot;:&quot;&quot;},{&quot;family&quot;:&quot;Wu&quot;,&quot;given&quot;:&quot;Shimin&quot;,&quot;parse-names&quot;:false,&quot;dropping-particle&quot;:&quot;&quot;,&quot;non-dropping-particle&quot;:&quot;&quot;},{&quot;family&quot;:&quot;Luo&quot;,&quot;given&quot;:&quot;Lingxi&quot;,&quot;parse-names&quot;:false,&quot;dropping-particle&quot;:&quot;&quot;,&quot;non-dropping-particle&quot;:&quot;&quot;},{&quot;family&quot;:&quot;Li&quot;,&quot;given&quot;:&quot;Binhui&quot;,&quot;parse-names&quot;:false,&quot;dropping-particle&quot;:&quot;&quot;,&quot;non-dropping-particle&quot;:&quot;&quot;},{&quot;family&quot;:&quot;Lin&quot;,&quot;given&quot;:&quot;Jiuhong&quot;,&quot;parse-names&quot;:false,&quot;dropping-particle&quot;:&quot;&quot;,&quot;non-dropping-particle&quot;:&quot;&quot;}],&quot;container-title&quot;:&quot;Nanomaterials&quot;,&quot;ISSN&quot;:&quot;2079-4991&quot;,&quot;issued&quot;:{&quot;date-parts&quot;:[[2019]]},&quot;page&quot;:&quot;1669&quot;,&quot;publisher&quot;:&quot;MDPI&quot;,&quot;issue&quot;:&quot;12&quot;,&quot;volume&quot;:&quot;9&quot;,&quot;container-title-short&quot;:&quot;&quot;},&quot;isTemporary&quot;:false}]},{&quot;citationID&quot;:&quot;MENDELEY_CITATION_16cd5958-c8e1-4673-914e-f116110d69ab&quot;,&quot;properties&quot;:{&quot;noteIndex&quot;:0},&quot;isEdited&quot;:false,&quot;manualOverride&quot;:{&quot;citeprocText&quot;:&quot;(Thiagarajan, Iswarya, et al., 2019)&quot;,&quot;isManuallyOverridden&quot;:false,&quot;manualOverrideText&quot;:&quot;&quot;},&quot;citationTag&quot;:&quot;MENDELEY_CITATION_v3_eyJjaXRhdGlvbklEIjoiTUVOREVMRVlfQ0lUQVRJT05fMTZjZDU5NTgtYzhlMS00NjczLTkxNGUtZjExNjExMGQ2OWFiIiwicHJvcGVydGllcyI6eyJub3RlSW5kZXgiOjB9LCJpc0VkaXRlZCI6ZmFsc2UsIm1hbnVhbE92ZXJyaWRlIjp7ImNpdGVwcm9jVGV4dCI6IihUaGlhZ2FyYWphbiwgSXN3YXJ5YSwgZXQgYWwuLCAyMDE5KSIsImlzTWFudWFsbHlPdmVycmlkZGVuIjpmYWxzZSwibWFudWFsT3ZlcnJpZGVUZXh0IjoiIn0sImNpdGF0aW9uSXRlbXMiOlt7ImlkIjoiOGI4YWUxNzgtYzlhZS01OWM4LThkYjgtYjgzNDYwMDI3YjdiIiwiaXRlbURhdGEiOnsiRE9JIjoiMTAuMTAxNi9qLmFxdWF0b3guMjAxOC4xMi4wMTQiLCJJU1NOIjoiMTg3OTE1MTQiLCJQTUlEIjoiMzA2Mzg0OTEiLCJhYnN0cmFjdCI6IkluY3JlYXNlZCB1dGlsaXphdGlvbiBvZiB0aXRhbml1bSBkaW94aWRlIG5hbm9wYXJ0aWNsZXMgKFRpTzIgTlBzKSBmb3IgY29tbWVyY2lhbCBhcyB3ZWxsIGFzIGluZHVzdHJpYWwgcHVycG9zZXMgcmVzdWx0ZWQgaW4gdGhlIGFjY3VtdWxhdGlvbiBvZiBuYW5vcGFydGljbGVzIGluIHRoZSBtYXJpbmUgc3lzdGVtLiBNaWNyb3BsYXN0aWNzIGJlaW5nIGFuIGVtZXJnaW5nIHNlY29uZGFyeSBwb2xsdXRhbnQgaW4gdGhlIG1hcmluZSBlY29zeXN0ZW0gaGF2ZSBhbiBpbXBhY3Qgb24gdGhlIHRveGljIGVmZmVjdHMgb2YgVGlPMiBOUHMgd2hpY2ggaGFzIG5vdCBiZWVuIGV2YWx1YXRlZCB1cCB0byBkYXRlLiBTbyBpdCBpcyBpbXBvcnRhbnQgdG8gYXNzZXNzIHRoZSB0b3hpYyBlZmZlY3RzIG9mIGJvdGggdGhlc2UgcG9sbHV0YW50cyBvbiB0aGUgbWFyaW5lIGVudmlyb25tZW50LiBUaGUgcHJlc2VudCBzdHVkeSBleGFtaW5lcyB0aGUgaW1wYWN0IG9mIGRpZmZlcmVudGx5IGZ1bmN0aW9uYWxpemVkIG1pY3JvcGxhc3RpY3Mgb24gdGhlIHRveGljIGVmZmVjdHMgb2YgUDI1IFRpTzIgTlBzIHRvIG1hcmluZSBhbGdhZSBDaGxvcmVsbGEgc3AuIFRoZSB0ZW5kZW5jeSBvZiBuYW5vcGFydGljbGVzIHRvIHVuZGVyZ28gYWdncmVnYXRpb24gaW4gYXJ0aWZpY2lhbCBzZWF3YXRlciB3YXMgb2JzZXJ2ZWQgd2l0aCBpbmNyZWFzZSBpbiB0aW1lLiBUaGUgbWVkaWFuIGVmZmVjdGl2ZSBjb25jZW50cmF0aW9uIGZvciBUaU8yIE5QcyB3YXMgZm91bmQgdG8gYmUgODEgzrxNIHdoaWNoIGluZGljYXRlcyBoaWdoZXIgdG94aWMgZWZmZWN0cyBvZiBOUHMgdG93YXJkIGFsZ2FlLiBJbiBjb250cmFzdCwgbWljcm9wbGFzdGljcyBpcnJlc3BlY3RpdmUgb2YgdGhlaXIgZGlmZmVyZW5jZSBpbiBmdW5jdGlvbmFsaXphdGlvbiBoYWQgbWluaW1hbCB0b3hpYyBlZmZlY3Qgb2YgYWJvdXQgMTUlIGF0IHRoZWlyIGhpZ2hlciBjb25jZW50cmF0aW9uIHRlc3RlZCwgMTAwMCBtZyBM4oiSMS4gUGxhaW4gYW5kIGFtaW5hdGVkIHBvbHlzdHlyZW5lIG1pY3JvcGxhc3RpY3MgZW5oYW5jZWQgdGhlIFRpTzIgTlBzIHRveGljaXR5IHdoaWNoIHdhcyBmdXJ0aGVyIHZhbGlkYXRlZCB3aXRoIG94aWRhdGl2ZSBzdHJlc3MgZGV0ZXJtaW5hdGlvbiBzdHVkaWVzIGxpa2UgcmVhY3RpdmUgb3h5Z2VuIHNwZWNpZXMgYW5kIGxpcGlkIHBlcm94aWRhdGlvbiBhc3NheXMuIE5lZ2F0aXZlbHkgY2hhcmdlZCBjYXJib3h5bGF0ZWQgcG9seXN0eXJlbmUgbWljcm9wbGFzdGljcyBkZWNyZWFzZWQgdGhlIFRpTzIgTlBzIHRveGljaXR5IHdpdGggcG9zc2libGUgaGV0ZXJvLWFnZ3JlZ2F0aW9uIGJldHdlZW4gVGlPMiBOUHMgYW5kIG1pY3JvcGxhc3RpY3MgaW4gdGhlIHN5c3RlbS4gVGhlIHRveGljaXR5IGRhdGEgb2J0YWluZWQgZm9yIHRoZSBtaXh0dXJlIHdhcyBmdXJ0aGVyIGNvcnJvYm9yYXRlZCB3aXRoIEFiYm90dCdzIG1hdGhlbWF0aWNhbCBtb2RlbC4iLCJhdXRob3IiOlt7ImRyb3BwaW5nLXBhcnRpY2xlIjoiIiwiZmFtaWx5IjoiVGhpYWdhcmFqYW4iLCJnaXZlbiI6IlZpZ25lc2giLCJub24tZHJvcHBpbmctcGFydGljbGUiOiIiLCJwYXJzZS1uYW1lcyI6ZmFsc2UsInN1ZmZpeCI6IiJ9LHsiZHJvcHBpbmctcGFydGljbGUiOiIiLCJmYW1pbHkiOiJJc3dhcnlhIiwiZ2l2ZW4iOiJWLiIsIm5vbi1kcm9wcGluZy1wYXJ0aWNsZSI6IiIsInBhcnNlLW5hbWVzIjpmYWxzZSwic3VmZml4IjoiIn0seyJkcm9wcGluZy1wYXJ0aWNsZSI6IiIsImZhbWlseSI6IlAuIiwiZ2l2ZW4iOiJBYnJhaGFtIEp1bGlhbiIsIm5vbi1kcm9wcGluZy1wYXJ0aWNsZSI6IiIsInBhcnNlLW5hbWVzIjpmYWxzZSwic3VmZml4IjoiIn0seyJkcm9wcGluZy1wYXJ0aWNsZSI6IiIsImZhbWlseSI6IlNlZW5pdmFzYW4iLCJnaXZlbiI6IlIuIiwibm9uLWRyb3BwaW5nLXBhcnRpY2xlIjoiIiwicGFyc2UtbmFtZXMiOmZhbHNlLCJzdWZmaXgiOiIifSx7ImRyb3BwaW5nLXBhcnRpY2xlIjoiIiwiZmFtaWx5IjoiQ2hhbmRyYXNla2FyYW4iLCJnaXZlbiI6Ik4uIiwibm9uLWRyb3BwaW5nLXBhcnRpY2xlIjoiIiwicGFyc2UtbmFtZXMiOmZhbHNlLCJzdWZmaXgiOiIifSx7ImRyb3BwaW5nLXBhcnRpY2xlIjoiIiwiZmFtaWx5IjoiTXVraGVyamVlIiwiZ2l2ZW4iOiJBbWl0YXZhIiwibm9uLWRyb3BwaW5nLXBhcnRpY2xlIjoiIiwicGFyc2UtbmFtZXMiOmZhbHNlLCJzdWZmaXgiOiIifV0sImNvbnRhaW5lci10aXRsZSI6IkFxdWF0aWMgVG94aWNvbG9neSIsImlkIjoiOGI4YWUxNzgtYzlhZS01OWM4LThkYjgtYjgzNDYwMDI3YjdiIiwiaXNzdWUiOiJEZWNlbWJlciAyMDE4IiwiaXNzdWVkIjp7ImRhdGUtcGFydHMiOltbIjIwMTkiXV19LCJwYWdlIjoiMjA4LTIxNiIsInRpdGxlIjoiSW5mbHVlbmNlIG9mIGRpZmZlcmVudGx5IGZ1bmN0aW9uYWxpemVkIHBvbHlzdHlyZW5lIG1pY3JvcGxhc3RpY3Mgb24gdGhlIHRveGljIGVmZmVjdHMgb2YgUDI1IFRpTzIgTlBzIHRvd2FyZHMgbWFyaW5lIGFsZ2FlIENobG9yZWxsYSBzcC4iLCJ0eXBlIjoiYXJ0aWNsZS1qb3VybmFsIiwidm9sdW1lIjoiMjA3IiwiY29udGFpbmVyLXRpdGxlLXNob3J0IjoiIn0sInVyaXMiOlsiaHR0cDovL3d3dy5tZW5kZWxleS5jb20vZG9jdW1lbnRzLz91dWlkPTI5Y2FhNzVkLWQ3MGYtNDM1OS1iYTY4LTViZjE5MjMxN2M0NiJdLCJpc1RlbXBvcmFyeSI6ZmFsc2UsImxlZ2FjeURlc2t0b3BJZCI6IjI5Y2FhNzVkLWQ3MGYtNDM1OS1iYTY4LTViZjE5MjMxN2M0NiJ9XX0=&quot;,&quot;citationItems&quot;:[{&quot;id&quot;:&quot;8b8ae178-c9ae-59c8-8db8-b83460027b7b&quot;,&quot;itemData&quot;:{&quot;DOI&quot;:&quot;10.1016/j.aquatox.2018.12.014&quot;,&quot;ISSN&quot;:&quot;18791514&quot;,&quot;PMID&quot;:&quot;30638491&quot;,&quot;abstract&quot;:&quot;Increased utilization of titanium dioxide nanoparticles (TiO2 NPs) for commercial as well as industrial purposes resulted in the accumulation of nanoparticles in the marine system. Microplastics being an emerging secondary pollutant in the marine ecosystem have an impact on the toxic effects of TiO2 NPs which has not been evaluated up to date. So it is important to assess the toxic effects of both these pollutants on the marine environment. The present study examines the impact of differently functionalized microplastics on the toxic effects of P25 TiO2 NPs to marine algae Chlorella sp. The tendency of nanoparticles to undergo aggregation in artificial seawater was observed with increase in time. The median effective concentration for TiO2 NPs was found to be 81 μM which indicates higher toxic effects of NPs toward algae. In contrast, microplastics irrespective of their difference in functionalization had minimal toxic effect of about 15% at their higher concentration tested, 1000 mg L−1. Plain and aminated polystyrene microplastics enhanced the TiO2 NPs toxicity which was further validated with oxidative stress determination studies like reactive oxygen species and lipid peroxidation assays. Negatively charged carboxylated polystyrene microplastics decreased the TiO2 NPs toxicity with possible hetero-aggregation between TiO2 NPs and microplastics in the system. The toxicity data obtained for the mixture was further corroborated with Abbott's mathematical model.&quot;,&quot;author&quot;:[{&quot;dropping-particle&quot;:&quot;&quot;,&quot;family&quot;:&quot;Thiagarajan&quot;,&quot;given&quot;:&quot;Vignesh&quot;,&quot;non-dropping-particle&quot;:&quot;&quot;,&quot;parse-names&quot;:false,&quot;suffix&quot;:&quot;&quot;},{&quot;dropping-particle&quot;:&quot;&quot;,&quot;family&quot;:&quot;Iswarya&quot;,&quot;given&quot;:&quot;V.&quot;,&quot;non-dropping-particle&quot;:&quot;&quot;,&quot;parse-names&quot;:false,&quot;suffix&quot;:&quot;&quot;},{&quot;dropping-particle&quot;:&quot;&quot;,&quot;family&quot;:&quot;P.&quot;,&quot;given&quot;:&quot;Abraham Julian&quot;,&quot;non-dropping-particle&quot;:&quot;&quot;,&quot;parse-names&quot;:false,&quot;suffix&quot;:&quot;&quot;},{&quot;dropping-particle&quot;:&quot;&quot;,&quot;family&quot;:&quot;Seenivasan&quot;,&quot;given&quot;:&quot;R.&quot;,&quot;non-dropping-particle&quot;:&quot;&quot;,&quot;parse-names&quot;:false,&quot;suffix&quot;:&quot;&quot;},{&quot;dropping-particle&quot;:&quot;&quot;,&quot;family&quot;:&quot;Chandrasekaran&quot;,&quot;given&quot;:&quot;N.&quot;,&quot;non-dropping-particle&quot;:&quot;&quot;,&quot;parse-names&quot;:false,&quot;suffix&quot;:&quot;&quot;},{&quot;dropping-particle&quot;:&quot;&quot;,&quot;family&quot;:&quot;Mukherjee&quot;,&quot;given&quot;:&quot;Amitava&quot;,&quot;non-dropping-particle&quot;:&quot;&quot;,&quot;parse-names&quot;:false,&quot;suffix&quot;:&quot;&quot;}],&quot;container-title&quot;:&quot;Aquatic Toxicology&quot;,&quot;id&quot;:&quot;8b8ae178-c9ae-59c8-8db8-b83460027b7b&quot;,&quot;issue&quot;:&quot;December 2018&quot;,&quot;issued&quot;:{&quot;date-parts&quot;:[[&quot;2019&quot;]]},&quot;page&quot;:&quot;208-216&quot;,&quot;title&quot;:&quot;Influence of differently functionalized polystyrene microplastics on the toxic effects of P25 TiO2 NPs towards marine algae Chlorella sp.&quot;,&quot;type&quot;:&quot;article-journal&quot;,&quot;volume&quot;:&quot;207&quot;,&quot;container-title-short&quot;:&quot;&quot;},&quot;uris&quot;:[&quot;http://www.mendeley.com/documents/?uuid=29caa75d-d70f-4359-ba68-5bf192317c46&quot;],&quot;isTemporary&quot;:false,&quot;legacyDesktopId&quot;:&quot;29caa75d-d70f-4359-ba68-5bf192317c46&quot;}]},{&quot;citationID&quot;:&quot;MENDELEY_CITATION_e136404b-97e1-442d-935c-4b41a7550e80&quot;,&quot;properties&quot;:{&quot;noteIndex&quot;:0},&quot;isEdited&quot;:false,&quot;manualOverride&quot;:{&quot;isManuallyOverridden&quot;:false,&quot;citeprocText&quot;:&quot;(Soares et al., 2023)&quot;,&quot;manualOverrideText&quot;:&quot;&quot;},&quot;citationTag&quot;:&quot;MENDELEY_CITATION_v3_eyJjaXRhdGlvbklEIjoiTUVOREVMRVlfQ0lUQVRJT05fZTEzNjQwNGItOTdlMS00NDJkLTkzNWMtNGI0MWE3NTUwZTgwIiwicHJvcGVydGllcyI6eyJub3RlSW5kZXgiOjB9LCJpc0VkaXRlZCI6ZmFsc2UsIm1hbnVhbE92ZXJyaWRlIjp7ImlzTWFudWFsbHlPdmVycmlkZGVuIjpmYWxzZSwiY2l0ZXByb2NUZXh0IjoiKFNvYXJlcyBldCBhbC4sIDIwMjMpIiwibWFudWFsT3ZlcnJpZGVUZXh0IjoiIn0sImNpdGF0aW9uSXRlbXMiOlt7ImlkIjoiN2U5NmNkMjItNTA4OS0zZWVjLWFjZmEtODAxMzBiYjY1MzA0IiwiaXRlbURhdGEiOnsidHlwZSI6ImFydGljbGUtam91cm5hbCIsImlkIjoiN2U5NmNkMjItNTA4OS0zZWVjLWFjZmEtODAxMzBiYjY1MzA0IiwidGl0bGUiOiJQaGFybWFjb21hZ25ldG9ncmFwaHkgYXNzZXNzbWVudCBvZiB0aGUgcHJva2luZXRpYyBlZmZlY3Qgb24gbWV0cm9uaWRhem9sZSBhYnNvcnB0aW9uIiwiYXV0aG9yIjpbeyJmYW1pbHkiOiJTb2FyZXMiLCJnaXZlbiI6Ikd1aWxoZXJtZSBBdWd1c3RvIiwicGFyc2UtbmFtZXMiOmZhbHNlLCJkcm9wcGluZy1wYXJ0aWNsZSI6IiIsIm5vbi1kcm9wcGluZy1wYXJ0aWNsZSI6IiJ9LHsiZmFtaWx5IjoiUm9kcmlndWVzIiwiZ2l2ZW4iOiJHdXN0YXZvIFNlcmFmaW0iLCJwYXJzZS1uYW1lcyI6ZmFsc2UsImRyb3BwaW5nLXBhcnRpY2xlIjoiIiwibm9uLWRyb3BwaW5nLXBhcnRpY2xlIjoiIn0seyJmYW1pbHkiOiJCdXJhbmVsbG8iLCJnaXZlbiI6IkxhaXMgUGVyZWlyYSIsInBhcnNlLW5hbWVzIjpmYWxzZSwiZHJvcHBpbmctcGFydGljbGUiOiIiLCJub24tZHJvcHBpbmctcGFydGljbGUiOiIifSx7ImZhbWlseSI6Ik9saXZlaXJhIiwiZ2l2ZW4iOiJSaWNhcmRvIEJyYW5kdCIsInBhcnNlLW5hbWVzIjpmYWxzZSwiZHJvcHBpbmctcGFydGljbGUiOiIiLCJub24tZHJvcHBpbmctcGFydGljbGUiOiJkZSJ9LHsiZmFtaWx5IjoiQXJydWRhIE1pcmFuZGEiLCJnaXZlbiI6Ikpvc8OpIFJpY2FyZG8iLCJwYXJzZS1uYW1lcyI6ZmFsc2UsImRyb3BwaW5nLXBhcnRpY2xlIjoiIiwibm9uLWRyb3BwaW5nLXBhcnRpY2xlIjoiZGUifV0sImNvbnRhaW5lci10aXRsZSI6IkpvdXJuYWwgb2YgUGhhcm1hY3kgYW5kIFBoYXJtYWNvbG9neSIsIkRPSSI6IjEwLjEwOTMvanBwL3JnYWQwODgiLCJJU1NOIjoiMDAyMi0zNTczIiwiVVJMIjoiaHR0cHM6Ly9kb2kub3JnLzEwLjEwOTMvanBwL3JnYWQwODgiLCJpc3N1ZWQiOnsiZGF0ZS1wYXJ0cyI6W1syMDIzLDEwLDEzXV19LCJwYWdlIjoicmdhZDA4OCIsImFic3RyYWN0IjoiVGhpcyBzdHVkeSBhaW1lZCB0byBldmFsdWF0ZSB0aGUgZWZmZWN0cyBvZiBwcnVjYWxvcHJpZGUsIGEgcHJva2luZXRpYyBhZ2VudCB0aGF0IGFjdHMgYXMgYSBwb3RlbnQgc2Vyb3RvbmluIGFnb25pc3Qgb2YgNS1IVDQgcmVjZXB0b3JzLCBvbiBnYXN0cmljIGVtcHR5aW5nIGFuZCBzbWFsbCBib3dlbCB0cmFuc2l0IGFuZCBhc3Nlc3MgaXRzIGltcGFjdCBvbiB0aGUgYWJzb3JwdGlvbiBvZiBtZXRyb25pZGF6b2xlLlNpeCBoZWFsdGh5IHZvbHVudGVlcnMsIHRocmVlIG1lbiBhbmQgdGhyZWUgd29tZW4sIGFnZWQgYmV0d2VlbiAyMCBhbmQgMjcgeWVhcnMsIHdpdGggYSBib2R5IHdlaWdodCByYW5naW5nIGZyb20gNTAgdG8gODAga2csIHdlcmUgZW5yb2xsZWQgaW4gdGhpcyBzdHVkeS4gVGhlIHBoYXJtYWNva2luZXRpY3MgYW5kIGdhc3Ryb2ludGVzdGluYWwgdHJhbnNpdCBwYXJhbWV0ZXJzIHdlcmUgZXZhbHVhdGVkIHNpbXVsdGFuZW91c2x5IHRocm91Z2ggcGhhcm1hY29tYWduZXRvZ3JhcGh5IGFzc2Vzc21lbnQsIGNvbWJpbmluZyBhbHRlcm5hdGluZyBjdXJyZW50IGJpb3N1c2NlcHRvbWV0cnkgYW5kIGJsb29kIGFuYWx5c2lzLlRoZSByZXN1bHRzIHNob3dlZCB0aGF0IHBydWNhbG9wcmlkZSBlbmhhbmNlcyBnYXN0cmljIGVtcHR5aW5nIGFuZCBzbWFsbCBib3dlbCB0cmFuc2l0IHdoZW4gYWRtaW5pc3RlcmVkIG9yYWxseSBhbmQgc2lnbmlmaWNhbnRseSBpbXBhY3RzIHRoZSByYXRlIG9mIG1ldHJvbmlkYXpvbGUgYWJzb3JwdGlvbiwgbGVhZGluZyB0byBlbmhhbmNlZCBiaW9hdmFpbGFiaWxpdHkgYW5kIHJhcGlkIHRoZXJhcGV1dGljIHJlc3BvbnNlLlBoYXJtYWNvbWFnbmV0b2dyYXBoeSBhc3Nlc3NtZW50IGFsbG93cyBzaW11bHRhbmVvdXMgdHJhY2tpbmcgb2YgdHJhbnNpdCBieSBpbWFnZXMgYW5kIGlzIGEgdmFsdWFibGUgbWV0aG9kIGZvciBhbmFseXNpbmcgZHJ1ZyBhYnNvcnB0aW9uIHVzaW5nIG11bHRpcGxlIGluc3RydW1lbnRzLiIsImNvbnRhaW5lci10aXRsZS1zaG9ydCI6IiJ9LCJpc1RlbXBvcmFyeSI6ZmFsc2V9XX0=&quot;,&quot;citationItems&quot;:[{&quot;id&quot;:&quot;7e96cd22-5089-3eec-acfa-80130bb65304&quot;,&quot;itemData&quot;:{&quot;type&quot;:&quot;article-journal&quot;,&quot;id&quot;:&quot;7e96cd22-5089-3eec-acfa-80130bb65304&quot;,&quot;title&quot;:&quot;Pharmacomagnetography assessment of the prokinetic effect on metronidazole absorption&quot;,&quot;author&quot;:[{&quot;family&quot;:&quot;Soares&quot;,&quot;given&quot;:&quot;Guilherme Augusto&quot;,&quot;parse-names&quot;:false,&quot;dropping-particle&quot;:&quot;&quot;,&quot;non-dropping-particle&quot;:&quot;&quot;},{&quot;family&quot;:&quot;Rodrigues&quot;,&quot;given&quot;:&quot;Gustavo Serafim&quot;,&quot;parse-names&quot;:false,&quot;dropping-particle&quot;:&quot;&quot;,&quot;non-dropping-particle&quot;:&quot;&quot;},{&quot;family&quot;:&quot;Buranello&quot;,&quot;given&quot;:&quot;Lais Pereira&quot;,&quot;parse-names&quot;:false,&quot;dropping-particle&quot;:&quot;&quot;,&quot;non-dropping-particle&quot;:&quot;&quot;},{&quot;family&quot;:&quot;Oliveira&quot;,&quot;given&quot;:&quot;Ricardo Brandt&quot;,&quot;parse-names&quot;:false,&quot;dropping-particle&quot;:&quot;&quot;,&quot;non-dropping-particle&quot;:&quot;de&quot;},{&quot;family&quot;:&quot;Arruda Miranda&quot;,&quot;given&quot;:&quot;José Ricardo&quot;,&quot;parse-names&quot;:false,&quot;dropping-particle&quot;:&quot;&quot;,&quot;non-dropping-particle&quot;:&quot;de&quot;}],&quot;container-title&quot;:&quot;Journal of Pharmacy and Pharmacology&quot;,&quot;DOI&quot;:&quot;10.1093/jpp/rgad088&quot;,&quot;ISSN&quot;:&quot;0022-3573&quot;,&quot;URL&quot;:&quot;https://doi.org/10.1093/jpp/rgad088&quot;,&quot;issued&quot;:{&quot;date-parts&quot;:[[2023,10,13]]},&quot;page&quot;:&quot;rgad088&quot;,&quot;abstract&quot;:&quot;This study aimed to evaluate the effects of prucalopride, a prokinetic agent that acts as a potent serotonin agonist of 5-HT4 receptors, on gastric emptying and small bowel transit and assess its impact on the absorption of metronidazole.Six healthy volunteers, three men and three women, aged between 20 and 27 years, with a body weight ranging from 50 to 80 kg, were enrolled in this study. The pharmacokinetics and gastrointestinal transit parameters were evaluated simultaneously through pharmacomagnetography assessment, combining alternating current biosusceptometry and blood analysis.The results showed that prucalopride enhances gastric emptying and small bowel transit when administered orally and significantly impacts the rate of metronidazole absorption, leading to enhanced bioavailability and rapid therapeutic response.Pharmacomagnetography assessment allows simultaneous tracking of transit by images and is a valuable method for analysing drug absorption using multiple instruments.&quot;,&quot;container-title-short&quot;:&quot;&quot;},&quot;isTemporary&quot;:false}]},{&quot;citationID&quot;:&quot;MENDELEY_CITATION_9333c19e-3317-427c-8858-f2ec974e9ec4&quot;,&quot;properties&quot;:{&quot;noteIndex&quot;:0},&quot;isEdited&quot;:false,&quot;manualOverride&quot;:{&quot;isManuallyOverridden&quot;:false,&quot;citeprocText&quot;:&quot;(Elzayat et al., 2017)&quot;,&quot;manualOverrideText&quot;:&quot;&quot;},&quot;citationTag&quot;:&quot;MENDELEY_CITATION_v3_eyJjaXRhdGlvbklEIjoiTUVOREVMRVlfQ0lUQVRJT05fOTMzM2MxOWUtMzMxNy00MjdjLTg4NTgtZjJlYzk3NGU5ZWM0IiwicHJvcGVydGllcyI6eyJub3RlSW5kZXgiOjB9LCJpc0VkaXRlZCI6ZmFsc2UsIm1hbnVhbE92ZXJyaWRlIjp7ImlzTWFudWFsbHlPdmVycmlkZGVuIjpmYWxzZSwiY2l0ZXByb2NUZXh0IjoiKEVsemF5YXQgZXQgYWwuLCAyMDE3KSIsIm1hbnVhbE92ZXJyaWRlVGV4dCI6IiJ9LCJjaXRhdGlvbkl0ZW1zIjpbeyJpZCI6ImIzNDkxNzVhLTM5M2EtMzQyNy1hOWM5LTNhNzE1MzhiMWIxOSIsIml0ZW1EYXRhIjp7InR5cGUiOiJhcnRpY2xlLWpvdXJuYWwiLCJpZCI6ImIzNDkxNzVhLTM5M2EtMzQyNy1hOWM5LTNhNzE1MzhiMWIxOSIsInRpdGxlIjoiQSB2YWxpZGF0ZWQgc3RhYmlsaXR5LWluZGljYXRpbmcgVVBMQyBtZXRob2QgZm9yIGRldGVybWluYXRpb24gb2YgZGljbG9mZW5hYyBzb2RpdW0gaW4gaXRzIHB1cmUgZm9ybSBhbmQgbWF0cml4IGZvcm11bGF0aW9ucyIsImF1dGhvciI6W3siZmFtaWx5IjoiRWx6YXlhdCIsImdpdmVuIjoiRWhhYiBNIiwicGFyc2UtbmFtZXMiOmZhbHNlLCJkcm9wcGluZy1wYXJ0aWNsZSI6IiIsIm5vbi1kcm9wcGluZy1wYXJ0aWNsZSI6IiJ9LHsiZmFtaWx5IjoiSWJyYWhpbSIsImdpdmVuIjoiTW9oYW1lZCBGIiwicGFyc2UtbmFtZXMiOmZhbHNlLCJkcm9wcGluZy1wYXJ0aWNsZSI6IiIsIm5vbi1kcm9wcGluZy1wYXJ0aWNsZSI6IiJ9LHsiZmFtaWx5IjoiQWJkZWwtUmFobWFuIiwiZ2l2ZW4iOiJBbGkgQSIsInBhcnNlLW5hbWVzIjpmYWxzZSwiZHJvcHBpbmctcGFydGljbGUiOiIiLCJub24tZHJvcHBpbmctcGFydGljbGUiOiIifSx7ImZhbWlseSI6IkFobWVkIiwiZ2l2ZW4iOiJTYXllZCBNIiwicGFyc2UtbmFtZXMiOmZhbHNlLCJkcm9wcGluZy1wYXJ0aWNsZSI6IiIsIm5vbi1kcm9wcGluZy1wYXJ0aWNsZSI6IiJ9LHsiZmFtaWx5IjoiQWxhbmF6aSIsImdpdmVuIjoiRmFycyBLIiwicGFyc2UtbmFtZXMiOmZhbHNlLCJkcm9wcGluZy1wYXJ0aWNsZSI6IiIsIm5vbi1kcm9wcGluZy1wYXJ0aWNsZSI6IiJ9LHsiZmFtaWx5IjoiSGFiaWIiLCJnaXZlbiI6IldhbGlkIEEiLCJwYXJzZS1uYW1lcyI6ZmFsc2UsImRyb3BwaW5nLXBhcnRpY2xlIjoiIiwibm9uLWRyb3BwaW5nLXBhcnRpY2xlIjoiIn1dLCJjb250YWluZXItdGl0bGUiOiJBcmFiaWFuIEpvdXJuYWwgb2YgQ2hlbWlzdHJ5IiwiRE9JIjoiaHR0cHM6Ly9kb2kub3JnLzEwLjEwMTYvai5hcmFiamMuMjAxMy4xMi4wMjIiLCJJU1NOIjoiMTg3OC01MzUyIiwiVVJMIjoiaHR0cHM6Ly93d3cuc2NpZW5jZWRpcmVjdC5jb20vc2NpZW5jZS9hcnRpY2xlL3BpaS9TMTg3ODUzNTIxMzAwNDUwNCIsImlzc3VlZCI6eyJkYXRlLXBhcnRzIjpbWzIwMTddXX0sInBhZ2UiOiJTMzI0NS1TMzI1NCIsImFic3RyYWN0IjoiVGhlIGFpbSBvZiB0aGlzIHdvcmsgaXMgdG8gZGV2ZWxvcCBhIHZhbGlkYXRlZCBzdGFiaWxpdHkgaW5kaWNhdGluZyByZXZlcnNlIHBoYXNlIHVsdHJhIHBlcmZvcm1hbmNlIGxpcXVpZCBjaHJvbWF0b2dyYXBoeSAoVVBMQykgbWV0aG9kIGZvciB0aGUgcmFwaWQgYW5kIGFjY3VyYXRlIGRldGVybWluYXRpb24gb2YgZGljbG9mZW5hYyBzb2RpdW0gaW4gaXRzIHB1cmUgZm9ybSBhbmQgaW4gbWF0cml4IGZvcm11bGF0aW9ucy4gVGhpcyBVUExDIG1ldGhvZCBpcyBjb21wb3NlZCBvZiBpc29jcmF0aWMgbW9iaWxlIHBoYXNlLCAwLjA1TSBhbW1vbml1bSBhY2V0YXRlIGJ1ZmZlciAocEg9Mi41KSBhbmQgYWNldG9uaXRyaWxlICg1MDo1MCksIHdpdGggZmxvdyByYXRlIDAuNW1sL21pbiwgY29sdW1uIEJFSCBDMTggKDIuMcOXNTBtbSwgMS43zrxtKS4gVGhlIG1ldGhvZCBpcyByYXBpZCAoMS4ybWluIHJ1biksIHNlbGVjdGl2ZSB3aXRoIHdlbGwgcmVzb2x1dGVkIGRpY2xvZmVuYWMgcGVhayB3aXRoIHJldGVudGlvbiB0aW1lIDAuOTRtaW4gYW5kIHNlbnNpdGl2ZSAoTE9EPTJwcG0gYW5kIExMT1E9NnBwbSkgd2l0aCBVViBkZXRlY3Rpb24gYXQgMjU0bm0uIFRoZSBkcnVnIHdhcyBzdWJqZWN0ZWQgdG8gYWNpZGljLCBhbGthbGluZSBtZWRpYSwgYm9pbGluZyBhbmQgb3hpZGl6aW5nIGFnZW50IHRvIGFwcGx5IHN0cmVzcyBjb25kaXRpb25zLiBUaGUgZGV2ZWxvcGVkIG1ldGhvZCB3YXMgYWJsZSB0byBzZXBhcmF0ZSBkZWdyYWRhdGlvbiBwcm9kdWN0IGdlbmVyYXRlZCB1bmRlciBmb3JjZWQgZGVncmFkYXRpb24gc3R1ZGllcy4gVGhlIGRldmVsb3BlZCBtZXRob2Qgd2FzIHZhbGlkYXRlZCBhcyBwZXIgdGhlIEZEQSBndWlkZWxpbmVzIGZvciBzcGVjaWZpY2l0eSwgbGluZWFyaXR5LCBhY2N1cmFjeSwgcHJlY2lzaW9uLCBMT0QsIExMT1EgYW5kIGZvdW5kIHRvIGJlIHNhdGlzZmFjdG9yeS4gVGhlIHN0dWR5IHN1Z2dlc3RzIHRoYXQgdGhlIGRldmVsb3BlZCBVUExDIG1ldGhvZCBjYW4gYmUgdXNlZCBmb3IgdGhlIGFzc2Vzc21lbnQgb2YgZHJ1ZyBwdXJpdHkgYW5kIHN0YWJpbGl0eS4gSXQgY2FuIGJlIGFsc28gdXNlZCB0byBtb25pdG9yIHRoZSBkcnVnIGNvbnRlbnQgYW5kIHJlbGVhc2UgZnJvbSBkaWZmZXJlbnQgZm9ybXVsYXRpb25zIHdpdGhvdXQgYW55IGludGVyZmVyZW5jZSBvZiBleGNpcGllbnRzIGFuZC9vciBkZWdyYWRhdGlvbiBwcm9kdWN0cy4iLCJ2b2x1bWUiOiIxMCIsImNvbnRhaW5lci10aXRsZS1zaG9ydCI6IiJ9LCJpc1RlbXBvcmFyeSI6ZmFsc2V9XX0=&quot;,&quot;citationItems&quot;:[{&quot;id&quot;:&quot;b349175a-393a-3427-a9c9-3a71538b1b19&quot;,&quot;itemData&quot;:{&quot;type&quot;:&quot;article-journal&quot;,&quot;id&quot;:&quot;b349175a-393a-3427-a9c9-3a71538b1b19&quot;,&quot;title&quot;:&quot;A validated stability-indicating UPLC method for determination of diclofenac sodium in its pure form and matrix formulations&quot;,&quot;author&quot;:[{&quot;family&quot;:&quot;Elzayat&quot;,&quot;given&quot;:&quot;Ehab M&quot;,&quot;parse-names&quot;:false,&quot;dropping-particle&quot;:&quot;&quot;,&quot;non-dropping-particle&quot;:&quot;&quot;},{&quot;family&quot;:&quot;Ibrahim&quot;,&quot;given&quot;:&quot;Mohamed F&quot;,&quot;parse-names&quot;:false,&quot;dropping-particle&quot;:&quot;&quot;,&quot;non-dropping-particle&quot;:&quot;&quot;},{&quot;family&quot;:&quot;Abdel-Rahman&quot;,&quot;given&quot;:&quot;Ali A&quot;,&quot;parse-names&quot;:false,&quot;dropping-particle&quot;:&quot;&quot;,&quot;non-dropping-particle&quot;:&quot;&quot;},{&quot;family&quot;:&quot;Ahmed&quot;,&quot;given&quot;:&quot;Sayed M&quot;,&quot;parse-names&quot;:false,&quot;dropping-particle&quot;:&quot;&quot;,&quot;non-dropping-particle&quot;:&quot;&quot;},{&quot;family&quot;:&quot;Alanazi&quot;,&quot;given&quot;:&quot;Fars K&quot;,&quot;parse-names&quot;:false,&quot;dropping-particle&quot;:&quot;&quot;,&quot;non-dropping-particle&quot;:&quot;&quot;},{&quot;family&quot;:&quot;Habib&quot;,&quot;given&quot;:&quot;Walid A&quot;,&quot;parse-names&quot;:false,&quot;dropping-particle&quot;:&quot;&quot;,&quot;non-dropping-particle&quot;:&quot;&quot;}],&quot;container-title&quot;:&quot;Arabian Journal of Chemistry&quot;,&quot;DOI&quot;:&quot;https://doi.org/10.1016/j.arabjc.2013.12.022&quot;,&quot;ISSN&quot;:&quot;1878-5352&quot;,&quot;URL&quot;:&quot;https://www.sciencedirect.com/science/article/pii/S1878535213004504&quot;,&quot;issued&quot;:{&quot;date-parts&quot;:[[2017]]},&quot;page&quot;:&quot;S3245-S3254&quot;,&quot;abstract&quot;:&quot;The aim of this work is to develop a validated stability indicating reverse phase ultra performance liquid chromatography (UPLC) method for the rapid and accurate determination of diclofenac sodium in its pure form and in matrix formulations. This UPLC method is composed of isocratic mobile phase, 0.05M ammonium acetate buffer (pH=2.5) and acetonitrile (50:50), with flow rate 0.5ml/min, column BEH C18 (2.1×50mm, 1.7μm). The method is rapid (1.2min run), selective with well resoluted diclofenac peak with retention time 0.94min and sensitive (LOD=2ppm and LLOQ=6ppm) with UV detection at 254nm. The drug was subjected to acidic, alkaline media, boiling and oxidizing agent to apply stress conditions. The developed method was able to separate degradation product generated under forced degradation studies. The developed method was validated as per the FDA guidelines for specificity, linearity, accuracy, precision, LOD, LLOQ and found to be satisfactory. The study suggests that the developed UPLC method can be used for the assessment of drug purity and stability. It can be also used to monitor the drug content and release from different formulations without any interference of excipients and/or degradation products.&quot;,&quot;volume&quot;:&quot;10&quot;,&quot;container-title-short&quot;:&quot;&quot;},&quot;isTemporary&quot;:false}]},{&quot;citationID&quot;:&quot;MENDELEY_CITATION_72b04cc1-6db7-4914-9f1e-c81b4aaad62f&quot;,&quot;properties&quot;:{&quot;noteIndex&quot;:0},&quot;isEdited&quot;:false,&quot;manualOverride&quot;:{&quot;isManuallyOverridden&quot;:false,&quot;citeprocText&quot;:&quot;(Ahmed-Anwar et al., 2023)&quot;,&quot;manualOverrideText&quot;:&quot;&quot;},&quot;citationTag&quot;:&quot;MENDELEY_CITATION_v3_eyJjaXRhdGlvbklEIjoiTUVOREVMRVlfQ0lUQVRJT05fNzJiMDRjYzEtNmRiNy00OTE0LTlmMWUtYzgxYjRhYWFkNjJmIiwicHJvcGVydGllcyI6eyJub3RlSW5kZXgiOjB9LCJpc0VkaXRlZCI6ZmFsc2UsIm1hbnVhbE92ZXJyaWRlIjp7ImlzTWFudWFsbHlPdmVycmlkZGVuIjpmYWxzZSwiY2l0ZXByb2NUZXh0IjoiKEFobWVkLUFud2FyIGV0IGFsLiwgMjAyMykiLCJtYW51YWxPdmVycmlkZVRleHQiOiIifSwiY2l0YXRpb25JdGVtcyI6W3siaWQiOiJmMzdjOGRhOC0zZTFiLTM2ZjMtYjhlYS1lMGYyYmY3MGYwMjkiLCJpdGVtRGF0YSI6eyJ0eXBlIjoiYXJ0aWNsZS1qb3VybmFsIiwiaWQiOiJmMzdjOGRhOC0zZTFiLTM2ZjMtYjhlYS1lMGYyYmY3MGYwMjkiLCJ0aXRsZSI6IkdyZWVuIFVQTEMgbWV0aG9kIGZvciBlc3RpbWF0aW9uIG9mIGNpcHJvZmxveGFjaW4sIGRpY2xvZmVuYWMgc29kaXVtLCBhbmQgaWJ1cHJvZmVuIHdpdGggYXBwbGljYXRpb24gdG8gcGhhcm1hY29raW5ldGljIHN0dWR5IG9mIGh1bWFuIHNhbXBsZXMiLCJhdXRob3IiOlt7ImZhbWlseSI6IkFobWVkLUFud2FyIiwiZ2l2ZW4iOiJBbGFhIEEiLCJwYXJzZS1uYW1lcyI6ZmFsc2UsImRyb3BwaW5nLXBhcnRpY2xlIjoiIiwibm9uLWRyb3BwaW5nLXBhcnRpY2xlIjoiIn0seyJmYW1pbHkiOiJNb2hhbWVkIiwiZ2l2ZW4iOiJNYWhtb3VkIEEiLCJwYXJzZS1uYW1lcyI6ZmFsc2UsImRyb3BwaW5nLXBhcnRpY2xlIjoiIiwibm9uLWRyb3BwaW5nLXBhcnRpY2xlIjoiIn0seyJmYW1pbHkiOiJGYXJnaGFsaSIsImdpdmVuIjoiQWhtZWQgQSIsInBhcnNlLW5hbWVzIjpmYWxzZSwiZHJvcHBpbmctcGFydGljbGUiOiIiLCJub24tZHJvcHBpbmctcGFydGljbGUiOiIifSx7ImZhbWlseSI6Ik1haG1vdWQiLCJnaXZlbiI6IlJlaGFiIiwicGFyc2UtbmFtZXMiOmZhbHNlLCJkcm9wcGluZy1wYXJ0aWNsZSI6IiIsIm5vbi1kcm9wcGluZy1wYXJ0aWNsZSI6IiJ9LHsiZmFtaWx5IjoiSGFzc291bmEiLCJnaXZlbiI6Ik1vaGFtZWQgRSBNIiwicGFyc2UtbmFtZXMiOmZhbHNlLCJkcm9wcGluZy1wYXJ0aWNsZSI6IiIsIm5vbi1kcm9wcGluZy1wYXJ0aWNsZSI6IiJ9XSwiY29udGFpbmVyLXRpdGxlIjoiU2NpZW50aWZpYyBSZXBvcnRzIiwiY29udGFpbmVyLXRpdGxlLXNob3J0IjoiU2NpIFJlcCIsIkRPSSI6IjEwLjEwMzgvczQxNTk4LTAyMy00NDg0Ni01IiwiSVNTTiI6IjIwNDUtMjMyMiIsIlVSTCI6Imh0dHBzOi8vZG9pLm9yZy8xMC4xMDM4L3M0MTU5OC0wMjMtNDQ4NDYtNSIsImlzc3VlZCI6eyJkYXRlLXBhcnRzIjpbWzIwMjNdXX0sInBhZ2UiOiIxNzYxMyIsImFic3RyYWN0IjoiSW52ZXN0aWdhdGlvbiBvZiBhIHVuaXF1ZSBhbmQgZmFzdCBtZXRob2QgZm9yIHRoZSBkZXRlcm1pbmF0aW9uIGFuZCBzZXBhcmF0aW9uIG9mIGEgbWl4dHVyZSBvZiB0aHJlZSBkcnVncyB2aXouLCBjaXByb2Zsb3hhY2luIChDSVApLCBJYnVwcm9mZW4gKElCVSksIGFuZCBkaWNsb2ZlbmFjIHNvZGl1bSAoRElDKSBpbiBhY3R1YWwgc2FtcGxlcyBvZiBodW1hbiBwbGFzbWEuIEFsc28sIHRoZSB0ZWNobmlxdWUgd2FzIHVzZWQgdG8gbG9vayBhdCB0aGVpciBwaGFybWFjb2tpbmV0aWNzIHN0dWR5LiBIeWRyb2NvcnRpc29uZSB3YXMgY2hvc2VuIGFzIHRoZSBpbnRlcm5hbCBzdGFuZGFyZCAoSVMpLiBUaGUgZHJ1Z3Mgd2VyZSBjaHJvbWF0b2dyYXBoaWNhbGx5IHNlcGFyYXRlZCB1c2luZyBhbiBBY3F1aXR5IHVsdHJhLXBlcmZvcm1hbmNlIGxpcXVpZCBjaHJvbWF0b2dyYXBoeSBVUExDIMKuIEJFSCBDMTggMS43wqDCtW0gKDIuMeKAicOX4oCJMTUwwqBtbSkgY29sdW1uIHdpdGggYSBtb2JpbGUgcGhhc2UgY29tcG9zZWQgb2YgYWNldG9uaXRyaWxlOiB3YXRlciAoNjU6MzUsIHYvdikgYWRqdXN0ZWQgdG8gcEggMyB3aXRoIGRpbHV0ZWQgYWNldGljIGFjaWQuIFBsYXNtYSBwcm90ZWlucyB3ZXJlIHByZWNpcGl0YXRlZCB3aXRoIGFjZXRvbml0cmlsZS4gVGhlIHNlcGFyYXRlZCBkcnVncyByYW5nZWQgZnJvbSAwLjMgdG8gMTAsIDAuMuKAkzExLCBhbmQgMeKAkzI1wqDCtWcvbUwgZm9yIENJUCwgSUJVLCBhbmQgRElDLCByZXNwZWN0aXZlbHkuIENhbGlicmF0aW9uIGN1cnZlcyB3ZXJlIGRpc2NvdmVyZWQgdG8gYWNoaWV2ZSBsaW5lYXJpdHkgd2l0aCBhY2NlcHRhYmxlIGNvcnJlbGF0aW9uIGNvZWZmaWNpZW50cyAoMC45OSUpLiBFeGFtaW5hdGlvbiBvZiBxdWFsaXR5IGFzc3VyYW5jZSBzYW1wbGVzIHNob3dlZCBleGNlcHRpb25hbCBwcmVjaXNpb24gYW5kIGFjY3VyYWN5LiBGb2xsb3dpbmcgdGhlIHN1Y2Nlc3NmdWwgYXBwbGljYXRpb24gb2YgdGhpcyBpbXByb3ZlZCB0ZWNobmlxdWUgdG8gcGxhc21hIHNhbXBsZXMsIHRoZSBwaGFybWFjb2tpbmV0aWMgY2hhcmFjdGVyaXN0aWNzIG9mIGVhY2ggc2VsZWN0ZWQgZHJ1ZyB3ZXJlIGV2YWx1YXRlZCB1c2luZyAoVVBMQykgd2l0aCBVViBkZXRlY3Rpb24gYXQgMjEwwqBubS4gVHdvIGdyZWVuIG1ldHJpY3Mgd2VyZSBhcHBsaWVkLCB0aGUgQW5hbHl0aWNhbCBFY28tc2NhbGUgYW5kIHRoZSBBbmFseXRpY2FsIEdSRUVubmVzcyBDYWxjdWxhdG9yIChBR1JFRSkuIFNlcGFyYXRpb24gd2FzIGFjaGlldmVkIGluIG9ubHkgNC1taW4gYW5hbHlzaXMgdGltZS4gVGhlIG1ldGhvZCdzIHZhbGlkYXRpb24gYWdyZWVkIHdpdGggdGhlIHJlcXVpcmVtZW50cyBvZiB0aGUgRkRBLCBhbmQgdGhlIHJlc3VsdHMgd2VyZSBzdWZmaWNpZW50LiIsImlzc3VlIjoiMSIsInZvbHVtZSI6IjEzIn0sImlzVGVtcG9yYXJ5IjpmYWxzZX1dfQ==&quot;,&quot;citationItems&quot;:[{&quot;id&quot;:&quot;f37c8da8-3e1b-36f3-b8ea-e0f2bf70f029&quot;,&quot;itemData&quot;:{&quot;type&quot;:&quot;article-journal&quot;,&quot;id&quot;:&quot;f37c8da8-3e1b-36f3-b8ea-e0f2bf70f029&quot;,&quot;title&quot;:&quot;Green UPLC method for estimation of ciprofloxacin, diclofenac sodium, and ibuprofen with application to pharmacokinetic study of human samples&quot;,&quot;author&quot;:[{&quot;family&quot;:&quot;Ahmed-Anwar&quot;,&quot;given&quot;:&quot;Alaa A&quot;,&quot;parse-names&quot;:false,&quot;dropping-particle&quot;:&quot;&quot;,&quot;non-dropping-particle&quot;:&quot;&quot;},{&quot;family&quot;:&quot;Mohamed&quot;,&quot;given&quot;:&quot;Mahmoud A&quot;,&quot;parse-names&quot;:false,&quot;dropping-particle&quot;:&quot;&quot;,&quot;non-dropping-particle&quot;:&quot;&quot;},{&quot;family&quot;:&quot;Farghali&quot;,&quot;given&quot;:&quot;Ahmed A&quot;,&quot;parse-names&quot;:false,&quot;dropping-particle&quot;:&quot;&quot;,&quot;non-dropping-particle&quot;:&quot;&quot;},{&quot;family&quot;:&quot;Mahmoud&quot;,&quot;given&quot;:&quot;Rehab&quot;,&quot;parse-names&quot;:false,&quot;dropping-particle&quot;:&quot;&quot;,&quot;non-dropping-particle&quot;:&quot;&quot;},{&quot;family&quot;:&quot;Hassouna&quot;,&quot;given&quot;:&quot;Mohamed E M&quot;,&quot;parse-names&quot;:false,&quot;dropping-particle&quot;:&quot;&quot;,&quot;non-dropping-particle&quot;:&quot;&quot;}],&quot;container-title&quot;:&quot;Scientific Reports&quot;,&quot;container-title-short&quot;:&quot;Sci Rep&quot;,&quot;DOI&quot;:&quot;10.1038/s41598-023-44846-5&quot;,&quot;ISSN&quot;:&quot;2045-2322&quot;,&quot;URL&quot;:&quot;https://doi.org/10.1038/s41598-023-44846-5&quot;,&quot;issued&quot;:{&quot;date-parts&quot;:[[2023]]},&quot;page&quot;:&quot;17613&quot;,&quot;abstract&quot;:&quot;Investigation of a unique and fast method for the determination and separation of a mixture of three drugs viz., ciprofloxacin (CIP), Ibuprofen (IBU), and diclofenac sodium (DIC) in actual samples of human plasma. Also, the technique was used to look at their pharmacokinetics study. Hydrocortisone was chosen as the internal standard (IS). The drugs were chromatographically separated using an Acquity ultra-performance liquid chromatography UPLC ® BEH C18 1.7 µm (2.1 × 150 mm) column with a mobile phase composed of acetonitrile: water (65:35, v/v) adjusted to pH 3 with diluted acetic acid. Plasma proteins were precipitated with acetonitrile. The separated drugs ranged from 0.3 to 10, 0.2–11, and 1–25 µg/mL for CIP, IBU, and DIC, respectively. Calibration curves were discovered to achieve linearity with acceptable correlation coefficients (0.99%). Examination of quality assurance samples showed exceptional precision and accuracy. Following the successful application of this improved technique to plasma samples, the pharmacokinetic characteristics of each selected drug were evaluated using (UPLC) with UV detection at 210 nm. Two green metrics were applied, the Analytical Eco-scale and the Analytical GREEnness Calculator (AGREE). Separation was achieved in only 4-min analysis time. The method's validation agreed with the requirements of the FDA, and the results were sufficient.&quot;,&quot;issue&quot;:&quot;1&quot;,&quot;volume&quot;:&quot;13&quot;},&quot;isTemporary&quot;:false}]},{&quot;citationID&quot;:&quot;MENDELEY_CITATION_583279f6-5ee5-4320-99d9-88dc2b19e02e&quot;,&quot;properties&quot;:{&quot;noteIndex&quot;:0},&quot;isEdited&quot;:false,&quot;manualOverride&quot;:{&quot;citeprocText&quot;:&quot;(Natarajan, Jenifer, et al., 2022; Roy et al., 2020)&quot;,&quot;isManuallyOverridden&quot;:false,&quot;manualOverrideText&quot;:&quot;&quot;},&quot;citationTag&quot;:&quot;MENDELEY_CITATION_v3_eyJjaXRhdGlvbklEIjoiTUVOREVMRVlfQ0lUQVRJT05fNTgzMjc5ZjYtNWVlNS00MzIwLTk5ZDktODhkYzJiMTllMDJlIiwicHJvcGVydGllcyI6eyJub3RlSW5kZXgiOjB9LCJpc0VkaXRlZCI6ZmFsc2UsIm1hbnVhbE92ZXJyaWRlIjp7ImNpdGVwcm9jVGV4dCI6IihOYXRhcmFqYW4sIEplbmlmZXIsIGV0IGFsLiwgMjAyMjsgUm95IGV0IGFsLiwgMjAyMCkiLCJpc01hbnVhbGx5T3ZlcnJpZGRlbiI6ZmFsc2UsIm1hbnVhbE92ZXJyaWRlVGV4dCI6IiJ9LCJjaXRhdGlvbkl0ZW1zIjpbeyJpZCI6IjlmMTM4Y2U0LTQ1MWUtNTZmYy04NzNkLTVhNTE0OGRlYWFmZiIsIml0ZW1EYXRhIjp7IklTU04iOiIwMDEzLTkzNTEiLCJhdXRob3IiOlt7ImRyb3BwaW5nLXBhcnRpY2xlIjoiIiwiZmFtaWx5IjoiTmF0YXJhamFuIiwiZ2l2ZW4iOiJMb2tlc2h3YXJpIiwibm9uLWRyb3BwaW5nLXBhcnRpY2xlIjoiIiwicGFyc2UtbmFtZXMiOmZhbHNlLCJzdWZmaXgiOiIifSx7ImRyb3BwaW5nLXBhcnRpY2xlIjoiIiwiZmFtaWx5IjoiSmVuaWZlciIsImdpdmVuIjoiTSBBbm5pZSIsIm5vbi1kcm9wcGluZy1wYXJ0aWNsZSI6IiIsInBhcnNlLW5hbWVzIjpmYWxzZSwic3VmZml4IjoiIn0seyJkcm9wcGluZy1wYXJ0aWNsZSI6IiIsImZhbWlseSI6IkNoYW5kcmFzZWthcmFuIiwiZ2l2ZW4iOiJOIiwibm9uLWRyb3BwaW5nLXBhcnRpY2xlIjoiIiwicGFyc2UtbmFtZXMiOmZhbHNlLCJzdWZmaXgiOiIifSx7ImRyb3BwaW5nLXBhcnRpY2xlIjoiIiwiZmFtaWx5IjoiU3VyYWlzaGt1bWFyIiwiZ2l2ZW4iOiJHIEsiLCJub24tZHJvcHBpbmctcGFydGljbGUiOiIiLCJwYXJzZS1uYW1lcyI6ZmFsc2UsInN1ZmZpeCI6IiJ9LHsiZHJvcHBpbmctcGFydGljbGUiOiIiLCJmYW1pbHkiOiJNdWtoZXJqZWUiLCJnaXZlbiI6IkFtaXRhdmEiLCJub24tZHJvcHBpbmctcGFydGljbGUiOiIiLCJwYXJzZS1uYW1lcyI6ZmFsc2UsInN1ZmZpeCI6IiJ9XSwiY29udGFpbmVyLXRpdGxlIjoiRW52aXJvbm1lbnRhbCBSZXNlYXJjaCIsImlkIjoiOWYxMzhjZTQtNDUxZS01NmZjLTg3M2QtNWE1MTQ4ZGVhYWZmIiwiaXNzdWVkIjp7ImRhdGUtcGFydHMiOltbIjIwMjIiXV19LCJwYWdlIjoiMTEyNDAwIiwicHVibGlzaGVyIjoiRWxzZXZpZXIiLCJ0aXRsZSI6IlBvbHlzdHlyZW5lIG5hbm9wbGFzdGljcyBkaW1pbmlzaCB0aGUgdG94aWMgZWZmZWN0cyBvZiBOYW5vLVRpTzIgaW4gbWFyaW5lIGFsZ2FlIENobG9yZWxsYSBzcC4iLCJ0eXBlIjoiYXJ0aWNsZS1qb3VybmFsIiwidm9sdW1lIjoiMjA0IiwiY29udGFpbmVyLXRpdGxlLXNob3J0IjoiRW52aXJvbiBSZXMifSwidXJpcyI6WyJodHRwOi8vd3d3Lm1lbmRlbGV5LmNvbS9kb2N1bWVudHMvP3V1aWQ9YmI5ZjRiYWYtYTg1Ni00YzEzLTlkZTUtZmNlZjQyNWEwYjBlIl0sImlzVGVtcG9yYXJ5IjpmYWxzZSwibGVnYWN5RGVza3RvcElkIjoiYmI5ZjRiYWYtYTg1Ni00YzEzLTlkZTUtZmNlZjQyNWEwYjBlIn0seyJpZCI6IjVkNTUzYTY2LTg1NjktM2ZiMi04NDUzLTc4NzBjYWMwYjgxYyIsIml0ZW1EYXRhIjp7InR5cGUiOiJhcnRpY2xlLWpvdXJuYWwiLCJpZCI6IjVkNTUzYTY2LTg1NjktM2ZiMi04NDUzLTc4NzBjYWMwYjgxYyIsInRpdGxlIjoiVVZCIHByZS1pcnJhZGlhdGlvbiBvZiB0aXRhbml1bSBkaW94aWRlIG5hbm9wYXJ0aWNsZXMgaXMgbW9yZSBkZXRyaW1lbnRhbCB0byBmcmVzaHdhdGVyIGFsZ2FlIHRoYW4gVVZBIHByZS1pcnJhZGlhdGlvbiIsImF1dGhvciI6W3siZmFtaWx5IjoiUm95IiwiZ2l2ZW4iOiJCYXJzaGEiLCJwYXJzZS1uYW1lcyI6ZmFsc2UsImRyb3BwaW5nLXBhcnRpY2xlIjoiIiwibm9uLWRyb3BwaW5nLXBhcnRpY2xlIjoiIn0seyJmYW1pbHkiOiJQLksuIiwiZ2l2ZW4iOiJTdXJlc2giLCJwYXJzZS1uYW1lcyI6ZmFsc2UsImRyb3BwaW5nLXBhcnRpY2xlIjoiIiwibm9uLWRyb3BwaW5nLXBhcnRpY2xlIjoiIn0seyJmYW1pbHkiOiJDaGFuZHJhc2VrYXJhbiIsImdpdmVuIjoiTmF0YXJhamFuIiwicGFyc2UtbmFtZXMiOmZhbHNlLCJkcm9wcGluZy1wYXJ0aWNsZSI6IiIsIm5vbi1kcm9wcGluZy1wYXJ0aWNsZSI6IiJ9LHsiZmFtaWx5IjoiTXVraGVyamVlIiwiZ2l2ZW4iOiJBbWl0YXZhIiwicGFyc2UtbmFtZXMiOmZhbHNlLCJkcm9wcGluZy1wYXJ0aWNsZSI6IiIsIm5vbi1kcm9wcGluZy1wYXJ0aWNsZSI6IiJ9XSwiY29udGFpbmVyLXRpdGxlIjoiSm91cm5hbCBvZiBFbnZpcm9ubWVudGFsIENoZW1pY2FsIEVuZ2luZWVyaW5nIiwiY29udGFpbmVyLXRpdGxlLXNob3J0IjoiSiBFbnZpcm9uIENoZW0gRW5nIiwiRE9JIjoiaHR0cHM6Ly9kb2kub3JnLzEwLjEwMTYvai5qZWNlLjIwMjAuMTA0MDc2IiwiSVNTTiI6IjIyMTMtMzQzNyIsIlVSTCI6Imh0dHBzOi8vd3d3LnNjaWVuY2VkaXJlY3QuY29tL3NjaWVuY2UvYXJ0aWNsZS9waWkvUzIyMTMzNDM3MjAzMDQyNDMiLCJpc3N1ZWQiOnsiZGF0ZS1wYXJ0cyI6W1syMDIwXV19LCJwYWdlIjoiMTA0MDc2IiwiYWJzdHJhY3QiOiJDb250aW51ZWQgdXNlIG9mIFAyNSBUaU8yIE5QcyBpbiBzZXZlcmFsIGZpZWxkcyBuZWNlc3NpdGF0ZXMgdGhlaXIgdG94aWNpdHkgZXZhbHVhdGlvbiB0b3dhcmRzIHRoZSBlY29zeXN0ZW0uIENvbnNpZGVyaW5nIHRoZSBoaWdoIHBob3RvY2F0YWx5dGljIGFjdGl2aXR5IG9mIFRpTzIgTlBzLCB0aGV5IHdlcmUgc2VsZWN0ZWQgaW4gdGhlIGN1cnJlbnQgc3R1ZHkuIFRoZSBwaG90b2NhdGFseXRpYyBwb3RlbnRpYWwgYW5kIHRveGljaXR5IG9mIE5QcyBvbiBmcmVzaHdhdGVyIGFsZ2FlIENobG9yZWxsYSBzcC4gd2VyZSBjb21wYXJlZCB1cG9uIFVWQSBwcmUtaXJyYWRpYXRpb24gYW5kIFVWQiBwcmUtaXJyYWRpYXRpb24uIExvdyBjb25jZW50cmF0aW9ucyAoMS41NiwgMy4xMywgYW5kIDYuMjbigInOvE0pIG9mIE5QcyB1c2VkIGZvciB0aGUgc3R1ZHkgY29ycmVsYXRlIHdlbGwgd2l0aCB0aGUgYXZhaWxhYmxlIGVudmlyb25tZW50YWwgY29uY2VudHJhdGlvbnMuIFRoZSBtZWFuIGh5ZHJvZHluYW1pYyBkaWFtZXRlciAoTUhEKSBmb3IgVVZCIHByZS1pcnJhZGlhdGVkIE5QcyAoMTU5LjM04oCJwrHigIkwLjY44oCJbm0pIHdhcyB0aGUgbGVhc3Qgd2hlbiBjb21wYXJlZCB3aXRoIFVWQSBwcmUtaXJyYWRpYXRlZCAoMTc5Ljk54oCJwrHigIkwLjg14oCJbm0pIGFuZCBub24taXJyYWRpYXRlZCBOUHMgKDIyMC4wNOKAicKx4oCJNi4wNeKAiW5tKS4gVGhpcyBkZWNyZWFzZSBpbiBNSEQgZGVub3RlZCBsZXNzZXIgYWdnbG9tZXJhdGlvbiBvZiBOUHMgdXBvbiBVVkIgcHJlLWlycmFkaWF0aW9uLiBGb3IgYWxsIHRoZSB0ZXN0ZWQgY29uY2VudHJhdGlvbnMsIHRoZSBjZWxsIHZpYWJpbGl0eSB3YXMgbGVzcyBmb3IgVVZCIHByZS1pcnJhZGlhdGVkIE5QLXRyZWF0ZWQgYWxnYWUgd2hlbiBjb21wYXJlZCB0byBVVkEgcHJlLWlycmFkaWF0ZWQgTlAtdHJlYXRlZCBhbGdhZSAocOKAiTzigIkwLjAwMSkuIEV4dHJhY2VsbHVsYXIgUk9TIGdlbmVyYXRpb24gd2FzIHNpZ25pZmljYW50bHkgaGlnaGVyIGZvciBVVkIgcHJlLWlycmFkaWF0ZWQgTlBzIChw4oCJPOKAiTAuMDAxKSBhcyBjb21wYXJlZCB0byBVVkEgcHJlLWlycmFkaWF0aW9uLiBUaGUgZW5oYW5jZWQgdG94aWNpdHkgb2YgVVZCIHByZS1pcnJhZGlhdGVkIE5QcyB3YXMgYWNjb21wYW5pZWQgYnkgaW5jcmVhc2VkIGdlbmVyYXRpb24gb2YgaW50cmFjZWxsdWxhciBST1MsIHdoaWNoIGluIHR1cm4gaW5jcmVhc2VkIHRoZSBTT0QsIENBVCwgYW5kIEFQWCBlbnp5bWUgYWN0aXZpdGllcy4gVGhpcyBzdHVkeSBjb25jbHVkZXMgdGhhdCBVVkIgcHJlLWlycmFkaWF0aW9uIG9mIFAyNSBUaU8yIE5QcyBjYXVzZWQgbW9yZSBoYXJtIHRvIGZyZXNod2F0ZXIgYWxnYWUgdGhyb3VnaCBveGlkYXRpdmUgc3RyZXNzIHdoZW4gY29tcGFyZWQgdG8gVVZBIHByZS1pcnJhZGlhdGlvbi4iLCJpc3N1ZSI6IjUiLCJ2b2x1bWUiOiI4In0sImlzVGVtcG9yYXJ5IjpmYWxzZX1dfQ==&quot;,&quot;citationItems&quot;:[{&quot;id&quot;:&quot;9f138ce4-451e-56fc-873d-5a5148deaaff&quot;,&quot;itemData&quot;:{&quot;ISSN&quot;:&quot;0013-9351&quot;,&quot;author&quot;:[{&quot;dropping-particle&quot;:&quot;&quot;,&quot;family&quot;:&quot;Natarajan&quot;,&quot;given&quot;:&quot;Lokeshwari&quot;,&quot;non-dropping-particle&quot;:&quot;&quot;,&quot;parse-names&quot;:false,&quot;suffix&quot;:&quot;&quot;},{&quot;dropping-particle&quot;:&quot;&quot;,&quot;family&quot;:&quot;Jenifer&quot;,&quot;given&quot;:&quot;M Annie&quot;,&quot;non-dropping-particle&quot;:&quot;&quot;,&quot;parse-names&quot;:false,&quot;suffix&quot;:&quot;&quot;},{&quot;dropping-particle&quot;:&quot;&quot;,&quot;family&quot;:&quot;Chandrasekaran&quot;,&quot;given&quot;:&quot;N&quot;,&quot;non-dropping-particle&quot;:&quot;&quot;,&quot;parse-names&quot;:false,&quot;suffix&quot;:&quot;&quot;},{&quot;dropping-particle&quot;:&quot;&quot;,&quot;family&quot;:&quot;Suraishkumar&quot;,&quot;given&quot;:&quot;G K&quot;,&quot;non-dropping-particle&quot;:&quot;&quot;,&quot;parse-names&quot;:false,&quot;suffix&quot;:&quot;&quot;},{&quot;dropping-particle&quot;:&quot;&quot;,&quot;family&quot;:&quot;Mukherjee&quot;,&quot;given&quot;:&quot;Amitava&quot;,&quot;non-dropping-particle&quot;:&quot;&quot;,&quot;parse-names&quot;:false,&quot;suffix&quot;:&quot;&quot;}],&quot;container-title&quot;:&quot;Environmental Research&quot;,&quot;id&quot;:&quot;9f138ce4-451e-56fc-873d-5a5148deaaff&quot;,&quot;issued&quot;:{&quot;date-parts&quot;:[[&quot;2022&quot;]]},&quot;page&quot;:&quot;112400&quot;,&quot;publisher&quot;:&quot;Elsevier&quot;,&quot;title&quot;:&quot;Polystyrene nanoplastics diminish the toxic effects of Nano-TiO2 in marine algae Chlorella sp.&quot;,&quot;type&quot;:&quot;article-journal&quot;,&quot;volume&quot;:&quot;204&quot;,&quot;container-title-short&quot;:&quot;Environ Res&quot;},&quot;uris&quot;:[&quot;http://www.mendeley.com/documents/?uuid=bb9f4baf-a856-4c13-9de5-fcef425a0b0e&quot;],&quot;isTemporary&quot;:false,&quot;legacyDesktopId&quot;:&quot;bb9f4baf-a856-4c13-9de5-fcef425a0b0e&quot;},{&quot;id&quot;:&quot;5d553a66-8569-3fb2-8453-7870cac0b81c&quot;,&quot;itemData&quot;:{&quot;type&quot;:&quot;article-journal&quot;,&quot;id&quot;:&quot;5d553a66-8569-3fb2-8453-7870cac0b81c&quot;,&quot;title&quot;:&quot;UVB pre-irradiation of titanium dioxide nanoparticles is more detrimental to freshwater algae than UVA pre-irradiation&quot;,&quot;author&quot;:[{&quot;family&quot;:&quot;Roy&quot;,&quot;given&quot;:&quot;Barsha&quot;,&quot;parse-names&quot;:false,&quot;dropping-particle&quot;:&quot;&quot;,&quot;non-dropping-particle&quot;:&quot;&quot;},{&quot;family&quot;:&quot;P.K.&quot;,&quot;given&quot;:&quot;Suresh&quot;,&quot;parse-names&quot;:false,&quot;dropping-particle&quot;:&quot;&quot;,&quot;non-dropping-particle&quot;:&quot;&quot;},{&quot;family&quot;:&quot;Chandrasekaran&quot;,&quot;given&quot;:&quot;Natarajan&quot;,&quot;parse-names&quot;:false,&quot;dropping-particle&quot;:&quot;&quot;,&quot;non-dropping-particle&quot;:&quot;&quot;},{&quot;family&quot;:&quot;Mukherjee&quot;,&quot;given&quot;:&quot;Amitava&quot;,&quot;parse-names&quot;:false,&quot;dropping-particle&quot;:&quot;&quot;,&quot;non-dropping-particle&quot;:&quot;&quot;}],&quot;container-title&quot;:&quot;Journal of Environmental Chemical Engineering&quot;,&quot;container-title-short&quot;:&quot;J Environ Chem Eng&quot;,&quot;DOI&quot;:&quot;https://doi.org/10.1016/j.jece.2020.104076&quot;,&quot;ISSN&quot;:&quot;2213-3437&quot;,&quot;URL&quot;:&quot;https://www.sciencedirect.com/science/article/pii/S2213343720304243&quot;,&quot;issued&quot;:{&quot;date-parts&quot;:[[2020]]},&quot;page&quot;:&quot;104076&quot;,&quot;abstract&quot;:&quot;Continued use of P25 TiO2 NPs in several fields necessitates their toxicity evaluation towards the ecosystem. Considering the high photocatalytic activity of TiO2 NPs, they were selected in the current study. The photocatalytic potential and toxicity of NPs on freshwater algae Chlorella sp. were compared upon UVA pre-irradiation and UVB pre-irradiation. Low concentrations (1.56, 3.13, and 6.26 μM) of NPs used for the study correlate well with the available environmental concentrations. The mean hydrodynamic diameter (MHD) for UVB pre-irradiated NPs (159.34 ± 0.68 nm) was the least when compared with UVA pre-irradiated (179.99 ± 0.85 nm) and non-irradiated NPs (220.04 ± 6.05 nm). This decrease in MHD denoted lesser agglomeration of NPs upon UVB pre-irradiation. For all the tested concentrations, the cell viability was less for UVB pre-irradiated NP-treated algae when compared to UVA pre-irradiated NP-treated algae (p &lt; 0.001). Extracellular ROS generation was significantly higher for UVB pre-irradiated NPs (p &lt; 0.001) as compared to UVA pre-irradiation. The enhanced toxicity of UVB pre-irradiated NPs was accompanied by increased generation of intracellular ROS, which in turn increased the SOD, CAT, and APX enzyme activities. This study concludes that UVB pre-irradiation of P25 TiO2 NPs caused more harm to freshwater algae through oxidative stress when compared to UVA pre-irradiation.&quot;,&quot;issue&quot;:&quot;5&quot;,&quot;volume&quot;:&quot;8&quot;},&quot;isTemporary&quot;:false}]},{&quot;citationID&quot;:&quot;MENDELEY_CITATION_8388de3b-df06-4bc0-99c5-f9ffa7ddbb69&quot;,&quot;properties&quot;:{&quot;noteIndex&quot;:0},&quot;isEdited&quot;:false,&quot;manualOverride&quot;:{&quot;citeprocText&quot;:&quot;(Roy et al., 2020; Thiagarajan, Natarajan, et al., 2019)&quot;,&quot;isManuallyOverridden&quot;:false,&quot;manualOverrideText&quot;:&quot;&quot;},&quot;citationTag&quot;:&quot;MENDELEY_CITATION_v3_eyJjaXRhdGlvbklEIjoiTUVOREVMRVlfQ0lUQVRJT05fODM4OGRlM2ItZGYwNi00YmMwLTk5YzUtZjlmZmE3ZGRiYjY5IiwicHJvcGVydGllcyI6eyJub3RlSW5kZXgiOjB9LCJpc0VkaXRlZCI6ZmFsc2UsIm1hbnVhbE92ZXJyaWRlIjp7ImNpdGVwcm9jVGV4dCI6IihSb3kgZXQgYWwuLCAyMDIwOyBUaGlhZ2FyYWphbiwgTmF0YXJhamFuLCBldCBhbC4sIDIwMTkpIiwiaXNNYW51YWxseU92ZXJyaWRkZW4iOmZhbHNlLCJtYW51YWxPdmVycmlkZVRleHQiOiIifSwiY2l0YXRpb25JdGVtcyI6W3siaWQiOiIwMWUzZThjNy00NWZiLTU2MjItOGMzMi0zNGJiNzQ0ZDc2ZTAiLCJpdGVtRGF0YSI6eyJET0kiOiJodHRwczovL2RvaS5vcmcvMTAuMTAxNi9qLmVudnJlcy4yMDE5LjEwODgwOCIsIklTU04iOiIwMDEzLTkzNTEiLCJhYnN0cmFjdCI6IlBvbGx1dGFudHMgc3VjaCBhcyBuLVRpTzIgYW5kIHRldHJhY3ljbGluZSBlbnRlciB0aGUgbWFyaW5lIGVudmlyb25tZW50IHRocm91Z2ggdmFyaW91cyBzb3VyY2VzIHN0YXJ0aW5nIGZyb20gdGhlaXIgcHJvZHVjdGlvbiB1bnRpbCBkaXNwb3NhbC4gSGVuY2UsIGl0IGlzIHZpdGFsIHRvIGRldGVybWluZSB0aGUgaW50ZXJhY3RpdmUgZWZmZWN0IG9mIG9uZSBwb2xsdXRhbnQgd2l0aCB0aGUgb3RoZXIgd2hlbiB0aGV5IGNvZXhpc3QgaW4gdGhlIGVudmlyb25tZW50LiBJbiB0aGUgcHJlc2VudCBzdHVkeSwgdGhlIGVmZmVjdCBvZiBhbnRpYmlvdGljIOKAkyB0ZXRyYWN5Y2xpbmUgKFRDKSBvbiB0aGUgdG94aWNpdHkgb2YgUDI1IG4tVGlPMiB3YXMgc3R1ZGllZCB3aXRoIG1hcmluZSBtaWNyb2FsZ2FlLCBDaGxvcmVsbGEgc3AuIFRoZSBpbXBhY3Qgb2YgVEMgKDHigK9tZ+KAr0ziiJIxKSBvbiBmaXZlIGRpZmZlcmVudCBjb25jZW50cmF0aW9ucyBvZiBuLVRpTzIgKDAuMjUsIDAuNSwgMSwgMiBhbmQgNOKAr21n4oCvTOKIkjEpIHVuZGVyIGJvdGggdmlzaWJsZSBhbmQgVVYtQSBpbGx1bWluYXRpb25zIHdhcyBldmFsdWF0ZWQuIEVmZmVjdGl2ZSBkaWFtZXRlciBvZiBuLVRpTzIgaW4gQVNXIGF0IDB0aCBoIGluY3JlYXNlZCBmcm9tIDY5MC42OeKAr8Kx4oCvMTkuNTXigK9ubSAoMC4yNeKAr21n4oCvTOKIkjEpIHRvIDExODMuMDTigK/CseKArzM3LjEw4oCvbm0gKDAuMjXigK9tZ+KAr0ziiJIxwqArwqAxwqBtZ8KgTOKIkjEpIGFuZCA5NzEuNTHigK/CseKArzE0LjYx4oCvbm0gKDTigK9tZ+KAr0ziiJIxKSB0byAxMzI0LjEy4oCvwrHigK8xMS41OeKAr25tICg04oCvbWfigK9M4oiSMcKgK8KgMcKgbWfCoEziiJIxKSBpbiBwcmVzZW5jZSBvZiBUQy4gQSBzaWduaWZpY2FudCBpbmNyZWFzZSBpbiB0aGUgdG94aWNpdHkgb2YgNOKAr21n4oCvTOKIkjEgbi1UaU8yIHVwb24gdGhlIGFkZGl0aW9uIG9mIFRDICg2OC4xNuKAr8Kx4oCvMC4zNyUgdW5kZXIgdmlzaWJsZSBhbmQgODAuMjHigK/CseKArzAuMyUgdW5kZXIgVVYtQSBjb25kaXRpb24pIHdhcyBvYnNlcnZlZC4gTm8gc2lnbmlmaWNhbnQgZGlmZmVyZW5jZSBpbiB0b3hpY2l0eSB3YXMgb2JzZXJ2ZWQgYmV0d2VlbiB2aXNpYmxlIGFuZCBVVi1BIGlsbHVtaW5hdGlvbnMuIEZ1cnRoZXIgdGhlIHRveGljaXR5IGRhdGEgd2FzIGNvcnJvYm9yYXRlZCB0aHJvdWdoIHRoZSBtZWFzdXJlbWVudCBvZiBveGlkYXRpdmUgc3RyZXNzIGFuZCBhbnRpb3hpZGFudCBlbnp5bWUgYWN0aXZpdGllcy4gSW5kZXBlbmRlbnQgYWN0aW9uIG1vZGVsIHNob3dlZCBhbnRhZ29uaXN0aWMgZWZmZWN0IGZvciBsb3dlciBjb25jZW50cmF0aW9ucyBvZiBuLVRpTzIgYW5kIGFkZGl0aXZlIGVmZmVjdCBmb3IgaGlnaGVyIGNvbmNlbnRyYXRpb25zIG9mIG4tVGlPMiB3aGVuIHByZXNlbnQgaW4gbWl4dHVyZSB3aXRoIFRDIHVuZGVyIGJvdGggaWxsdW1pbmF0aW9ucy4gRm9yIHRoZSBoaWdoZXIgbWl4dHVyZSBjb25jZW50cmF0aW9uIG9mIDTigK9tZ+KAr0ziiJIxIG4tVGlPMiBhbmQgMeKAr21n4oCvTOKIkjEgVEMsIHRoZSBwZXJjZW50YWdlIFRDIHJlbW92YWwgd2FzIGFib3V0IDU1LjI5JSBhbmQgMzAlIGFuZCB0aGUgY29ycmVzcG9uZGluZyBUT0MgcmVtb3ZhbCB3YXMgZm91bmQgdG8gYmUgNTQuMjklIGFuZCAzMS4wNCUgdW5kZXIgdmlzaWJsZSBhbmQgVVYtQSBpbGx1bWluYXRpb25zIHJlc3BlY3RpdmVseS4gVGhlIHNpdGUgb2YgUk9TIGdlbmVyYXRpb24gaW4gQ2hsb3JlbGxhIHNwLiB3YXMgaWRlbnRpZmllZCB3aXRoIGVsZWN0cm9uIHRyYW5zZmVyIGNoYWluIGluaGliaXRvcnMuIEJvdGggbWl0b2Nob25kcmlhIGFuZCBjaGxvcm9wbGFzdCBhY3RlZCBhcyB0aGUgc2l0ZSBmb3IgdGhlIFJPUyBnZW5lcmF0aW9uIGluIENobG9yZWxsYSBzcC4gVGhlIFNFTSBpbWFnZXMgb2YgdGhlIGFsZ2FsIGNlbGxzIHVwb24gZXhwb3N1cmUgdG8gbi1UaU8yIGFuZCBtaXh0dXJlIHJldmVhbGVkIHRoZSBhZ2dyZWdhdGlvbiBvZiBjZWxscyBhbmQgZGlzdG9ydGlvbiBvZiBjZWxsIG1lbWJyYW5lLiIsImF1dGhvciI6W3siZHJvcHBpbmctcGFydGljbGUiOiIiLCJmYW1pbHkiOiJUaGlhZ2FyYWphbiIsImdpdmVuIjoiVmlnbmVzaCIsIm5vbi1kcm9wcGluZy1wYXJ0aWNsZSI6IiIsInBhcnNlLW5hbWVzIjpmYWxzZSwic3VmZml4IjoiIn0seyJkcm9wcGluZy1wYXJ0aWNsZSI6IiIsImZhbWlseSI6Ik5hdGFyYWphbiIsImdpdmVuIjoiTG9rZXNod2FyaSIsIm5vbi1kcm9wcGluZy1wYXJ0aWNsZSI6IiIsInBhcnNlLW5hbWVzIjpmYWxzZSwic3VmZml4IjoiIn0seyJkcm9wcGluZy1wYXJ0aWNsZSI6IiIsImZhbWlseSI6IlNlZW5pdmFzYW4iLCJnaXZlbiI6IlIiLCJub24tZHJvcHBpbmctcGFydGljbGUiOiIiLCJwYXJzZS1uYW1lcyI6ZmFsc2UsInN1ZmZpeCI6IiJ9LHsiZHJvcHBpbmctcGFydGljbGUiOiIiLCJmYW1pbHkiOiJDaGFuZHJhc2VrYXJhbiIsImdpdmVuIjoiTiIsIm5vbi1kcm9wcGluZy1wYXJ0aWNsZSI6IiIsInBhcnNlLW5hbWVzIjpmYWxzZSwic3VmZml4IjoiIn0seyJkcm9wcGluZy1wYXJ0aWNsZSI6IiIsImZhbWlseSI6Ik11a2hlcmplZSIsImdpdmVuIjoiQW1pdGF2YSIsIm5vbi1kcm9wcGluZy1wYXJ0aWNsZSI6IiIsInBhcnNlLW5hbWVzIjpmYWxzZSwic3VmZml4IjoiIn1dLCJjb250YWluZXItdGl0bGUiOiJFbnZpcm9ubWVudGFsIFJlc2VhcmNoIiwiaWQiOiIwMWUzZThjNy00NWZiLTU2MjItOGMzMi0zNGJiNzQ0ZDc2ZTAiLCJpc3N1ZWQiOnsiZGF0ZS1wYXJ0cyI6W1siMjAxOSJdXX0sInBhZ2UiOiIxMDg4MDgiLCJ0aXRsZSI6IlRldHJhY3ljbGluZSBhZmZlY3RzIHRoZSB0b3hpY2l0eSBvZiBQMjUgbi1UaU8yIHRvd2FyZHMgbWFyaW5lIG1pY3JvYWxnYWUgQ2hsb3JlbGxhIHNwLiIsInR5cGUiOiJhcnRpY2xlLWpvdXJuYWwiLCJ2b2x1bWUiOiIxNzkiLCJjb250YWluZXItdGl0bGUtc2hvcnQiOiJFbnZpcm9uIFJlcyJ9LCJ1cmlzIjpbImh0dHA6Ly93d3cubWVuZGVsZXkuY29tL2RvY3VtZW50cy8/dXVpZD03NmE3ZGRiMi1jNjJmLTQ5ZjItYTdkZC1hOGIzNTE0MDc0MzIiXSwiaXNUZW1wb3JhcnkiOmZhbHNlLCJsZWdhY3lEZXNrdG9wSWQiOiI3NmE3ZGRiMi1jNjJmLTQ5ZjItYTdkZC1hOGIzNTE0MDc0MzIifSx7ImlkIjoiNWQ1NTNhNjYtODU2OS0zZmIyLTg0NTMtNzg3MGNhYzBiODFjIiwiaXRlbURhdGEiOnsidHlwZSI6ImFydGljbGUtam91cm5hbCIsImlkIjoiNWQ1NTNhNjYtODU2OS0zZmIyLTg0NTMtNzg3MGNhYzBiODFjIiwidGl0bGUiOiJVVkIgcHJlLWlycmFkaWF0aW9uIG9mIHRpdGFuaXVtIGRpb3hpZGUgbmFub3BhcnRpY2xlcyBpcyBtb3JlIGRldHJpbWVudGFsIHRvIGZyZXNod2F0ZXIgYWxnYWUgdGhhbiBVVkEgcHJlLWlycmFkaWF0aW9uIiwiYXV0aG9yIjpbeyJmYW1pbHkiOiJSb3kiLCJnaXZlbiI6IkJhcnNoYSIsInBhcnNlLW5hbWVzIjpmYWxzZSwiZHJvcHBpbmctcGFydGljbGUiOiIiLCJub24tZHJvcHBpbmctcGFydGljbGUiOiIifSx7ImZhbWlseSI6IlAuSy4iLCJnaXZlbiI6IlN1cmVzaCIsInBhcnNlLW5hbWVzIjpmYWxzZSwiZHJvcHBpbmctcGFydGljbGUiOiIiLCJub24tZHJvcHBpbmctcGFydGljbGUiOiIifSx7ImZhbWlseSI6IkNoYW5kcmFzZWthcmFuIiwiZ2l2ZW4iOiJOYXRhcmFqYW4iLCJwYXJzZS1uYW1lcyI6ZmFsc2UsImRyb3BwaW5nLXBhcnRpY2xlIjoiIiwibm9uLWRyb3BwaW5nLXBhcnRpY2xlIjoiIn0seyJmYW1pbHkiOiJNdWtoZXJqZWUiLCJnaXZlbiI6IkFtaXRhdmEiLCJwYXJzZS1uYW1lcyI6ZmFsc2UsImRyb3BwaW5nLXBhcnRpY2xlIjoiIiwibm9uLWRyb3BwaW5nLXBhcnRpY2xlIjoiIn1dLCJjb250YWluZXItdGl0bGUiOiJKb3VybmFsIG9mIEVudmlyb25tZW50YWwgQ2hlbWljYWwgRW5naW5lZXJpbmciLCJjb250YWluZXItdGl0bGUtc2hvcnQiOiJKIEVudmlyb24gQ2hlbSBFbmciLCJET0kiOiJodHRwczovL2RvaS5vcmcvMTAuMTAxNi9qLmplY2UuMjAyMC4xMDQwNzYiLCJJU1NOIjoiMjIxMy0zNDM3IiwiVVJMIjoiaHR0cHM6Ly93d3cuc2NpZW5jZWRpcmVjdC5jb20vc2NpZW5jZS9hcnRpY2xlL3BpaS9TMjIxMzM0MzcyMDMwNDI0MyIsImlzc3VlZCI6eyJkYXRlLXBhcnRzIjpbWzIwMjBdXX0sInBhZ2UiOiIxMDQwNzYiLCJhYnN0cmFjdCI6IkNvbnRpbnVlZCB1c2Ugb2YgUDI1IFRpTzIgTlBzIGluIHNldmVyYWwgZmllbGRzIG5lY2Vzc2l0YXRlcyB0aGVpciB0b3hpY2l0eSBldmFsdWF0aW9uIHRvd2FyZHMgdGhlIGVjb3N5c3RlbS4gQ29uc2lkZXJpbmcgdGhlIGhpZ2ggcGhvdG9jYXRhbHl0aWMgYWN0aXZpdHkgb2YgVGlPMiBOUHMsIHRoZXkgd2VyZSBzZWxlY3RlZCBpbiB0aGUgY3VycmVudCBzdHVkeS4gVGhlIHBob3RvY2F0YWx5dGljIHBvdGVudGlhbCBhbmQgdG94aWNpdHkgb2YgTlBzIG9uIGZyZXNod2F0ZXIgYWxnYWUgQ2hsb3JlbGxhIHNwLiB3ZXJlIGNvbXBhcmVkIHVwb24gVVZBIHByZS1pcnJhZGlhdGlvbiBhbmQgVVZCIHByZS1pcnJhZGlhdGlvbi4gTG93IGNvbmNlbnRyYXRpb25zICgxLjU2LCAzLjEzLCBhbmQgNi4yNuKAic68TSkgb2YgTlBzIHVzZWQgZm9yIHRoZSBzdHVkeSBjb3JyZWxhdGUgd2VsbCB3aXRoIHRoZSBhdmFpbGFibGUgZW52aXJvbm1lbnRhbCBjb25jZW50cmF0aW9ucy4gVGhlIG1lYW4gaHlkcm9keW5hbWljIGRpYW1ldGVyIChNSEQpIGZvciBVVkIgcHJlLWlycmFkaWF0ZWQgTlBzICgxNTkuMzTigInCseKAiTAuNjjigIlubSkgd2FzIHRoZSBsZWFzdCB3aGVuIGNvbXBhcmVkIHdpdGggVVZBIHByZS1pcnJhZGlhdGVkICgxNzkuOTnigInCseKAiTAuODXigIlubSkgYW5kIG5vbi1pcnJhZGlhdGVkIE5QcyAoMjIwLjA04oCJwrHigIk2LjA14oCJbm0pLiBUaGlzIGRlY3JlYXNlIGluIE1IRCBkZW5vdGVkIGxlc3NlciBhZ2dsb21lcmF0aW9uIG9mIE5QcyB1cG9uIFVWQiBwcmUtaXJyYWRpYXRpb24uIEZvciBhbGwgdGhlIHRlc3RlZCBjb25jZW50cmF0aW9ucywgdGhlIGNlbGwgdmlhYmlsaXR5IHdhcyBsZXNzIGZvciBVVkIgcHJlLWlycmFkaWF0ZWQgTlAtdHJlYXRlZCBhbGdhZSB3aGVuIGNvbXBhcmVkIHRvIFVWQSBwcmUtaXJyYWRpYXRlZCBOUC10cmVhdGVkIGFsZ2FlIChw4oCJPOKAiTAuMDAxKS4gRXh0cmFjZWxsdWxhciBST1MgZ2VuZXJhdGlvbiB3YXMgc2lnbmlmaWNhbnRseSBoaWdoZXIgZm9yIFVWQiBwcmUtaXJyYWRpYXRlZCBOUHMgKHDigIk84oCJMC4wMDEpIGFzIGNvbXBhcmVkIHRvIFVWQSBwcmUtaXJyYWRpYXRpb24uIFRoZSBlbmhhbmNlZCB0b3hpY2l0eSBvZiBVVkIgcHJlLWlycmFkaWF0ZWQgTlBzIHdhcyBhY2NvbXBhbmllZCBieSBpbmNyZWFzZWQgZ2VuZXJhdGlvbiBvZiBpbnRyYWNlbGx1bGFyIFJPUywgd2hpY2ggaW4gdHVybiBpbmNyZWFzZWQgdGhlIFNPRCwgQ0FULCBhbmQgQVBYIGVuenltZSBhY3Rpdml0aWVzLiBUaGlzIHN0dWR5IGNvbmNsdWRlcyB0aGF0IFVWQiBwcmUtaXJyYWRpYXRpb24gb2YgUDI1IFRpTzIgTlBzIGNhdXNlZCBtb3JlIGhhcm0gdG8gZnJlc2h3YXRlciBhbGdhZSB0aHJvdWdoIG94aWRhdGl2ZSBzdHJlc3Mgd2hlbiBjb21wYXJlZCB0byBVVkEgcHJlLWlycmFkaWF0aW9uLiIsImlzc3VlIjoiNSIsInZvbHVtZSI6IjgifSwiaXNUZW1wb3JhcnkiOmZhbHNlfV19&quot;,&quot;citationItems&quot;:[{&quot;id&quot;:&quot;01e3e8c7-45fb-5622-8c32-34bb744d76e0&quot;,&quot;itemData&quot;:{&quot;DOI&quot;:&quot;https://doi.org/10.1016/j.envres.2019.108808&quot;,&quot;ISSN&quot;:&quot;0013-9351&quot;,&quot;abstract&quot;:&quot;Pollutants such as n-TiO2 and tetracycline enter the marine environment through various sources starting from their production until disposal. Hence, it is vital to determine the interactive effect of one pollutant with the other when they coexist in the environment. In the present study, the effect of antibiotic – tetracycline (TC) on the toxicity of P25 n-TiO2 was studied with marine microalgae, Chlorella sp. The impact of TC (1 mg L−1) on five different concentrations of n-TiO2 (0.25, 0.5, 1, 2 and 4 mg L−1) under both visible and UV-A illuminations was evaluated. Effective diameter of n-TiO2 in ASW at 0th h increased from 690.69 ± 19.55 nm (0.25 mg L−1) to 1183.04 ± 37.10 nm (0.25 mg L−1 + 1 mg L−1) and 971.51 ± 14.61 nm (4 mg L−1) to 1324.12 ± 11.59 nm (4 mg L−1 + 1 mg L−1) in presence of TC. A significant increase in the toxicity of 4 mg L−1 n-TiO2 upon the addition of TC (68.16 ± 0.37% under visible and 80.21 ± 0.3% under UV-A condition) was observed. No significant difference in toxicity was observed between visible and UV-A illuminations. Further the toxicity data was corroborated through the measurement of oxidative stress and antioxidant enzyme activities. Independent action model showed antagonistic effect for lower concentrations of n-TiO2 and additive effect for higher concentrations of n-TiO2 when present in mixture with TC under both illuminations. For the higher mixture concentration of 4 mg L−1 n-TiO2 and 1 mg L−1 TC, the percentage TC removal was about 55.29% and 30% and the corresponding TOC removal was found to be 54.29% and 31.04% under visible and UV-A illuminations respectively. The site of ROS generation in Chlorella sp. was identified with electron transfer chain inhibitors. Both mitochondria and chloroplast acted as the site for the ROS generation in Chlorella sp. The SEM images of the algal cells upon exposure to n-TiO2 and mixture revealed the aggregation of cells and distortion of cell membrane.&quot;,&quot;author&quot;:[{&quot;dropping-particle&quot;:&quot;&quot;,&quot;family&quot;:&quot;Thiagarajan&quot;,&quot;given&quot;:&quot;Vignesh&quot;,&quot;non-dropping-particle&quot;:&quot;&quot;,&quot;parse-names&quot;:false,&quot;suffix&quot;:&quot;&quot;},{&quot;dropping-particle&quot;:&quot;&quot;,&quot;family&quot;:&quot;Natarajan&quot;,&quot;given&quot;:&quot;Lokeshwari&quot;,&quot;non-dropping-particle&quot;:&quot;&quot;,&quot;parse-names&quot;:false,&quot;suffix&quot;:&quot;&quot;},{&quot;dropping-particle&quot;:&quot;&quot;,&quot;family&quot;:&quot;Seenivasan&quot;,&quot;given&quot;:&quot;R&quot;,&quot;non-dropping-particle&quot;:&quot;&quot;,&quot;parse-names&quot;:false,&quot;suffix&quot;:&quot;&quot;},{&quot;dropping-particle&quot;:&quot;&quot;,&quot;family&quot;:&quot;Chandrasekaran&quot;,&quot;given&quot;:&quot;N&quot;,&quot;non-dropping-particle&quot;:&quot;&quot;,&quot;parse-names&quot;:false,&quot;suffix&quot;:&quot;&quot;},{&quot;dropping-particle&quot;:&quot;&quot;,&quot;family&quot;:&quot;Mukherjee&quot;,&quot;given&quot;:&quot;Amitava&quot;,&quot;non-dropping-particle&quot;:&quot;&quot;,&quot;parse-names&quot;:false,&quot;suffix&quot;:&quot;&quot;}],&quot;container-title&quot;:&quot;Environmental Research&quot;,&quot;id&quot;:&quot;01e3e8c7-45fb-5622-8c32-34bb744d76e0&quot;,&quot;issued&quot;:{&quot;date-parts&quot;:[[&quot;2019&quot;]]},&quot;page&quot;:&quot;108808&quot;,&quot;title&quot;:&quot;Tetracycline affects the toxicity of P25 n-TiO2 towards marine microalgae Chlorella sp.&quot;,&quot;type&quot;:&quot;article-journal&quot;,&quot;volume&quot;:&quot;179&quot;,&quot;container-title-short&quot;:&quot;Environ Res&quot;},&quot;uris&quot;:[&quot;http://www.mendeley.com/documents/?uuid=76a7ddb2-c62f-49f2-a7dd-a8b351407432&quot;],&quot;isTemporary&quot;:false,&quot;legacyDesktopId&quot;:&quot;76a7ddb2-c62f-49f2-a7dd-a8b351407432&quot;},{&quot;id&quot;:&quot;5d553a66-8569-3fb2-8453-7870cac0b81c&quot;,&quot;itemData&quot;:{&quot;type&quot;:&quot;article-journal&quot;,&quot;id&quot;:&quot;5d553a66-8569-3fb2-8453-7870cac0b81c&quot;,&quot;title&quot;:&quot;UVB pre-irradiation of titanium dioxide nanoparticles is more detrimental to freshwater algae than UVA pre-irradiation&quot;,&quot;author&quot;:[{&quot;family&quot;:&quot;Roy&quot;,&quot;given&quot;:&quot;Barsha&quot;,&quot;parse-names&quot;:false,&quot;dropping-particle&quot;:&quot;&quot;,&quot;non-dropping-particle&quot;:&quot;&quot;},{&quot;family&quot;:&quot;P.K.&quot;,&quot;given&quot;:&quot;Suresh&quot;,&quot;parse-names&quot;:false,&quot;dropping-particle&quot;:&quot;&quot;,&quot;non-dropping-particle&quot;:&quot;&quot;},{&quot;family&quot;:&quot;Chandrasekaran&quot;,&quot;given&quot;:&quot;Natarajan&quot;,&quot;parse-names&quot;:false,&quot;dropping-particle&quot;:&quot;&quot;,&quot;non-dropping-particle&quot;:&quot;&quot;},{&quot;family&quot;:&quot;Mukherjee&quot;,&quot;given&quot;:&quot;Amitava&quot;,&quot;parse-names&quot;:false,&quot;dropping-particle&quot;:&quot;&quot;,&quot;non-dropping-particle&quot;:&quot;&quot;}],&quot;container-title&quot;:&quot;Journal of Environmental Chemical Engineering&quot;,&quot;container-title-short&quot;:&quot;J Environ Chem Eng&quot;,&quot;DOI&quot;:&quot;https://doi.org/10.1016/j.jece.2020.104076&quot;,&quot;ISSN&quot;:&quot;2213-3437&quot;,&quot;URL&quot;:&quot;https://www.sciencedirect.com/science/article/pii/S2213343720304243&quot;,&quot;issued&quot;:{&quot;date-parts&quot;:[[2020]]},&quot;page&quot;:&quot;104076&quot;,&quot;abstract&quot;:&quot;Continued use of P25 TiO2 NPs in several fields necessitates their toxicity evaluation towards the ecosystem. Considering the high photocatalytic activity of TiO2 NPs, they were selected in the current study. The photocatalytic potential and toxicity of NPs on freshwater algae Chlorella sp. were compared upon UVA pre-irradiation and UVB pre-irradiation. Low concentrations (1.56, 3.13, and 6.26 μM) of NPs used for the study correlate well with the available environmental concentrations. The mean hydrodynamic diameter (MHD) for UVB pre-irradiated NPs (159.34 ± 0.68 nm) was the least when compared with UVA pre-irradiated (179.99 ± 0.85 nm) and non-irradiated NPs (220.04 ± 6.05 nm). This decrease in MHD denoted lesser agglomeration of NPs upon UVB pre-irradiation. For all the tested concentrations, the cell viability was less for UVB pre-irradiated NP-treated algae when compared to UVA pre-irradiated NP-treated algae (p &lt; 0.001). Extracellular ROS generation was significantly higher for UVB pre-irradiated NPs (p &lt; 0.001) as compared to UVA pre-irradiation. The enhanced toxicity of UVB pre-irradiated NPs was accompanied by increased generation of intracellular ROS, which in turn increased the SOD, CAT, and APX enzyme activities. This study concludes that UVB pre-irradiation of P25 TiO2 NPs caused more harm to freshwater algae through oxidative stress when compared to UVA pre-irradiation.&quot;,&quot;issue&quot;:&quot;5&quot;,&quot;volume&quot;:&quot;8&quot;},&quot;isTemporary&quot;:false}]},{&quot;citationID&quot;:&quot;MENDELEY_CITATION_7f0e6863-b5cd-4f0b-a2a4-c671535fcbeb&quot;,&quot;properties&quot;:{&quot;noteIndex&quot;:0},&quot;isEdited&quot;:false,&quot;manualOverride&quot;:{&quot;citeprocText&quot;:&quot;(Giri et al., 2023; Natarajan, Soupam, et al., 2022)&quot;,&quot;isManuallyOverridden&quot;:false,&quot;manualOverrideText&quot;:&quot;&quot;},&quot;citationTag&quot;:&quot;MENDELEY_CITATION_v3_eyJjaXRhdGlvbklEIjoiTUVOREVMRVlfQ0lUQVRJT05fN2YwZTY4NjMtYjVjZC00ZjBiLWEyYTQtYzY3MTUzNWZjYmViIiwicHJvcGVydGllcyI6eyJub3RlSW5kZXgiOjB9LCJpc0VkaXRlZCI6ZmFsc2UsIm1hbnVhbE92ZXJyaWRlIjp7ImNpdGVwcm9jVGV4dCI6IihHaXJpIGV0IGFsLiwgMjAyMzsgTmF0YXJhamFuLCBTb3VwYW0sIGV0IGFsLiwgMjAyMikiLCJpc01hbnVhbGx5T3ZlcnJpZGRlbiI6ZmFsc2UsIm1hbnVhbE92ZXJyaWRlVGV4dCI6IiJ9LCJjaXRhdGlvbkl0ZW1zIjpbeyJpZCI6ImUxZTBhNTIxLTYxNDgtNTQ5Mi04ZWY0LTkzYWJlNGIxMDg1ZSIsIml0ZW1EYXRhIjp7IklTU04iOiIwOTgxLTk0MjgiLCJhdXRob3IiOlt7ImRyb3BwaW5nLXBhcnRpY2xlIjoiIiwiZmFtaWx5IjoiR2lyaSIsImdpdmVuIjoiU2F5YW5pIiwibm9uLWRyb3BwaW5nLXBhcnRpY2xlIjoiIiwicGFyc2UtbmFtZXMiOmZhbHNlLCJzdWZmaXgiOiIifSx7ImRyb3BwaW5nLXBhcnRpY2xlIjoiIiwiZmFtaWx5IjoiQ2hyaXN0dWRvc3MiLCJnaXZlbiI6IkFiaXNoYSBDaHJpc3R5Iiwibm9uLWRyb3BwaW5nLXBhcnRpY2xlIjoiIiwicGFyc2UtbmFtZXMiOmZhbHNlLCJzdWZmaXgiOiIifSx7ImRyb3BwaW5nLXBhcnRpY2xlIjoiIiwiZmFtaWx5IjoiQ2hhbmRyYXNla2FyYW4iLCJnaXZlbiI6Ik5hdGFyYWphbiIsIm5vbi1kcm9wcGluZy1wYXJ0aWNsZSI6IiIsInBhcnNlLW5hbWVzIjpmYWxzZSwic3VmZml4IjoiIn0seyJkcm9wcGluZy1wYXJ0aWNsZSI6IiIsImZhbWlseSI6IlBlaWpuZW5idXJnIiwiZ2l2ZW4iOiJXaWxsaWUgSiBHIE0iLCJub24tZHJvcHBpbmctcGFydGljbGUiOiIiLCJwYXJzZS1uYW1lcyI6ZmFsc2UsInN1ZmZpeCI6IiJ9LHsiZHJvcHBpbmctcGFydGljbGUiOiIiLCJmYW1pbHkiOiJNdWtoZXJqZWUiLCJnaXZlbiI6IkFtaXRhdmEiLCJub24tZHJvcHBpbmctcGFydGljbGUiOiIiLCJwYXJzZS1uYW1lcyI6ZmFsc2UsInN1ZmZpeCI6IiJ9XSwiY29udGFpbmVyLXRpdGxlIjoiUGxhbnQgUGh5c2lvbG9neSBhbmQgQmlvY2hlbWlzdHJ5IiwiaWQiOiJlMWUwYTUyMS02MTQ4LTU0OTItOGVmNC05M2FiZTRiMTA4NWUiLCJpc3N1ZWQiOnsiZGF0ZS1wYXJ0cyI6W1siMjAyMyJdXX0sInBhZ2UiOiIxMDc2NjQiLCJwdWJsaXNoZXIiOiJFbHNldmllciIsInRpdGxlIjoiVGhlIHJvbGUgb2YgYWxnYWwgRVBTIGluIHJlZHVjaW5nIHRoZSBjb21iaW5lZCB0b3hpY2l0eSBvZiBCUEEgYW5kIHBvbHlzdHlyZW5lIG5hbm9wYXJ0aWNsZXMgdG8gdGhlIGZyZXNod2F0ZXIgYWxnYWUgU2NlbmVkZXNtdXMgb2JsaXF1dXMiLCJ0eXBlIjoiYXJ0aWNsZS1qb3VybmFsIiwidm9sdW1lIjoiMTk3IiwiY29udGFpbmVyLXRpdGxlLXNob3J0IjoiIn0sInVyaXMiOlsiaHR0cDovL3d3dy5tZW5kZWxleS5jb20vZG9jdW1lbnRzLz91dWlkPWM5NWVjOWRjLTJmN2ItNDQ3OC1iNGY1LTY2OTJlMjQ3ODM0ZiIsImh0dHA6Ly93d3cubWVuZGVsZXkuY29tL2RvY3VtZW50cy8/dXVpZD0zMDI5Y2I0Yi1lNzhlLTQyNTMtYjQ4ZS00MmU2NGJjYTNkYTMiXSwiaXNUZW1wb3JhcnkiOmZhbHNlLCJsZWdhY3lEZXNrdG9wSWQiOiJjOTVlYzlkYy0yZjdiLTQ0NzgtYjRmNS02NjkyZTI0NzgzNGYifSx7ImlkIjoiYWQzNjUzMjMtOWEyMC0zNWYyLWJlNjEtZTgxZWI0YTYyMjQxIiwiaXRlbURhdGEiOnsidHlwZSI6ImFydGljbGUtam91cm5hbCIsImlkIjoiYWQzNjUzMjMtOWEyMC0zNWYyLWJlNjEtZTgxZWI0YTYyMjQxIiwidGl0bGUiOiJUb3hpY2l0eSBvZiBwb2x5c3R5cmVuZSBtaWNyb3BsYXN0aWNzIGluIGZyZXNod2F0ZXIgYWxnYWUgU2NlbmVkZXNtdXMgb2JsaXF1dXM6IEVmZmVjdHMgb2YgcGFydGljbGUgc2l6ZSBhbmQgc3VyZmFjZSBjaGFyZ2UiLCJhdXRob3IiOlt7ImZhbWlseSI6Ik5hdGFyYWphbiIsImdpdmVuIjoiTG9rZXNod2FyaSIsInBhcnNlLW5hbWVzIjpmYWxzZSwiZHJvcHBpbmctcGFydGljbGUiOiIiLCJub24tZHJvcHBpbmctcGFydGljbGUiOiIifSx7ImZhbWlseSI6IlNvdXBhbSIsImdpdmVuIjoiRGFzIiwicGFyc2UtbmFtZXMiOmZhbHNlLCJkcm9wcGluZy1wYXJ0aWNsZSI6IiIsIm5vbi1kcm9wcGluZy1wYXJ0aWNsZSI6IiJ9LHsiZmFtaWx5IjoiRGV5IiwiZ2l2ZW4iOiJTd2FybmFsaSIsInBhcnNlLW5hbWVzIjpmYWxzZSwiZHJvcHBpbmctcGFydGljbGUiOiIiLCJub24tZHJvcHBpbmctcGFydGljbGUiOiIifSx7ImZhbWlseSI6IkNoYW5kcmFzZWthcmFuIiwiZ2l2ZW4iOiJOYXRhcmFqYW4iLCJwYXJzZS1uYW1lcyI6ZmFsc2UsImRyb3BwaW5nLXBhcnRpY2xlIjoiIiwibm9uLWRyb3BwaW5nLXBhcnRpY2xlIjoiIn0seyJmYW1pbHkiOiJLdW5kdSIsImdpdmVuIjoiUml0YSIsInBhcnNlLW5hbWVzIjpmYWxzZSwiZHJvcHBpbmctcGFydGljbGUiOiIiLCJub24tZHJvcHBpbmctcGFydGljbGUiOiIifSx7ImZhbWlseSI6IlBhdWwiLCJnaXZlbiI6IlN1YmhhYnJhdGEiLCJwYXJzZS1uYW1lcyI6ZmFsc2UsImRyb3BwaW5nLXBhcnRpY2xlIjoiIiwibm9uLWRyb3BwaW5nLXBhcnRpY2xlIjoiIn0seyJmYW1pbHkiOiJNdWtoZXJqZWUiLCJnaXZlbiI6IkFtaXRhdmEiLCJwYXJzZS1uYW1lcyI6ZmFsc2UsImRyb3BwaW5nLXBhcnRpY2xlIjoiIiwibm9uLWRyb3BwaW5nLXBhcnRpY2xlIjoiIn1dLCJjb250YWluZXItdGl0bGUiOiJUb3hpY29sb2d5IFJlcG9ydHMiLCJjb250YWluZXItdGl0bGUtc2hvcnQiOiJUb3hpY29sIFJlcCIsIklTU04iOiIyMjE0LTc1MDAiLCJpc3N1ZWQiOnsiZGF0ZS1wYXJ0cyI6W1syMDIyXV19LCJwYWdlIjoiMTk1My0xOTYxIiwicHVibGlzaGVyIjoiRWxzZXZpZXIiLCJ2b2x1bWUiOiI5In0sImlzVGVtcG9yYXJ5IjpmYWxzZX1dfQ==&quot;,&quot;citationItems&quot;:[{&quot;id&quot;:&quot;e1e0a521-6148-5492-8ef4-93abe4b1085e&quot;,&quot;itemData&quot;:{&quot;ISSN&quot;:&quot;0981-9428&quot;,&quot;author&quot;:[{&quot;dropping-particle&quot;:&quot;&quot;,&quot;family&quot;:&quot;Giri&quot;,&quot;given&quot;:&quot;Sayani&quot;,&quot;non-dropping-particle&quot;:&quot;&quot;,&quot;parse-names&quot;:false,&quot;suffix&quot;:&quot;&quot;},{&quot;dropping-particle&quot;:&quot;&quot;,&quot;family&quot;:&quot;Christudoss&quot;,&quot;given&quot;:&quot;Abisha Christy&quot;,&quot;non-dropping-particle&quot;:&quot;&quot;,&quot;parse-names&quot;:false,&quot;suffix&quot;:&quot;&quot;},{&quot;dropping-particle&quot;:&quot;&quot;,&quot;family&quot;:&quot;Chandrasekaran&quot;,&quot;given&quot;:&quot;Natarajan&quot;,&quot;non-dropping-particle&quot;:&quot;&quot;,&quot;parse-names&quot;:false,&quot;suffix&quot;:&quot;&quot;},{&quot;dropping-particle&quot;:&quot;&quot;,&quot;family&quot;:&quot;Peijnenburg&quot;,&quot;given&quot;:&quot;Willie J G M&quot;,&quot;non-dropping-particle&quot;:&quot;&quot;,&quot;parse-names&quot;:false,&quot;suffix&quot;:&quot;&quot;},{&quot;dropping-particle&quot;:&quot;&quot;,&quot;family&quot;:&quot;Mukherjee&quot;,&quot;given&quot;:&quot;Amitava&quot;,&quot;non-dropping-particle&quot;:&quot;&quot;,&quot;parse-names&quot;:false,&quot;suffix&quot;:&quot;&quot;}],&quot;container-title&quot;:&quot;Plant Physiology and Biochemistry&quot;,&quot;id&quot;:&quot;e1e0a521-6148-5492-8ef4-93abe4b1085e&quot;,&quot;issued&quot;:{&quot;date-parts&quot;:[[&quot;2023&quot;]]},&quot;page&quot;:&quot;107664&quot;,&quot;publisher&quot;:&quot;Elsevier&quot;,&quot;title&quot;:&quot;The role of algal EPS in reducing the combined toxicity of BPA and polystyrene nanoparticles to the freshwater algae Scenedesmus obliquus&quot;,&quot;type&quot;:&quot;article-journal&quot;,&quot;volume&quot;:&quot;197&quot;,&quot;container-title-short&quot;:&quot;&quot;},&quot;uris&quot;:[&quot;http://www.mendeley.com/documents/?uuid=c95ec9dc-2f7b-4478-b4f5-6692e247834f&quot;,&quot;http://www.mendeley.com/documents/?uuid=3029cb4b-e78e-4253-b48e-42e64bca3da3&quot;],&quot;isTemporary&quot;:false,&quot;legacyDesktopId&quot;:&quot;c95ec9dc-2f7b-4478-b4f5-6692e247834f&quot;},{&quot;id&quot;:&quot;ad365323-9a20-35f2-be61-e81eb4a62241&quot;,&quot;itemData&quot;:{&quot;type&quot;:&quot;article-journal&quot;,&quot;id&quot;:&quot;ad365323-9a20-35f2-be61-e81eb4a62241&quot;,&quot;title&quot;:&quot;Toxicity of polystyrene microplastics in freshwater algae Scenedesmus obliquus: Effects of particle size and surface charge&quot;,&quot;author&quot;:[{&quot;family&quot;:&quot;Natarajan&quot;,&quot;given&quot;:&quot;Lokeshwari&quot;,&quot;parse-names&quot;:false,&quot;dropping-particle&quot;:&quot;&quot;,&quot;non-dropping-particle&quot;:&quot;&quot;},{&quot;family&quot;:&quot;Soupam&quot;,&quot;given&quot;:&quot;Das&quot;,&quot;parse-names&quot;:false,&quot;dropping-particle&quot;:&quot;&quot;,&quot;non-dropping-particle&quot;:&quot;&quot;},{&quot;family&quot;:&quot;Dey&quot;,&quot;given&quot;:&quot;Swarnali&quot;,&quot;parse-names&quot;:false,&quot;dropping-particle&quot;:&quot;&quot;,&quot;non-dropping-particle&quot;:&quot;&quot;},{&quot;family&quot;:&quot;Chandrasekaran&quot;,&quot;given&quot;:&quot;Natarajan&quot;,&quot;parse-names&quot;:false,&quot;dropping-particle&quot;:&quot;&quot;,&quot;non-dropping-particle&quot;:&quot;&quot;},{&quot;family&quot;:&quot;Kundu&quot;,&quot;given&quot;:&quot;Rita&quot;,&quot;parse-names&quot;:false,&quot;dropping-particle&quot;:&quot;&quot;,&quot;non-dropping-particle&quot;:&quot;&quot;},{&quot;family&quot;:&quot;Paul&quot;,&quot;given&quot;:&quot;Subhabrata&quot;,&quot;parse-names&quot;:false,&quot;dropping-particle&quot;:&quot;&quot;,&quot;non-dropping-particle&quot;:&quot;&quot;},{&quot;family&quot;:&quot;Mukherjee&quot;,&quot;given&quot;:&quot;Amitava&quot;,&quot;parse-names&quot;:false,&quot;dropping-particle&quot;:&quot;&quot;,&quot;non-dropping-particle&quot;:&quot;&quot;}],&quot;container-title&quot;:&quot;Toxicology Reports&quot;,&quot;container-title-short&quot;:&quot;Toxicol Rep&quot;,&quot;ISSN&quot;:&quot;2214-7500&quot;,&quot;issued&quot;:{&quot;date-parts&quot;:[[2022]]},&quot;page&quot;:&quot;1953-1961&quot;,&quot;publisher&quot;:&quot;Elsevier&quot;,&quot;volume&quot;:&quot;9&quot;},&quot;isTemporary&quot;:false}]},{&quot;citationID&quot;:&quot;MENDELEY_CITATION_84dfab0b-841b-4f72-a7d9-b329ffe45dca&quot;,&quot;properties&quot;:{&quot;noteIndex&quot;:0},&quot;isEdited&quot;:false,&quot;manualOverride&quot;:{&quot;isManuallyOverridden&quot;:false,&quot;citeprocText&quot;:&quot;(Das et al., 2022)&quot;,&quot;manualOverrideText&quot;:&quot;&quot;},&quot;citationTag&quot;:&quot;MENDELEY_CITATION_v3_eyJjaXRhdGlvbklEIjoiTUVOREVMRVlfQ0lUQVRJT05fODRkZmFiMGItODQxYi00ZjcyLWE3ZDktYjMyOWZmZTQ1ZGNhIiwicHJvcGVydGllcyI6eyJub3RlSW5kZXgiOjB9LCJpc0VkaXRlZCI6ZmFsc2UsIm1hbnVhbE92ZXJyaWRlIjp7ImlzTWFudWFsbHlPdmVycmlkZGVuIjpmYWxzZSwiY2l0ZXByb2NUZXh0IjoiKERhcyBldCBhbC4sIDIwMjIpIiwibWFudWFsT3ZlcnJpZGVUZXh0IjoiIn0sImNpdGF0aW9uSXRlbXMiOlt7ImlkIjoiOTBkMjUyZTQtODc3Yy0zOWVhLWE3YWItZmE4N2YxZTg2MDg3IiwiaXRlbURhdGEiOnsidHlwZSI6ImFydGljbGUtam91cm5hbCIsImlkIjoiOTBkMjUyZTQtODc3Yy0zOWVhLWE3YWItZmE4N2YxZTg2MDg3IiwidGl0bGUiOiJOYW5vcGxhc3RpY3MgZW5oYW5jZSB0aGUgdG94aWMgZWZmZWN0cyBvZiB0aXRhbml1bSBkaW94aWRlIG5hbm9wYXJ0aWNsZSBpbiBmcmVzaHdhdGVyIGFsZ2FlIFNjZW5lZGVzbXVzIG9ibGlxdXVzIiwiYXV0aG9yIjpbeyJmYW1pbHkiOiJEYXMiLCJnaXZlbiI6IlNvdXBhbSIsInBhcnNlLW5hbWVzIjpmYWxzZSwiZHJvcHBpbmctcGFydGljbGUiOiIiLCJub24tZHJvcHBpbmctcGFydGljbGUiOiIifSx7ImZhbWlseSI6IlRoaWFnYXJhamFuIiwiZ2l2ZW4iOiJWaWduZXNoIiwicGFyc2UtbmFtZXMiOmZhbHNlLCJkcm9wcGluZy1wYXJ0aWNsZSI6IiIsIm5vbi1kcm9wcGluZy1wYXJ0aWNsZSI6IiJ9LHsiZmFtaWx5IjoiQ2hhbmRyYXNla2FyYW4iLCJnaXZlbiI6Ik4uIiwicGFyc2UtbmFtZXMiOmZhbHNlLCJkcm9wcGluZy1wYXJ0aWNsZSI6IiIsIm5vbi1kcm9wcGluZy1wYXJ0aWNsZSI6IiJ9LHsiZmFtaWx5IjoiUmF2aW5kcmFuIiwiZ2l2ZW4iOiJCYWxhc3VicmFtYW5pIiwicGFyc2UtbmFtZXMiOmZhbHNlLCJkcm9wcGluZy1wYXJ0aWNsZSI6IiIsIm5vbi1kcm9wcGluZy1wYXJ0aWNsZSI6IiJ9LHsiZmFtaWx5IjoiTXVraGVyamVlIiwiZ2l2ZW4iOiJBbWl0YXZhIiwicGFyc2UtbmFtZXMiOmZhbHNlLCJkcm9wcGluZy1wYXJ0aWNsZSI6IiIsIm5vbi1kcm9wcGluZy1wYXJ0aWNsZSI6IiJ9XSwiY29udGFpbmVyLXRpdGxlIjoiQ29tcGFyYXRpdmUgQmlvY2hlbWlzdHJ5IGFuZCBQaHlzaW9sb2d5IFBhcnQgQzogVG94aWNvbG9neSAmIFBoYXJtYWNvbG9neSIsImFjY2Vzc2VkIjp7ImRhdGUtcGFydHMiOltbMjAyMyw1LDIzXV19LCJET0kiOiIxMC4xMDE2L0ouQ0JQQy4yMDIyLjEwOTMwNSIsIklTU04iOiIxNTMyLTA0NTYiLCJQTUlEIjoiMzUyMTk5MDAiLCJpc3N1ZWQiOnsiZGF0ZS1wYXJ0cyI6W1syMDIyLDYsMV1dfSwicGFnZSI6IjEwOTMwNSIsImFic3RyYWN0IjoiVGhlIGluY3JlYXNlZCB1c2FnZSBvZiB0aXRhbml1bSBkaW94aWRlIG5hbm9wYXJ0aWNsZXMgKG5UaU8yKSBpbiBjb25zdW1lciBwcm9kdWN0cyBoYXMgbGVkIHRvIHRoZWlyIHByZXZhbGVuY2UgaW4gZnJlc2h3YXRlciBzeXN0ZW1zLiBOYW5vcGxhc3RpY3MsIGEgc2Vjb25kYXJ5IHBvbGx1dGFudCwgY2FuIHNpZ25pZmljYW50bHkgaW5mbHVlbmNlIHRoZSB0b3hpYyBlZmZlY3RzIG9mIG5UaU8yIGluIGZyZXNod2F0ZXIgb3JnYW5pc21zLiBUaGUgcHJlc2VudCBzdHVkeSBpbnZlc3RpZ2F0ZXMgdGhlIHJvbGUgb2YgZmx1b3Jlc2NlbnQgbmFub3BsYXN0aWNzIChGTlBzKSBpbiBtb2RpZnlpbmcgdGhlIGhhcm1mdWwgZWZmZWN0cyBvZiBQMjUgblRpTzIgaW4gZnJlc2h3YXRlciBhbGdhZSBTY2VuZWRlc211cyBvYmxpcXV1cy4gVGhyZWUgZGlmZmVyZW50IGNvbmNlbnRyYXRpb25zIG9mIG5UaU8yLCAwLjAyNSwgMC4yNSwgYW5kIDIuNSBtZy9MLCB3ZXJlIG1peGVkIHdpdGggMSBtZy9MIG9mIHRoZSBGTlBzIHRvIHBlcmZvcm0gdGhlIG1peHR1cmUgdG94aWNpdHkgZXhwZXJpbWVudHMuIFRoZSBwcmVzZW5jZSBvZiB0aGUgRk5QcyBpbiB0aGUgbWl4dHVyZSBpbmNyZWFzZWQgdGhlIHRveGljaXR5IG9mIG5UaU8yIHNpZ25pZmljYW50bHkuIEEgc2lnbmlmaWNhbnQgaW5jcmVtZW50IGluIHRoZSBveGlkYXRpdmUgc3RyZXNzIHBhcmFtZXRlcnMgbGlrZSB0b3RhbCBST1MsIHN1cGVyb3hpZGUgKE8y4oiO4oiSKSwgYW5kIGh5ZHJveHlsIHJhZGljYWwgZ2VuZXJhdGlvbiB3YXMgb2JzZXJ2ZWQgZm9yIHRoZSBtaXh0dXJlIG9mIG5UaU8yIHdpdGggdGhlIEZOUHMgaW4gY29tcGFyaXNvbiB3aXRoIHRoZWlyIGluZGl2aWR1YWwgY291bnRlcnBhcnRzLiBUaGUgbGlwaWQgcGVyb3hpZGF0aW9uLCBhbmQgdGhlIGFudGlveGlkYW50IGVuenltZSBhY3Rpdml0aWVzIGluIHRoZSBhbGdhbCBjZWxscyBjb3JyZWxhdGVkIHdlbGwgd2l0aCB0aGUgcmVhY3RpdmUgc3BlY2llcyBnZW5lcmF0aW9uIHJlc3VsdHMuIFRoZSB0cmVhdG1lbnRzIHdpdGggdGhlIGJpbmFyeSBtaXh0dXJlIHJlc3VsdGVkIGluIG5vdGFibGUgZGVjcmVhc2UgaW4gdGhlIGVzdGVyYXNlIGFjdGl2aXR5IGluIHRoZSBhbGdhbCBjZWxscy4gVGhlIG1peHR1cmUgdG94aWNpdHkgcmVzdWx0cyB3ZXJlIGZ1cnRoZXIgdmFsaWRhdGVkIHdpdGggQWJib3R0J3MgaW5kZXBlbmRlbnQgYWN0aW9uIG1vZGVsLiBBZGRpdGlvbmFsbHksIG9wdGljYWwgbWljcm9zY29waWMgYW5hbHlzaXMgYW5kIEZUSVIgYW5hbHlzaXMgd2VyZSBwZXJmb3JtZWQgdG8gc3R1ZHkgdGhlIG1vcnBob2xvZ2ljYWwgYW5kIHN1cmZhY2UgY2hlbWljYWwgY2hhbmdlcyBpbiB0aGUgYWxnYWUuIFRoaXMgc3R1ZHkgZGVtb25zdHJhdGVkIHRoYXQgdGhlIEZOUHMgcGxheWVkIGEga2V5IHJvbGUgaW4gZW5oYW5jaW5nIHRoZSB0b3hpY2l0eSBvZiBuVGlPMiBpbiBmcmVzaHdhdGVyIGFsZ2FlLiIsInB1Ymxpc2hlciI6IkVsc2V2aWVyIiwidm9sdW1lIjoiMjU2IiwiY29udGFpbmVyLXRpdGxlLXNob3J0IjoiIn0sImlzVGVtcG9yYXJ5IjpmYWxzZX1dfQ==&quot;,&quot;citationItems&quot;:[{&quot;id&quot;:&quot;90d252e4-877c-39ea-a7ab-fa87f1e86087&quot;,&quot;itemData&quot;:{&quot;type&quot;:&quot;article-journal&quot;,&quot;id&quot;:&quot;90d252e4-877c-39ea-a7ab-fa87f1e86087&quot;,&quot;title&quot;:&quot;Nanoplastics enhance the toxic effects of titanium dioxide nanoparticle in freshwater algae Scenedesmus obliquus&quot;,&quot;author&quot;:[{&quot;family&quot;:&quot;Das&quot;,&quot;given&quot;:&quot;Soupam&quot;,&quot;parse-names&quot;:false,&quot;dropping-particle&quot;:&quot;&quot;,&quot;non-dropping-particle&quot;:&quot;&quot;},{&quot;family&quot;:&quot;Thiagarajan&quot;,&quot;given&quot;:&quot;Vignesh&quot;,&quot;parse-names&quot;:false,&quot;dropping-particle&quot;:&quot;&quot;,&quot;non-dropping-particle&quot;:&quot;&quot;},{&quot;family&quot;:&quot;Chandrasekaran&quot;,&quot;given&quot;:&quot;N.&quot;,&quot;parse-names&quot;:false,&quot;dropping-particle&quot;:&quot;&quot;,&quot;non-dropping-particle&quot;:&quot;&quot;},{&quot;family&quot;:&quot;Ravindran&quot;,&quot;given&quot;:&quot;Balasubramani&quot;,&quot;parse-names&quot;:false,&quot;dropping-particle&quot;:&quot;&quot;,&quot;non-dropping-particle&quot;:&quot;&quot;},{&quot;family&quot;:&quot;Mukherjee&quot;,&quot;given&quot;:&quot;Amitava&quot;,&quot;parse-names&quot;:false,&quot;dropping-particle&quot;:&quot;&quot;,&quot;non-dropping-particle&quot;:&quot;&quot;}],&quot;container-title&quot;:&quot;Comparative Biochemistry and Physiology Part C: Toxicology &amp; Pharmacology&quot;,&quot;accessed&quot;:{&quot;date-parts&quot;:[[2023,5,23]]},&quot;DOI&quot;:&quot;10.1016/J.CBPC.2022.109305&quot;,&quot;ISSN&quot;:&quot;1532-0456&quot;,&quot;PMID&quot;:&quot;35219900&quot;,&quot;issued&quot;:{&quot;date-parts&quot;:[[2022,6,1]]},&quot;page&quot;:&quot;109305&quot;,&quot;abstract&quot;:&quot;The increased usage of titanium dioxide nanoparticles (nTiO2) in consumer products has led to their prevalence in freshwater systems. Nanoplastics, a secondary pollutant, can significantly influence the toxic effects of nTiO2 in freshwater organisms. The present study investigates the role of fluorescent nanoplastics (FNPs) in modifying the harmful effects of P25 nTiO2 in freshwater algae Scenedesmus obliquus. Three different concentrations of nTiO2, 0.025, 0.25, and 2.5 mg/L, were mixed with 1 mg/L of the FNPs to perform the mixture toxicity experiments. The presence of the FNPs in the mixture increased the toxicity of nTiO2 significantly. A significant increment in the oxidative stress parameters like total ROS, superoxide (O2∎−), and hydroxyl radical generation was observed for the mixture of nTiO2 with the FNPs in comparison with their individual counterparts. The lipid peroxidation, and the antioxidant enzyme activities in the algal cells correlated well with the reactive species generation results. The treatments with the binary mixture resulted in notable decrease in the esterase activity in the algal cells. The mixture toxicity results were further validated with Abbott's independent action model. Additionally, optical microscopic analysis and FTIR analysis were performed to study the morphological and surface chemical changes in the algae. This study demonstrated that the FNPs played a key role in enhancing the toxicity of nTiO2 in freshwater algae.&quot;,&quot;publisher&quot;:&quot;Elsevier&quot;,&quot;volume&quot;:&quot;256&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DC916C-7F8A-4570-ACF3-A87F44A68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2089</Words>
  <Characters>11913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 Rex M</dc:creator>
  <cp:keywords/>
  <dc:description/>
  <cp:lastModifiedBy>Amitava Mukherjee</cp:lastModifiedBy>
  <cp:revision>5</cp:revision>
  <dcterms:created xsi:type="dcterms:W3CDTF">2023-11-11T03:19:00Z</dcterms:created>
  <dcterms:modified xsi:type="dcterms:W3CDTF">2023-11-11T05:11:00Z</dcterms:modified>
</cp:coreProperties>
</file>