
<file path=[Content_Types].xml><?xml version="1.0" encoding="utf-8"?>
<Types xmlns="http://schemas.openxmlformats.org/package/2006/content-types">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w:hAnsi="Arial" w:cs="Arial"/>
          <w:b/>
          <w:bCs/>
          <w:sz w:val="28"/>
          <w:szCs w:val="36"/>
        </w:rPr>
      </w:pPr>
      <w:r>
        <w:rPr>
          <w:rFonts w:ascii="Arial" w:hAnsi="Arial" w:cs="Arial"/>
          <w:b/>
          <w:bCs/>
          <w:sz w:val="28"/>
          <w:szCs w:val="36"/>
        </w:rPr>
        <w:t>Supplementary Materials</w:t>
      </w:r>
    </w:p>
    <w:p>
      <w:pPr>
        <w:rPr>
          <w:rFonts w:ascii="Arial" w:hAnsi="Arial" w:cs="Arial"/>
          <w:b/>
          <w:bCs/>
          <w:color w:val="000000" w:themeColor="text1"/>
          <w:sz w:val="24"/>
          <w14:textFill>
            <w14:solidFill>
              <w14:schemeClr w14:val="tx1"/>
            </w14:solidFill>
          </w14:textFill>
        </w:rPr>
      </w:pPr>
      <w:bookmarkStart w:id="0" w:name="OLE_LINK7"/>
      <w:bookmarkStart w:id="1" w:name="OLE_LINK51"/>
      <w:r>
        <w:rPr>
          <w:rFonts w:ascii="Arial" w:hAnsi="Arial" w:cs="Arial"/>
          <w:b/>
          <w:bCs/>
          <w:color w:val="000000" w:themeColor="text1"/>
          <w:sz w:val="24"/>
          <w14:textFill>
            <w14:solidFill>
              <w14:schemeClr w14:val="tx1"/>
            </w14:solidFill>
          </w14:textFill>
        </w:rPr>
        <w:t>SRRM2 is a target for the immunotherapy of AML with rationally designed CAR-T cells</w:t>
      </w:r>
      <w:bookmarkEnd w:id="0"/>
    </w:p>
    <w:bookmarkEnd w:id="1"/>
    <w:p>
      <w:pPr>
        <w:rPr>
          <w:rFonts w:ascii="Arial" w:hAnsi="Arial" w:cs="Arial"/>
          <w:b/>
          <w:bCs/>
          <w:color w:val="000000" w:themeColor="text1"/>
          <w:sz w:val="24"/>
          <w14:textFill>
            <w14:solidFill>
              <w14:schemeClr w14:val="tx1"/>
            </w14:solidFill>
          </w14:textFill>
        </w:rPr>
      </w:pPr>
    </w:p>
    <w:p>
      <w:pPr>
        <w:rPr>
          <w:rFonts w:ascii="Arial" w:hAnsi="Arial" w:cs="Arial"/>
          <w:sz w:val="24"/>
        </w:rPr>
      </w:pPr>
      <w:r>
        <w:rPr>
          <w:rFonts w:ascii="Arial" w:hAnsi="Arial" w:cs="Arial"/>
          <w:sz w:val="24"/>
        </w:rPr>
        <w:t>Wan-qiu Zhang</w:t>
      </w:r>
      <w:r>
        <w:rPr>
          <w:rFonts w:ascii="Arial" w:hAnsi="Arial" w:cs="Arial"/>
          <w:sz w:val="24"/>
          <w:vertAlign w:val="superscript"/>
        </w:rPr>
        <w:t>1-5,</w:t>
      </w:r>
      <w:r>
        <w:rPr>
          <w:rFonts w:hint="eastAsia" w:ascii="Arial" w:hAnsi="Arial" w:cs="Arial"/>
          <w:sz w:val="24"/>
          <w:vertAlign w:val="superscript"/>
        </w:rPr>
        <w:t>†</w:t>
      </w:r>
      <w:r>
        <w:rPr>
          <w:rFonts w:ascii="Arial" w:hAnsi="Arial" w:cs="Arial"/>
          <w:sz w:val="24"/>
        </w:rPr>
        <w:t xml:space="preserve">, </w:t>
      </w:r>
      <w:r>
        <w:rPr>
          <w:rFonts w:hint="eastAsia" w:ascii="Arial" w:hAnsi="Arial" w:cs="Arial"/>
          <w:sz w:val="24"/>
        </w:rPr>
        <w:t>Meng-meng Fan</w:t>
      </w:r>
      <w:r>
        <w:rPr>
          <w:rFonts w:hint="eastAsia" w:ascii="Arial" w:hAnsi="Arial" w:cs="Arial"/>
          <w:sz w:val="24"/>
          <w:vertAlign w:val="superscript"/>
        </w:rPr>
        <w:t>1</w:t>
      </w:r>
      <w:r>
        <w:rPr>
          <w:rFonts w:ascii="Arial" w:hAnsi="Arial" w:cs="Arial"/>
          <w:sz w:val="24"/>
          <w:vertAlign w:val="superscript"/>
        </w:rPr>
        <w:t>-5,</w:t>
      </w:r>
      <w:r>
        <w:rPr>
          <w:rFonts w:hint="eastAsia" w:ascii="Arial" w:hAnsi="Arial" w:cs="Arial"/>
          <w:sz w:val="24"/>
          <w:vertAlign w:val="superscript"/>
        </w:rPr>
        <w:t>†</w:t>
      </w:r>
      <w:r>
        <w:rPr>
          <w:rFonts w:hint="eastAsia" w:ascii="Arial" w:hAnsi="Arial" w:cs="Arial"/>
          <w:sz w:val="24"/>
        </w:rPr>
        <w:t>, Zhi-mai Gao</w:t>
      </w:r>
      <w:r>
        <w:rPr>
          <w:rFonts w:ascii="Arial" w:hAnsi="Arial" w:cs="Arial"/>
          <w:sz w:val="24"/>
          <w:vertAlign w:val="superscript"/>
        </w:rPr>
        <w:t>6</w:t>
      </w:r>
      <w:r>
        <w:rPr>
          <w:rFonts w:hint="eastAsia" w:ascii="Arial" w:hAnsi="Arial" w:cs="Arial"/>
          <w:sz w:val="24"/>
        </w:rPr>
        <w:t>,</w:t>
      </w:r>
      <w:r>
        <w:rPr>
          <w:rFonts w:ascii="Arial" w:hAnsi="Arial" w:cs="Arial"/>
          <w:bCs/>
          <w:sz w:val="24"/>
        </w:rPr>
        <w:t xml:space="preserve"> </w:t>
      </w:r>
      <w:r>
        <w:rPr>
          <w:rFonts w:hint="eastAsia" w:ascii="Arial" w:hAnsi="Arial" w:cs="Arial"/>
          <w:sz w:val="24"/>
        </w:rPr>
        <w:t>Hui-ping Wang</w:t>
      </w:r>
      <w:r>
        <w:rPr>
          <w:rFonts w:hint="eastAsia" w:ascii="Arial" w:hAnsi="Arial" w:cs="Arial"/>
          <w:sz w:val="24"/>
          <w:vertAlign w:val="superscript"/>
        </w:rPr>
        <w:t>1</w:t>
      </w:r>
      <w:r>
        <w:rPr>
          <w:rFonts w:ascii="Arial" w:hAnsi="Arial" w:cs="Arial"/>
          <w:sz w:val="24"/>
          <w:vertAlign w:val="superscript"/>
        </w:rPr>
        <w:t>-5</w:t>
      </w:r>
      <w:r>
        <w:rPr>
          <w:rFonts w:hint="eastAsia" w:ascii="Arial" w:hAnsi="Arial" w:cs="Arial"/>
          <w:sz w:val="24"/>
        </w:rPr>
        <w:t xml:space="preserve">, </w:t>
      </w:r>
      <w:r>
        <w:rPr>
          <w:rFonts w:ascii="Arial" w:hAnsi="Arial" w:cs="Arial"/>
          <w:bCs/>
          <w:sz w:val="24"/>
        </w:rPr>
        <w:t>Jin-jing Guo</w:t>
      </w:r>
      <w:r>
        <w:rPr>
          <w:rFonts w:ascii="Arial" w:hAnsi="Arial" w:eastAsia="宋体" w:cs="Arial"/>
          <w:bCs/>
          <w:sz w:val="24"/>
          <w:vertAlign w:val="superscript"/>
        </w:rPr>
        <w:t>1-5</w:t>
      </w:r>
      <w:r>
        <w:rPr>
          <w:rFonts w:ascii="Arial" w:hAnsi="Arial" w:cs="Arial"/>
          <w:bCs/>
          <w:sz w:val="24"/>
          <w:vertAlign w:val="superscript"/>
        </w:rPr>
        <w:t>,7</w:t>
      </w:r>
      <w:r>
        <w:rPr>
          <w:rFonts w:hint="eastAsia" w:ascii="Arial" w:hAnsi="Arial" w:cs="Arial"/>
          <w:bCs/>
          <w:sz w:val="24"/>
        </w:rPr>
        <w:t>,</w:t>
      </w:r>
      <w:r>
        <w:rPr>
          <w:rFonts w:ascii="Arial" w:hAnsi="Arial" w:cs="Arial"/>
          <w:sz w:val="24"/>
        </w:rPr>
        <w:t>Qian L</w:t>
      </w:r>
      <w:r>
        <w:rPr>
          <w:rFonts w:hint="eastAsia" w:ascii="Arial" w:hAnsi="Arial" w:cs="Arial"/>
          <w:sz w:val="24"/>
        </w:rPr>
        <w:t>i</w:t>
      </w:r>
      <w:r>
        <w:rPr>
          <w:rFonts w:ascii="Arial" w:hAnsi="Arial" w:cs="Arial"/>
          <w:sz w:val="24"/>
          <w:vertAlign w:val="superscript"/>
        </w:rPr>
        <w:t>1-5</w:t>
      </w:r>
      <w:r>
        <w:rPr>
          <w:rFonts w:ascii="Arial" w:hAnsi="Arial" w:cs="Arial"/>
          <w:sz w:val="24"/>
        </w:rPr>
        <w:t>,</w:t>
      </w:r>
      <w:r>
        <w:rPr>
          <w:rFonts w:hint="eastAsia" w:ascii="Arial" w:hAnsi="Arial" w:cs="Arial"/>
          <w:sz w:val="24"/>
        </w:rPr>
        <w:t>Xue Liang</w:t>
      </w:r>
      <w:r>
        <w:rPr>
          <w:rFonts w:hint="eastAsia" w:ascii="Arial" w:hAnsi="Arial" w:cs="Arial"/>
          <w:sz w:val="24"/>
          <w:vertAlign w:val="superscript"/>
        </w:rPr>
        <w:t>1</w:t>
      </w:r>
      <w:r>
        <w:rPr>
          <w:rFonts w:ascii="Arial" w:hAnsi="Arial" w:cs="Arial"/>
          <w:sz w:val="24"/>
          <w:vertAlign w:val="superscript"/>
        </w:rPr>
        <w:t>-5</w:t>
      </w:r>
      <w:r>
        <w:rPr>
          <w:rFonts w:hint="eastAsia" w:ascii="Arial" w:hAnsi="Arial" w:cs="Arial"/>
          <w:sz w:val="24"/>
        </w:rPr>
        <w:t xml:space="preserve">, </w:t>
      </w:r>
      <w:r>
        <w:rPr>
          <w:rFonts w:ascii="Arial" w:hAnsi="Arial" w:cs="Arial"/>
          <w:sz w:val="24"/>
        </w:rPr>
        <w:t>Qian-shan Tao</w:t>
      </w:r>
      <w:r>
        <w:rPr>
          <w:rFonts w:ascii="Arial" w:hAnsi="Arial" w:cs="Arial"/>
          <w:sz w:val="24"/>
          <w:vertAlign w:val="superscript"/>
        </w:rPr>
        <w:t>1-5</w:t>
      </w:r>
      <w:bookmarkStart w:id="6" w:name="_GoBack"/>
      <w:bookmarkEnd w:id="6"/>
      <w:bookmarkStart w:id="2" w:name="OLE_LINK19"/>
      <w:r>
        <w:rPr>
          <w:rFonts w:ascii="Arial" w:hAnsi="Arial" w:cs="Arial"/>
          <w:sz w:val="24"/>
          <w:szCs w:val="24"/>
        </w:rPr>
        <w:t xml:space="preserve">, </w:t>
      </w:r>
      <w:r>
        <w:rPr>
          <w:rFonts w:hint="eastAsia" w:ascii="Arial" w:hAnsi="Arial" w:cs="Arial"/>
          <w:sz w:val="24"/>
          <w:szCs w:val="24"/>
          <w:lang w:val="en-US" w:eastAsia="zh-CN"/>
        </w:rPr>
        <w:t>Si-qi Gong</w:t>
      </w:r>
      <w:r>
        <w:rPr>
          <w:rFonts w:ascii="Arial" w:hAnsi="Arial" w:cs="Arial"/>
          <w:sz w:val="24"/>
          <w:szCs w:val="24"/>
          <w:vertAlign w:val="superscript"/>
        </w:rPr>
        <w:t>1-5</w:t>
      </w:r>
      <w:r>
        <w:rPr>
          <w:rFonts w:ascii="Arial" w:hAnsi="Arial" w:cs="Arial"/>
          <w:sz w:val="24"/>
          <w:szCs w:val="24"/>
        </w:rPr>
        <w:t xml:space="preserve">, </w:t>
      </w:r>
      <w:r>
        <w:rPr>
          <w:rFonts w:hint="eastAsia" w:ascii="Arial" w:hAnsi="Arial" w:cs="Arial"/>
          <w:sz w:val="24"/>
          <w:szCs w:val="24"/>
          <w:lang w:val="en-US" w:eastAsia="zh-CN"/>
        </w:rPr>
        <w:t>Hao Xiao</w:t>
      </w:r>
      <w:r>
        <w:rPr>
          <w:rFonts w:ascii="Arial" w:hAnsi="Arial" w:cs="Arial"/>
          <w:sz w:val="24"/>
          <w:szCs w:val="24"/>
          <w:vertAlign w:val="superscript"/>
        </w:rPr>
        <w:t>1-5</w:t>
      </w:r>
      <w:r>
        <w:rPr>
          <w:rFonts w:ascii="Arial" w:hAnsi="Arial" w:cs="Arial"/>
          <w:sz w:val="24"/>
          <w:szCs w:val="24"/>
        </w:rPr>
        <w:t xml:space="preserve">, </w:t>
      </w:r>
      <w:r>
        <w:rPr>
          <w:rFonts w:hint="eastAsia" w:ascii="Arial" w:hAnsi="Arial" w:cs="Arial"/>
          <w:sz w:val="24"/>
        </w:rPr>
        <w:t>Cong Li</w:t>
      </w:r>
      <w:bookmarkEnd w:id="2"/>
      <w:r>
        <w:rPr>
          <w:rFonts w:hint="eastAsia" w:ascii="Arial" w:hAnsi="Arial" w:cs="Arial"/>
          <w:sz w:val="24"/>
          <w:vertAlign w:val="superscript"/>
        </w:rPr>
        <w:t>1</w:t>
      </w:r>
      <w:r>
        <w:rPr>
          <w:rFonts w:ascii="Arial" w:hAnsi="Arial" w:cs="Arial"/>
          <w:sz w:val="24"/>
          <w:vertAlign w:val="superscript"/>
        </w:rPr>
        <w:t>-5,*</w:t>
      </w:r>
      <w:r>
        <w:rPr>
          <w:rFonts w:hint="eastAsia" w:ascii="Arial" w:hAnsi="Arial" w:cs="Arial"/>
          <w:sz w:val="24"/>
        </w:rPr>
        <w:t>,</w:t>
      </w:r>
      <w:r>
        <w:rPr>
          <w:rFonts w:ascii="Arial" w:hAnsi="Arial" w:cs="Arial"/>
          <w:sz w:val="24"/>
        </w:rPr>
        <w:t xml:space="preserve"> Zhi-min Zhai</w:t>
      </w:r>
      <w:r>
        <w:rPr>
          <w:rFonts w:ascii="Arial" w:hAnsi="Arial" w:cs="Arial"/>
          <w:sz w:val="24"/>
          <w:vertAlign w:val="superscript"/>
        </w:rPr>
        <w:t>1-5,*</w:t>
      </w:r>
      <w:r>
        <w:rPr>
          <w:rFonts w:ascii="Arial" w:hAnsi="Arial" w:cs="Arial"/>
          <w:sz w:val="24"/>
        </w:rPr>
        <w:t xml:space="preserve"> </w:t>
      </w:r>
    </w:p>
    <w:p>
      <w:pPr>
        <w:rPr>
          <w:rFonts w:ascii="Arial" w:hAnsi="Arial" w:cs="Arial"/>
          <w:sz w:val="24"/>
        </w:rPr>
      </w:pPr>
    </w:p>
    <w:p>
      <w:pPr>
        <w:rPr>
          <w:rFonts w:ascii="Arial" w:hAnsi="Arial" w:cs="Arial"/>
          <w:sz w:val="24"/>
        </w:rPr>
      </w:pPr>
      <w:r>
        <w:rPr>
          <w:rFonts w:ascii="Arial" w:hAnsi="Arial" w:cs="Arial"/>
          <w:sz w:val="24"/>
          <w:vertAlign w:val="superscript"/>
        </w:rPr>
        <w:t>1</w:t>
      </w:r>
      <w:r>
        <w:rPr>
          <w:rFonts w:ascii="Arial" w:hAnsi="Arial" w:cs="Arial"/>
          <w:sz w:val="24"/>
        </w:rPr>
        <w:t>Department of Hematology, The Second Affiliated Hospital of Anhui Medical University, Hefei, Anhui 230000, China</w:t>
      </w:r>
    </w:p>
    <w:p>
      <w:pPr>
        <w:rPr>
          <w:rFonts w:ascii="Arial" w:hAnsi="Arial" w:cs="Arial"/>
          <w:sz w:val="24"/>
        </w:rPr>
      </w:pPr>
      <w:r>
        <w:rPr>
          <w:rFonts w:ascii="Arial" w:hAnsi="Arial" w:cs="Arial"/>
          <w:sz w:val="24"/>
          <w:vertAlign w:val="superscript"/>
        </w:rPr>
        <w:t>2</w:t>
      </w:r>
      <w:r>
        <w:rPr>
          <w:rFonts w:ascii="Arial" w:hAnsi="Arial" w:cs="Arial"/>
          <w:sz w:val="24"/>
        </w:rPr>
        <w:t>Hematological Lab, the Second Affiliated Hospital of Anhui Medical University, Hefei, Anhui 230000, China</w:t>
      </w:r>
    </w:p>
    <w:p>
      <w:pPr>
        <w:rPr>
          <w:rFonts w:ascii="Arial" w:hAnsi="Arial" w:cs="Arial"/>
          <w:sz w:val="24"/>
        </w:rPr>
      </w:pPr>
      <w:r>
        <w:rPr>
          <w:rFonts w:ascii="Arial" w:hAnsi="Arial" w:cs="Arial"/>
          <w:sz w:val="24"/>
          <w:vertAlign w:val="superscript"/>
        </w:rPr>
        <w:t>3</w:t>
      </w:r>
      <w:r>
        <w:rPr>
          <w:rFonts w:ascii="Arial" w:hAnsi="Arial" w:cs="Arial"/>
          <w:sz w:val="24"/>
        </w:rPr>
        <w:t>Hematology Diagnosis and Treatment Center</w:t>
      </w:r>
      <w:r>
        <w:rPr>
          <w:rFonts w:hint="eastAsia" w:ascii="Arial" w:hAnsi="Arial" w:cs="Arial"/>
          <w:sz w:val="24"/>
        </w:rPr>
        <w:t>,</w:t>
      </w:r>
      <w:r>
        <w:rPr>
          <w:rFonts w:ascii="Arial" w:hAnsi="Arial" w:cs="Arial"/>
          <w:sz w:val="24"/>
        </w:rPr>
        <w:t xml:space="preserve"> the Second Affiliated Hospital of Anhui Medical University, Hefei, Anhui 230000, China</w:t>
      </w:r>
    </w:p>
    <w:p>
      <w:pPr>
        <w:rPr>
          <w:rFonts w:ascii="Arial" w:hAnsi="Arial" w:cs="Arial"/>
          <w:sz w:val="24"/>
        </w:rPr>
      </w:pPr>
      <w:r>
        <w:rPr>
          <w:rFonts w:ascii="Arial" w:hAnsi="Arial" w:cs="Arial"/>
          <w:sz w:val="24"/>
          <w:vertAlign w:val="superscript"/>
        </w:rPr>
        <w:t>4</w:t>
      </w:r>
      <w:r>
        <w:rPr>
          <w:rFonts w:ascii="Arial" w:hAnsi="Arial" w:cs="Arial"/>
          <w:sz w:val="24"/>
        </w:rPr>
        <w:t>Center of Hematology Research, Anhui Medical University, Hefei, Anhui 230000, China</w:t>
      </w:r>
    </w:p>
    <w:p>
      <w:pPr>
        <w:rPr>
          <w:rFonts w:ascii="Arial" w:hAnsi="Arial" w:cs="Arial"/>
          <w:sz w:val="24"/>
        </w:rPr>
      </w:pPr>
      <w:r>
        <w:rPr>
          <w:rFonts w:ascii="Arial" w:hAnsi="Arial" w:cs="Arial"/>
          <w:sz w:val="24"/>
          <w:vertAlign w:val="superscript"/>
        </w:rPr>
        <w:t>5</w:t>
      </w:r>
      <w:r>
        <w:rPr>
          <w:rFonts w:ascii="Arial" w:hAnsi="Arial" w:cs="Arial"/>
          <w:sz w:val="24"/>
        </w:rPr>
        <w:t>Institute of Hematology and Clinical Immunology</w:t>
      </w:r>
      <w:r>
        <w:rPr>
          <w:rFonts w:hint="eastAsia" w:ascii="Arial" w:hAnsi="Arial" w:cs="Arial"/>
          <w:sz w:val="24"/>
        </w:rPr>
        <w:t>,</w:t>
      </w:r>
      <w:r>
        <w:rPr>
          <w:rFonts w:ascii="Arial" w:hAnsi="Arial" w:cs="Arial"/>
          <w:sz w:val="24"/>
        </w:rPr>
        <w:t xml:space="preserve"> the Second Affiliated Hospital of Anhui Medical University, Hefei, Anhui 230000, China</w:t>
      </w:r>
    </w:p>
    <w:p>
      <w:pPr>
        <w:rPr>
          <w:rFonts w:ascii="Arial" w:hAnsi="Arial" w:cs="Arial"/>
          <w:sz w:val="24"/>
        </w:rPr>
      </w:pPr>
      <w:r>
        <w:rPr>
          <w:rFonts w:ascii="Arial" w:hAnsi="Arial" w:cs="Arial"/>
          <w:sz w:val="24"/>
          <w:vertAlign w:val="superscript"/>
        </w:rPr>
        <w:t>6</w:t>
      </w:r>
      <w:r>
        <w:rPr>
          <w:rFonts w:ascii="Arial" w:hAnsi="Arial" w:cs="Arial"/>
          <w:sz w:val="24"/>
        </w:rPr>
        <w:t>Department of Laboratory, ZENO Biotechnology (Shenzhen) Co., Shenzhen, Guangzhou 518000, P.R. China</w:t>
      </w:r>
    </w:p>
    <w:p>
      <w:pPr>
        <w:rPr>
          <w:rFonts w:ascii="Arial" w:hAnsi="Arial" w:cs="Arial"/>
          <w:sz w:val="24"/>
        </w:rPr>
      </w:pPr>
      <w:r>
        <w:rPr>
          <w:rFonts w:ascii="Arial" w:hAnsi="Arial" w:cs="Arial"/>
          <w:sz w:val="24"/>
          <w:vertAlign w:val="superscript"/>
        </w:rPr>
        <w:t>7</w:t>
      </w:r>
      <w:r>
        <w:rPr>
          <w:rFonts w:ascii="Arial" w:hAnsi="Arial" w:cs="Arial"/>
          <w:sz w:val="24"/>
        </w:rPr>
        <w:t>Fuyang People's Hospital, Fuyang 236000, P.R. China</w:t>
      </w:r>
    </w:p>
    <w:p>
      <w:pPr>
        <w:rPr>
          <w:rFonts w:ascii="Arial" w:hAnsi="Arial" w:cs="Arial"/>
          <w:sz w:val="24"/>
        </w:rPr>
      </w:pPr>
    </w:p>
    <w:p>
      <w:pPr>
        <w:rPr>
          <w:rFonts w:ascii="Arial" w:hAnsi="Arial" w:cs="Arial"/>
          <w:b/>
          <w:bCs/>
          <w:color w:val="000000" w:themeColor="text1"/>
          <w:sz w:val="24"/>
          <w14:textFill>
            <w14:solidFill>
              <w14:schemeClr w14:val="tx1"/>
            </w14:solidFill>
          </w14:textFill>
        </w:rPr>
      </w:pPr>
      <w:r>
        <w:rPr>
          <w:rFonts w:ascii="Arial" w:hAnsi="Arial" w:cs="Arial"/>
          <w:b/>
          <w:bCs/>
          <w:color w:val="000000" w:themeColor="text1"/>
          <w:sz w:val="24"/>
          <w14:textFill>
            <w14:solidFill>
              <w14:schemeClr w14:val="tx1"/>
            </w14:solidFill>
          </w14:textFill>
        </w:rPr>
        <w:t xml:space="preserve">*Correspondence </w:t>
      </w:r>
    </w:p>
    <w:p>
      <w:pPr>
        <w:rPr>
          <w:rFonts w:ascii="Arial" w:hAnsi="Arial" w:cs="Arial"/>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 xml:space="preserve">Zhi-min Zhai, </w:t>
      </w:r>
      <w:r>
        <w:rPr>
          <w:rFonts w:hint="eastAsia" w:ascii="Arial" w:hAnsi="Arial" w:cs="Arial"/>
          <w:sz w:val="24"/>
        </w:rPr>
        <w:t>Cong Li</w:t>
      </w:r>
    </w:p>
    <w:p>
      <w:pPr>
        <w:rPr>
          <w:rFonts w:ascii="Arial" w:hAnsi="Arial" w:cs="Arial"/>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Department of Hematology, The Second Affiliated Hospital of Anhui Medical University, No. 678 Furong Road, Economic and Technological Development Zone, Hefei, Anhui 230000, China.</w:t>
      </w:r>
    </w:p>
    <w:p>
      <w:pPr>
        <w:rPr>
          <w:rFonts w:ascii="Arial" w:hAnsi="Arial" w:cs="Arial"/>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E mail: zzzm889@163.com</w:t>
      </w:r>
      <w:r>
        <w:rPr>
          <w:rFonts w:hint="eastAsia" w:ascii="Arial" w:hAnsi="Arial" w:cs="Arial"/>
          <w:color w:val="000000" w:themeColor="text1"/>
          <w:sz w:val="24"/>
          <w14:textFill>
            <w14:solidFill>
              <w14:schemeClr w14:val="tx1"/>
            </w14:solidFill>
          </w14:textFill>
        </w:rPr>
        <w:t>; licongdd@163.com</w:t>
      </w:r>
    </w:p>
    <w:p>
      <w:pPr>
        <w:rPr>
          <w:rFonts w:ascii="Arial" w:hAnsi="Arial" w:cs="Arial"/>
          <w:color w:val="000000" w:themeColor="text1"/>
          <w:sz w:val="24"/>
          <w14:textFill>
            <w14:solidFill>
              <w14:schemeClr w14:val="tx1"/>
            </w14:solidFill>
          </w14:textFill>
        </w:rPr>
      </w:pPr>
    </w:p>
    <w:p>
      <w:pPr>
        <w:rPr>
          <w:rFonts w:ascii="Arial" w:hAnsi="Arial" w:cs="Arial"/>
          <w:color w:val="000000" w:themeColor="text1"/>
          <w:sz w:val="24"/>
          <w14:textFill>
            <w14:solidFill>
              <w14:schemeClr w14:val="tx1"/>
            </w14:solidFill>
          </w14:textFill>
        </w:rPr>
      </w:pPr>
      <w:r>
        <w:rPr>
          <w:rFonts w:hint="eastAsia" w:ascii="Arial" w:hAnsi="Arial" w:cs="Arial"/>
          <w:color w:val="000000" w:themeColor="text1"/>
          <w:sz w:val="24"/>
          <w:vertAlign w:val="superscript"/>
          <w14:textFill>
            <w14:solidFill>
              <w14:schemeClr w14:val="tx1"/>
            </w14:solidFill>
          </w14:textFill>
        </w:rPr>
        <w:t>†</w:t>
      </w:r>
      <w:r>
        <w:rPr>
          <w:rFonts w:ascii="Arial" w:hAnsi="Arial" w:cs="Arial"/>
          <w:color w:val="000000" w:themeColor="text1"/>
          <w:sz w:val="24"/>
          <w14:textFill>
            <w14:solidFill>
              <w14:schemeClr w14:val="tx1"/>
            </w14:solidFill>
          </w14:textFill>
        </w:rPr>
        <w:t>These authors contributed equally to this work and share first authorship.</w:t>
      </w:r>
    </w:p>
    <w:p>
      <w:pPr>
        <w:rPr>
          <w:rFonts w:ascii="Arial" w:hAnsi="Arial" w:cs="Arial"/>
          <w:color w:val="000000" w:themeColor="text1"/>
          <w:sz w:val="24"/>
          <w14:textFill>
            <w14:solidFill>
              <w14:schemeClr w14:val="tx1"/>
            </w14:solidFill>
          </w14:textFill>
        </w:rPr>
      </w:pPr>
    </w:p>
    <w:p>
      <w:pPr>
        <w:rPr>
          <w:rFonts w:ascii="Arial" w:hAnsi="Arial" w:cs="Arial"/>
          <w:color w:val="000000" w:themeColor="text1"/>
          <w:sz w:val="24"/>
          <w14:textFill>
            <w14:solidFill>
              <w14:schemeClr w14:val="tx1"/>
            </w14:solidFill>
          </w14:textFill>
        </w:rPr>
      </w:pPr>
    </w:p>
    <w:p>
      <w:pPr>
        <w:rPr>
          <w:rFonts w:ascii="Arial" w:hAnsi="Arial" w:cs="Arial"/>
          <w:color w:val="000000" w:themeColor="text1"/>
          <w:sz w:val="24"/>
          <w14:textFill>
            <w14:solidFill>
              <w14:schemeClr w14:val="tx1"/>
            </w14:solidFill>
          </w14:textFill>
        </w:rPr>
      </w:pPr>
    </w:p>
    <w:p>
      <w:pPr>
        <w:rPr>
          <w:rFonts w:ascii="Arial" w:hAnsi="Arial" w:cs="Arial"/>
          <w:color w:val="000000" w:themeColor="text1"/>
          <w:sz w:val="24"/>
          <w14:textFill>
            <w14:solidFill>
              <w14:schemeClr w14:val="tx1"/>
            </w14:solidFill>
          </w14:textFill>
        </w:rPr>
      </w:pPr>
    </w:p>
    <w:p>
      <w:pPr>
        <w:rPr>
          <w:rFonts w:ascii="Arial" w:hAnsi="Arial" w:cs="Arial"/>
          <w:color w:val="000000" w:themeColor="text1"/>
          <w:sz w:val="24"/>
          <w14:textFill>
            <w14:solidFill>
              <w14:schemeClr w14:val="tx1"/>
            </w14:solidFill>
          </w14:textFill>
        </w:rPr>
      </w:pPr>
    </w:p>
    <w:p>
      <w:pPr>
        <w:rPr>
          <w:rFonts w:ascii="Arial" w:hAnsi="Arial" w:cs="Arial"/>
          <w:color w:val="000000" w:themeColor="text1"/>
          <w:sz w:val="24"/>
          <w14:textFill>
            <w14:solidFill>
              <w14:schemeClr w14:val="tx1"/>
            </w14:solidFill>
          </w14:textFill>
        </w:rPr>
      </w:pPr>
    </w:p>
    <w:p>
      <w:pPr>
        <w:rPr>
          <w:rFonts w:ascii="Arial" w:hAnsi="Arial" w:cs="Arial"/>
          <w:color w:val="000000" w:themeColor="text1"/>
          <w:sz w:val="24"/>
          <w14:textFill>
            <w14:solidFill>
              <w14:schemeClr w14:val="tx1"/>
            </w14:solidFill>
          </w14:textFill>
        </w:rPr>
      </w:pPr>
    </w:p>
    <w:p>
      <w:pPr>
        <w:rPr>
          <w:rFonts w:ascii="Arial" w:hAnsi="Arial" w:cs="Arial"/>
          <w:color w:val="000000" w:themeColor="text1"/>
          <w:sz w:val="24"/>
          <w14:textFill>
            <w14:solidFill>
              <w14:schemeClr w14:val="tx1"/>
            </w14:solidFill>
          </w14:textFill>
        </w:rPr>
      </w:pPr>
    </w:p>
    <w:p>
      <w:pPr>
        <w:rPr>
          <w:rFonts w:ascii="Arial" w:hAnsi="Arial" w:cs="Arial"/>
          <w:color w:val="000000" w:themeColor="text1"/>
          <w:sz w:val="24"/>
          <w14:textFill>
            <w14:solidFill>
              <w14:schemeClr w14:val="tx1"/>
            </w14:solidFill>
          </w14:textFill>
        </w:rPr>
      </w:pPr>
    </w:p>
    <w:p>
      <w:pPr>
        <w:rPr>
          <w:rFonts w:ascii="Arial" w:hAnsi="Arial" w:cs="Arial"/>
          <w:color w:val="000000" w:themeColor="text1"/>
          <w:sz w:val="24"/>
          <w14:textFill>
            <w14:solidFill>
              <w14:schemeClr w14:val="tx1"/>
            </w14:solidFill>
          </w14:textFill>
        </w:rPr>
      </w:pPr>
    </w:p>
    <w:p>
      <w:pPr>
        <w:rPr>
          <w:rFonts w:ascii="Arial" w:hAnsi="Arial" w:cs="Arial"/>
          <w:color w:val="000000" w:themeColor="text1"/>
          <w:sz w:val="24"/>
          <w14:textFill>
            <w14:solidFill>
              <w14:schemeClr w14:val="tx1"/>
            </w14:solidFill>
          </w14:textFill>
        </w:rPr>
      </w:pPr>
    </w:p>
    <w:p>
      <w:pPr>
        <w:rPr>
          <w:rFonts w:ascii="Arial" w:hAnsi="Arial" w:cs="Arial"/>
          <w:color w:val="000000" w:themeColor="text1"/>
          <w:sz w:val="24"/>
          <w14:textFill>
            <w14:solidFill>
              <w14:schemeClr w14:val="tx1"/>
            </w14:solidFill>
          </w14:textFill>
        </w:rPr>
      </w:pPr>
    </w:p>
    <w:p>
      <w:pPr>
        <w:rPr>
          <w:rFonts w:ascii="Arial" w:hAnsi="Arial" w:cs="Arial"/>
          <w:color w:val="000000" w:themeColor="text1"/>
          <w:sz w:val="24"/>
          <w14:textFill>
            <w14:solidFill>
              <w14:schemeClr w14:val="tx1"/>
            </w14:solidFill>
          </w14:textFill>
        </w:rPr>
      </w:pPr>
    </w:p>
    <w:p>
      <w:pPr>
        <w:jc w:val="center"/>
        <w:rPr>
          <w:rFonts w:ascii="Arial" w:hAnsi="Arial" w:cs="Arial"/>
        </w:rPr>
      </w:pPr>
      <w:r>
        <w:rPr>
          <w:rFonts w:ascii="Arial" w:hAnsi="Arial" w:cs="Arial"/>
        </w:rPr>
        <w:t>Table S1. General characteristics of the 65 patients with AML</w:t>
      </w:r>
    </w:p>
    <w:tbl>
      <w:tblPr>
        <w:tblStyle w:val="5"/>
        <w:tblpPr w:leftFromText="180" w:rightFromText="180" w:vertAnchor="text" w:horzAnchor="page" w:tblpXSpec="center" w:tblpY="99"/>
        <w:tblOverlap w:val="never"/>
        <w:tblW w:w="73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gridCol w:w="1792"/>
        <w:gridCol w:w="2270"/>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tcPr>
          <w:p>
            <w:pPr>
              <w:jc w:val="center"/>
              <w:rPr>
                <w:rFonts w:ascii="Arial" w:hAnsi="Arial" w:cs="Arial"/>
                <w:sz w:val="20"/>
                <w:szCs w:val="20"/>
              </w:rPr>
            </w:pPr>
            <w:r>
              <w:rPr>
                <w:rFonts w:ascii="Arial" w:hAnsi="Arial" w:cs="Arial"/>
                <w:sz w:val="20"/>
                <w:szCs w:val="20"/>
              </w:rPr>
              <w:t>Item</w:t>
            </w:r>
          </w:p>
        </w:tc>
        <w:tc>
          <w:tcPr>
            <w:tcW w:w="1792" w:type="dxa"/>
          </w:tcPr>
          <w:p>
            <w:pPr>
              <w:jc w:val="center"/>
              <w:rPr>
                <w:rFonts w:ascii="Arial" w:hAnsi="Arial" w:cs="Arial"/>
                <w:sz w:val="20"/>
                <w:szCs w:val="20"/>
              </w:rPr>
            </w:pPr>
            <w:r>
              <w:rPr>
                <w:rFonts w:ascii="Arial" w:hAnsi="Arial" w:cs="Arial"/>
                <w:sz w:val="20"/>
                <w:szCs w:val="20"/>
              </w:rPr>
              <w:t>Group</w:t>
            </w:r>
          </w:p>
        </w:tc>
        <w:tc>
          <w:tcPr>
            <w:tcW w:w="2270" w:type="dxa"/>
          </w:tcPr>
          <w:p>
            <w:pPr>
              <w:jc w:val="center"/>
              <w:rPr>
                <w:rFonts w:ascii="Arial" w:hAnsi="Arial" w:cs="Arial"/>
                <w:sz w:val="20"/>
                <w:szCs w:val="20"/>
              </w:rPr>
            </w:pPr>
            <w:r>
              <w:rPr>
                <w:rFonts w:ascii="Arial" w:hAnsi="Arial" w:cs="Arial"/>
                <w:sz w:val="20"/>
                <w:szCs w:val="20"/>
              </w:rPr>
              <w:t>Expression of SRRM2</w:t>
            </w:r>
          </w:p>
        </w:tc>
        <w:tc>
          <w:tcPr>
            <w:tcW w:w="1580" w:type="dxa"/>
          </w:tcPr>
          <w:p>
            <w:pPr>
              <w:jc w:val="center"/>
              <w:rPr>
                <w:rFonts w:ascii="Arial" w:hAnsi="Arial" w:cs="Arial"/>
                <w:sz w:val="20"/>
                <w:szCs w:val="20"/>
              </w:rPr>
            </w:pPr>
            <w:r>
              <w:rPr>
                <w:rFonts w:ascii="Arial" w:hAnsi="Arial" w:cs="Arial"/>
                <w:i/>
                <w:iCs/>
                <w:sz w:val="20"/>
                <w:szCs w:val="20"/>
              </w:rPr>
              <w:t xml:space="preserve">p </w:t>
            </w:r>
            <w:r>
              <w:rPr>
                <w:rFonts w:ascii="Arial" w:hAnsi="Arial" w:cs="Arial"/>
                <w:sz w:val="20"/>
                <w:szCs w:val="20"/>
              </w:rPr>
              <w:t>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restart"/>
          </w:tcPr>
          <w:p>
            <w:pPr>
              <w:jc w:val="center"/>
              <w:rPr>
                <w:rFonts w:ascii="Arial" w:hAnsi="Arial" w:cs="Arial"/>
                <w:sz w:val="20"/>
                <w:szCs w:val="20"/>
              </w:rPr>
            </w:pPr>
            <w:r>
              <w:rPr>
                <w:rFonts w:ascii="Arial" w:hAnsi="Arial" w:cs="Arial"/>
                <w:sz w:val="20"/>
                <w:szCs w:val="20"/>
              </w:rPr>
              <w:t>Gender</w:t>
            </w:r>
          </w:p>
        </w:tc>
        <w:tc>
          <w:tcPr>
            <w:tcW w:w="1792" w:type="dxa"/>
          </w:tcPr>
          <w:p>
            <w:pPr>
              <w:jc w:val="center"/>
              <w:rPr>
                <w:rFonts w:ascii="Arial" w:hAnsi="Arial" w:cs="Arial"/>
                <w:sz w:val="20"/>
                <w:szCs w:val="20"/>
              </w:rPr>
            </w:pPr>
            <w:r>
              <w:rPr>
                <w:rFonts w:ascii="Arial" w:hAnsi="Arial" w:cs="Arial"/>
                <w:sz w:val="20"/>
                <w:szCs w:val="20"/>
              </w:rPr>
              <w:t>Male</w:t>
            </w:r>
          </w:p>
        </w:tc>
        <w:tc>
          <w:tcPr>
            <w:tcW w:w="2270" w:type="dxa"/>
          </w:tcPr>
          <w:p>
            <w:pPr>
              <w:jc w:val="center"/>
              <w:rPr>
                <w:rFonts w:ascii="Arial" w:hAnsi="Arial" w:cs="Arial"/>
                <w:sz w:val="20"/>
                <w:szCs w:val="20"/>
              </w:rPr>
            </w:pPr>
            <w:r>
              <w:rPr>
                <w:rFonts w:ascii="Arial" w:hAnsi="Arial" w:cs="Arial"/>
                <w:sz w:val="20"/>
                <w:szCs w:val="20"/>
              </w:rPr>
              <w:t>(26.16±16.21)</w:t>
            </w:r>
          </w:p>
        </w:tc>
        <w:tc>
          <w:tcPr>
            <w:tcW w:w="1580" w:type="dxa"/>
            <w:vMerge w:val="restart"/>
          </w:tcPr>
          <w:p>
            <w:pPr>
              <w:jc w:val="center"/>
              <w:rPr>
                <w:rFonts w:ascii="Arial" w:hAnsi="Arial" w:cs="Arial"/>
                <w:sz w:val="20"/>
                <w:szCs w:val="20"/>
              </w:rPr>
            </w:pPr>
            <w:r>
              <w:rPr>
                <w:rFonts w:ascii="Arial" w:hAnsi="Arial" w:cs="Arial"/>
                <w:sz w:val="20"/>
                <w:szCs w:val="20"/>
              </w:rPr>
              <w:t>0.586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rPr>
                <w:rFonts w:ascii="Arial" w:hAnsi="Arial" w:cs="Arial"/>
                <w:sz w:val="20"/>
                <w:szCs w:val="20"/>
              </w:rPr>
            </w:pPr>
          </w:p>
        </w:tc>
        <w:tc>
          <w:tcPr>
            <w:tcW w:w="1792" w:type="dxa"/>
          </w:tcPr>
          <w:p>
            <w:pPr>
              <w:jc w:val="center"/>
              <w:rPr>
                <w:rFonts w:ascii="Arial" w:hAnsi="Arial" w:cs="Arial"/>
                <w:sz w:val="20"/>
                <w:szCs w:val="20"/>
              </w:rPr>
            </w:pPr>
            <w:r>
              <w:rPr>
                <w:rFonts w:ascii="Arial" w:hAnsi="Arial" w:cs="Arial"/>
                <w:sz w:val="20"/>
                <w:szCs w:val="20"/>
              </w:rPr>
              <w:t>Female</w:t>
            </w:r>
          </w:p>
        </w:tc>
        <w:tc>
          <w:tcPr>
            <w:tcW w:w="2270" w:type="dxa"/>
          </w:tcPr>
          <w:p>
            <w:pPr>
              <w:jc w:val="center"/>
              <w:rPr>
                <w:rFonts w:ascii="Arial" w:hAnsi="Arial" w:cs="Arial"/>
                <w:sz w:val="20"/>
                <w:szCs w:val="20"/>
              </w:rPr>
            </w:pPr>
            <w:r>
              <w:rPr>
                <w:rFonts w:ascii="Arial" w:hAnsi="Arial" w:cs="Arial"/>
                <w:sz w:val="20"/>
                <w:szCs w:val="20"/>
              </w:rPr>
              <w:t>16.36(9.90,41.63)</w:t>
            </w:r>
          </w:p>
        </w:tc>
        <w:tc>
          <w:tcPr>
            <w:tcW w:w="1580" w:type="dxa"/>
            <w:vMerge w:val="continue"/>
          </w:tcPr>
          <w:p>
            <w:pPr>
              <w:jc w:val="cente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restart"/>
          </w:tcPr>
          <w:p>
            <w:pPr>
              <w:jc w:val="center"/>
              <w:rPr>
                <w:rFonts w:ascii="Arial" w:hAnsi="Arial" w:cs="Arial"/>
                <w:sz w:val="20"/>
                <w:szCs w:val="20"/>
              </w:rPr>
            </w:pPr>
            <w:r>
              <w:rPr>
                <w:rFonts w:ascii="Arial" w:hAnsi="Arial" w:cs="Arial"/>
                <w:sz w:val="20"/>
                <w:szCs w:val="20"/>
              </w:rPr>
              <w:t>Age</w:t>
            </w:r>
          </w:p>
        </w:tc>
        <w:tc>
          <w:tcPr>
            <w:tcW w:w="1792" w:type="dxa"/>
          </w:tcPr>
          <w:p>
            <w:pPr>
              <w:jc w:val="center"/>
              <w:rPr>
                <w:rFonts w:ascii="Arial" w:hAnsi="Arial" w:cs="Arial"/>
                <w:sz w:val="20"/>
                <w:szCs w:val="20"/>
              </w:rPr>
            </w:pPr>
            <w:r>
              <w:rPr>
                <w:rFonts w:ascii="Arial" w:hAnsi="Arial" w:cs="Arial"/>
                <w:sz w:val="20"/>
                <w:szCs w:val="20"/>
              </w:rPr>
              <w:t>&lt;65y</w:t>
            </w:r>
          </w:p>
        </w:tc>
        <w:tc>
          <w:tcPr>
            <w:tcW w:w="2270" w:type="dxa"/>
          </w:tcPr>
          <w:p>
            <w:pPr>
              <w:jc w:val="center"/>
              <w:rPr>
                <w:rFonts w:ascii="Arial" w:hAnsi="Arial" w:cs="Arial"/>
                <w:sz w:val="20"/>
                <w:szCs w:val="20"/>
              </w:rPr>
            </w:pPr>
            <w:r>
              <w:rPr>
                <w:rFonts w:ascii="Arial" w:hAnsi="Arial" w:cs="Arial"/>
                <w:sz w:val="20"/>
                <w:szCs w:val="20"/>
              </w:rPr>
              <w:t>19.19(12.86,34.95)</w:t>
            </w:r>
          </w:p>
        </w:tc>
        <w:tc>
          <w:tcPr>
            <w:tcW w:w="1580" w:type="dxa"/>
            <w:vMerge w:val="restart"/>
          </w:tcPr>
          <w:p>
            <w:pPr>
              <w:jc w:val="center"/>
              <w:rPr>
                <w:rFonts w:ascii="Arial" w:hAnsi="Arial" w:cs="Arial"/>
                <w:sz w:val="20"/>
                <w:szCs w:val="20"/>
              </w:rPr>
            </w:pPr>
            <w:r>
              <w:rPr>
                <w:rFonts w:ascii="Arial" w:hAnsi="Arial" w:cs="Arial"/>
                <w:sz w:val="20"/>
                <w:szCs w:val="20"/>
              </w:rPr>
              <w:t>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rPr>
                <w:rFonts w:ascii="Arial" w:hAnsi="Arial" w:cs="Arial"/>
                <w:sz w:val="20"/>
                <w:szCs w:val="20"/>
              </w:rPr>
            </w:pPr>
          </w:p>
        </w:tc>
        <w:tc>
          <w:tcPr>
            <w:tcW w:w="1792" w:type="dxa"/>
          </w:tcPr>
          <w:p>
            <w:pPr>
              <w:jc w:val="center"/>
              <w:rPr>
                <w:rFonts w:ascii="Arial" w:hAnsi="Arial" w:cs="Arial"/>
                <w:sz w:val="20"/>
                <w:szCs w:val="20"/>
              </w:rPr>
            </w:pPr>
            <w:r>
              <w:rPr>
                <w:rFonts w:ascii="Arial" w:hAnsi="Arial" w:cs="Arial"/>
                <w:sz w:val="20"/>
                <w:szCs w:val="20"/>
              </w:rPr>
              <w:t>≥65y</w:t>
            </w:r>
          </w:p>
        </w:tc>
        <w:tc>
          <w:tcPr>
            <w:tcW w:w="2270" w:type="dxa"/>
          </w:tcPr>
          <w:p>
            <w:pPr>
              <w:jc w:val="center"/>
              <w:rPr>
                <w:rFonts w:ascii="Arial" w:hAnsi="Arial" w:cs="Arial"/>
                <w:sz w:val="20"/>
                <w:szCs w:val="20"/>
              </w:rPr>
            </w:pPr>
            <w:r>
              <w:rPr>
                <w:rFonts w:ascii="Arial" w:hAnsi="Arial" w:cs="Arial"/>
                <w:sz w:val="20"/>
                <w:szCs w:val="20"/>
              </w:rPr>
              <w:t>15.20(10.20,36.73)</w:t>
            </w:r>
          </w:p>
        </w:tc>
        <w:tc>
          <w:tcPr>
            <w:tcW w:w="1580" w:type="dxa"/>
            <w:vMerge w:val="continue"/>
          </w:tcPr>
          <w:p>
            <w:pPr>
              <w:jc w:val="cente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698" w:type="dxa"/>
            <w:vMerge w:val="restart"/>
          </w:tcPr>
          <w:p>
            <w:pPr>
              <w:jc w:val="center"/>
              <w:rPr>
                <w:rFonts w:ascii="Arial" w:hAnsi="Arial" w:cs="Arial"/>
                <w:sz w:val="20"/>
                <w:szCs w:val="20"/>
              </w:rPr>
            </w:pPr>
            <w:r>
              <w:rPr>
                <w:rFonts w:ascii="Arial" w:hAnsi="Arial" w:cs="Arial"/>
                <w:sz w:val="20"/>
                <w:szCs w:val="20"/>
              </w:rPr>
              <w:t>WBC(×10</w:t>
            </w:r>
            <w:r>
              <w:rPr>
                <w:rFonts w:ascii="Arial" w:hAnsi="Arial" w:cs="Arial"/>
                <w:sz w:val="20"/>
                <w:szCs w:val="20"/>
                <w:vertAlign w:val="superscript"/>
              </w:rPr>
              <w:t>9</w:t>
            </w:r>
            <w:r>
              <w:rPr>
                <w:rFonts w:ascii="Arial" w:hAnsi="Arial" w:cs="Arial"/>
                <w:sz w:val="20"/>
                <w:szCs w:val="20"/>
              </w:rPr>
              <w:t>/L)</w:t>
            </w:r>
          </w:p>
        </w:tc>
        <w:tc>
          <w:tcPr>
            <w:tcW w:w="1792" w:type="dxa"/>
          </w:tcPr>
          <w:p>
            <w:pPr>
              <w:jc w:val="center"/>
              <w:rPr>
                <w:rFonts w:ascii="Arial" w:hAnsi="Arial" w:cs="Arial"/>
                <w:sz w:val="20"/>
                <w:szCs w:val="20"/>
              </w:rPr>
            </w:pPr>
            <w:r>
              <w:rPr>
                <w:rFonts w:ascii="Arial" w:hAnsi="Arial" w:cs="Arial"/>
                <w:sz w:val="20"/>
                <w:szCs w:val="20"/>
              </w:rPr>
              <w:t>&lt;10</w:t>
            </w:r>
          </w:p>
        </w:tc>
        <w:tc>
          <w:tcPr>
            <w:tcW w:w="2270" w:type="dxa"/>
          </w:tcPr>
          <w:p>
            <w:pPr>
              <w:jc w:val="center"/>
              <w:rPr>
                <w:rFonts w:ascii="Arial" w:hAnsi="Arial" w:cs="Arial"/>
                <w:color w:val="auto"/>
                <w:sz w:val="20"/>
                <w:szCs w:val="20"/>
              </w:rPr>
            </w:pPr>
            <w:r>
              <w:rPr>
                <w:rFonts w:ascii="Arial" w:hAnsi="Arial" w:cs="Arial"/>
                <w:color w:val="auto"/>
                <w:sz w:val="20"/>
                <w:szCs w:val="20"/>
              </w:rPr>
              <w:t>20.49(12.60,41.37)</w:t>
            </w:r>
          </w:p>
        </w:tc>
        <w:tc>
          <w:tcPr>
            <w:tcW w:w="1580" w:type="dxa"/>
            <w:vMerge w:val="restart"/>
          </w:tcPr>
          <w:p>
            <w:pPr>
              <w:jc w:val="center"/>
              <w:rPr>
                <w:rFonts w:ascii="Arial" w:hAnsi="Arial" w:cs="Arial"/>
                <w:sz w:val="20"/>
                <w:szCs w:val="20"/>
              </w:rPr>
            </w:pPr>
            <w:r>
              <w:rPr>
                <w:rFonts w:ascii="Arial" w:hAnsi="Arial" w:cs="Arial"/>
                <w:sz w:val="20"/>
                <w:szCs w:val="20"/>
              </w:rPr>
              <w:t>0.387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rPr>
                <w:rFonts w:ascii="Arial" w:hAnsi="Arial" w:cs="Arial"/>
                <w:sz w:val="20"/>
                <w:szCs w:val="20"/>
              </w:rPr>
            </w:pPr>
          </w:p>
        </w:tc>
        <w:tc>
          <w:tcPr>
            <w:tcW w:w="1792" w:type="dxa"/>
          </w:tcPr>
          <w:p>
            <w:pPr>
              <w:jc w:val="center"/>
              <w:rPr>
                <w:rFonts w:ascii="Arial" w:hAnsi="Arial" w:cs="Arial"/>
                <w:sz w:val="20"/>
                <w:szCs w:val="20"/>
              </w:rPr>
            </w:pPr>
            <w:r>
              <w:rPr>
                <w:rFonts w:ascii="Arial" w:hAnsi="Arial" w:cs="Arial"/>
                <w:sz w:val="20"/>
                <w:szCs w:val="20"/>
              </w:rPr>
              <w:t>≥10</w:t>
            </w:r>
          </w:p>
        </w:tc>
        <w:tc>
          <w:tcPr>
            <w:tcW w:w="2270" w:type="dxa"/>
          </w:tcPr>
          <w:p>
            <w:pPr>
              <w:jc w:val="center"/>
              <w:rPr>
                <w:rFonts w:ascii="Arial" w:hAnsi="Arial" w:cs="Arial"/>
                <w:color w:val="auto"/>
                <w:sz w:val="20"/>
                <w:szCs w:val="20"/>
              </w:rPr>
            </w:pPr>
            <w:r>
              <w:rPr>
                <w:rFonts w:ascii="Arial" w:hAnsi="Arial" w:cs="Arial"/>
                <w:color w:val="auto"/>
                <w:sz w:val="20"/>
                <w:szCs w:val="20"/>
              </w:rPr>
              <w:t>(23.62±16.41)</w:t>
            </w:r>
          </w:p>
        </w:tc>
        <w:tc>
          <w:tcPr>
            <w:tcW w:w="1580" w:type="dxa"/>
            <w:vMerge w:val="continue"/>
          </w:tcPr>
          <w:p>
            <w:pPr>
              <w:jc w:val="cente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restart"/>
          </w:tcPr>
          <w:p>
            <w:pPr>
              <w:jc w:val="center"/>
              <w:rPr>
                <w:rFonts w:ascii="Arial" w:hAnsi="Arial" w:cs="Arial"/>
                <w:sz w:val="20"/>
                <w:szCs w:val="20"/>
              </w:rPr>
            </w:pPr>
            <w:r>
              <w:rPr>
                <w:rFonts w:ascii="Arial" w:hAnsi="Arial" w:cs="Arial"/>
                <w:sz w:val="20"/>
                <w:szCs w:val="20"/>
              </w:rPr>
              <w:t>LDH(U/L)</w:t>
            </w:r>
          </w:p>
        </w:tc>
        <w:tc>
          <w:tcPr>
            <w:tcW w:w="1792" w:type="dxa"/>
          </w:tcPr>
          <w:p>
            <w:pPr>
              <w:jc w:val="center"/>
              <w:rPr>
                <w:rFonts w:ascii="Arial" w:hAnsi="Arial" w:cs="Arial"/>
                <w:sz w:val="20"/>
                <w:szCs w:val="20"/>
              </w:rPr>
            </w:pPr>
            <w:r>
              <w:rPr>
                <w:rFonts w:ascii="Arial" w:hAnsi="Arial" w:cs="Arial"/>
                <w:sz w:val="20"/>
                <w:szCs w:val="20"/>
              </w:rPr>
              <w:t>&lt;245</w:t>
            </w:r>
          </w:p>
        </w:tc>
        <w:tc>
          <w:tcPr>
            <w:tcW w:w="2270" w:type="dxa"/>
          </w:tcPr>
          <w:p>
            <w:pPr>
              <w:jc w:val="center"/>
              <w:rPr>
                <w:rFonts w:ascii="Arial" w:hAnsi="Arial" w:cs="Arial"/>
                <w:color w:val="auto"/>
                <w:sz w:val="20"/>
                <w:szCs w:val="20"/>
              </w:rPr>
            </w:pPr>
            <w:r>
              <w:rPr>
                <w:rFonts w:ascii="Arial" w:hAnsi="Arial" w:cs="Arial"/>
                <w:color w:val="auto"/>
                <w:sz w:val="20"/>
                <w:szCs w:val="20"/>
              </w:rPr>
              <w:t>11.80(9.55,30.14)</w:t>
            </w:r>
          </w:p>
        </w:tc>
        <w:tc>
          <w:tcPr>
            <w:tcW w:w="1580" w:type="dxa"/>
            <w:vMerge w:val="restart"/>
          </w:tcPr>
          <w:p>
            <w:pPr>
              <w:jc w:val="center"/>
              <w:rPr>
                <w:rFonts w:ascii="Arial" w:hAnsi="Arial" w:cs="Arial"/>
                <w:sz w:val="20"/>
                <w:szCs w:val="20"/>
              </w:rPr>
            </w:pPr>
            <w:r>
              <w:rPr>
                <w:rFonts w:ascii="Arial" w:hAnsi="Arial" w:cs="Arial"/>
                <w:sz w:val="20"/>
                <w:szCs w:val="20"/>
              </w:rPr>
              <w:t>0.155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jc w:val="center"/>
              <w:rPr>
                <w:rFonts w:ascii="Arial" w:hAnsi="Arial" w:cs="Arial"/>
                <w:sz w:val="20"/>
                <w:szCs w:val="20"/>
              </w:rPr>
            </w:pPr>
          </w:p>
        </w:tc>
        <w:tc>
          <w:tcPr>
            <w:tcW w:w="1792" w:type="dxa"/>
          </w:tcPr>
          <w:p>
            <w:pPr>
              <w:jc w:val="center"/>
              <w:rPr>
                <w:rFonts w:ascii="Arial" w:hAnsi="Arial" w:cs="Arial"/>
                <w:sz w:val="20"/>
                <w:szCs w:val="20"/>
              </w:rPr>
            </w:pPr>
            <w:r>
              <w:rPr>
                <w:rFonts w:ascii="Arial" w:hAnsi="Arial" w:cs="Arial"/>
                <w:sz w:val="20"/>
                <w:szCs w:val="20"/>
              </w:rPr>
              <w:t>≥245</w:t>
            </w:r>
          </w:p>
        </w:tc>
        <w:tc>
          <w:tcPr>
            <w:tcW w:w="2270" w:type="dxa"/>
          </w:tcPr>
          <w:p>
            <w:pPr>
              <w:jc w:val="center"/>
              <w:rPr>
                <w:rFonts w:ascii="Arial" w:hAnsi="Arial" w:cs="Arial"/>
                <w:color w:val="auto"/>
                <w:sz w:val="20"/>
                <w:szCs w:val="20"/>
              </w:rPr>
            </w:pPr>
            <w:r>
              <w:rPr>
                <w:rFonts w:ascii="Arial" w:hAnsi="Arial" w:cs="Arial"/>
                <w:color w:val="auto"/>
                <w:sz w:val="20"/>
                <w:szCs w:val="20"/>
              </w:rPr>
              <w:t>23.59(13.58,40.77)</w:t>
            </w:r>
          </w:p>
        </w:tc>
        <w:tc>
          <w:tcPr>
            <w:tcW w:w="1580" w:type="dxa"/>
            <w:vMerge w:val="continue"/>
          </w:tcPr>
          <w:p>
            <w:pPr>
              <w:jc w:val="cente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restart"/>
          </w:tcPr>
          <w:p>
            <w:pPr>
              <w:jc w:val="center"/>
              <w:rPr>
                <w:rFonts w:ascii="Arial" w:hAnsi="Arial" w:cs="Arial"/>
                <w:sz w:val="20"/>
                <w:szCs w:val="20"/>
              </w:rPr>
            </w:pPr>
            <w:r>
              <w:rPr>
                <w:rFonts w:ascii="Arial" w:hAnsi="Arial" w:cs="Arial"/>
                <w:sz w:val="20"/>
                <w:szCs w:val="20"/>
              </w:rPr>
              <w:t>Blast(%)</w:t>
            </w:r>
          </w:p>
        </w:tc>
        <w:tc>
          <w:tcPr>
            <w:tcW w:w="1792" w:type="dxa"/>
          </w:tcPr>
          <w:p>
            <w:pPr>
              <w:jc w:val="center"/>
              <w:rPr>
                <w:rFonts w:ascii="Arial" w:hAnsi="Arial" w:cs="Arial"/>
                <w:sz w:val="20"/>
                <w:szCs w:val="20"/>
              </w:rPr>
            </w:pPr>
            <w:r>
              <w:rPr>
                <w:rFonts w:ascii="Arial" w:hAnsi="Arial" w:cs="Arial"/>
                <w:sz w:val="20"/>
                <w:szCs w:val="20"/>
              </w:rPr>
              <w:t>&lt;20</w:t>
            </w:r>
          </w:p>
        </w:tc>
        <w:tc>
          <w:tcPr>
            <w:tcW w:w="2270" w:type="dxa"/>
          </w:tcPr>
          <w:p>
            <w:pPr>
              <w:jc w:val="center"/>
              <w:rPr>
                <w:rFonts w:ascii="Arial" w:hAnsi="Arial" w:cs="Arial"/>
                <w:color w:val="auto"/>
                <w:sz w:val="20"/>
                <w:szCs w:val="20"/>
              </w:rPr>
            </w:pPr>
            <w:r>
              <w:rPr>
                <w:rFonts w:ascii="Arial" w:hAnsi="Arial" w:cs="Arial"/>
                <w:color w:val="auto"/>
                <w:sz w:val="20"/>
                <w:szCs w:val="20"/>
              </w:rPr>
              <w:t>15.20(13.37,24.06)</w:t>
            </w:r>
          </w:p>
        </w:tc>
        <w:tc>
          <w:tcPr>
            <w:tcW w:w="1580" w:type="dxa"/>
            <w:vMerge w:val="restart"/>
          </w:tcPr>
          <w:p>
            <w:pPr>
              <w:jc w:val="center"/>
              <w:rPr>
                <w:rFonts w:ascii="Arial" w:hAnsi="Arial" w:cs="Arial"/>
                <w:sz w:val="20"/>
                <w:szCs w:val="20"/>
              </w:rPr>
            </w:pPr>
            <w:r>
              <w:rPr>
                <w:rFonts w:ascii="Arial" w:hAnsi="Arial" w:cs="Arial"/>
                <w:sz w:val="20"/>
                <w:szCs w:val="20"/>
              </w:rPr>
              <w:t>0.503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jc w:val="center"/>
              <w:rPr>
                <w:rFonts w:ascii="Arial" w:hAnsi="Arial" w:cs="Arial"/>
                <w:sz w:val="20"/>
                <w:szCs w:val="20"/>
              </w:rPr>
            </w:pPr>
          </w:p>
        </w:tc>
        <w:tc>
          <w:tcPr>
            <w:tcW w:w="1792" w:type="dxa"/>
          </w:tcPr>
          <w:p>
            <w:pPr>
              <w:jc w:val="center"/>
              <w:rPr>
                <w:rFonts w:ascii="Arial" w:hAnsi="Arial" w:cs="Arial"/>
                <w:sz w:val="20"/>
                <w:szCs w:val="20"/>
              </w:rPr>
            </w:pPr>
            <w:r>
              <w:rPr>
                <w:rFonts w:ascii="Arial" w:hAnsi="Arial" w:cs="Arial"/>
                <w:sz w:val="20"/>
                <w:szCs w:val="20"/>
              </w:rPr>
              <w:t>≥20</w:t>
            </w:r>
          </w:p>
        </w:tc>
        <w:tc>
          <w:tcPr>
            <w:tcW w:w="2270" w:type="dxa"/>
          </w:tcPr>
          <w:p>
            <w:pPr>
              <w:jc w:val="center"/>
              <w:rPr>
                <w:rFonts w:ascii="Arial" w:hAnsi="Arial" w:cs="Arial"/>
                <w:color w:val="auto"/>
                <w:sz w:val="20"/>
                <w:szCs w:val="20"/>
              </w:rPr>
            </w:pPr>
            <w:r>
              <w:rPr>
                <w:rFonts w:ascii="Arial" w:hAnsi="Arial" w:cs="Arial"/>
                <w:color w:val="auto"/>
                <w:sz w:val="20"/>
                <w:szCs w:val="20"/>
              </w:rPr>
              <w:t>26.25(10.52,41.19)</w:t>
            </w:r>
          </w:p>
        </w:tc>
        <w:tc>
          <w:tcPr>
            <w:tcW w:w="1580" w:type="dxa"/>
            <w:vMerge w:val="continue"/>
          </w:tcPr>
          <w:p>
            <w:pPr>
              <w:jc w:val="cente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restart"/>
          </w:tcPr>
          <w:p>
            <w:pPr>
              <w:jc w:val="center"/>
              <w:rPr>
                <w:rFonts w:ascii="Arial" w:hAnsi="Arial" w:cs="Arial"/>
                <w:sz w:val="20"/>
                <w:szCs w:val="20"/>
              </w:rPr>
            </w:pPr>
            <w:r>
              <w:rPr>
                <w:rFonts w:ascii="Arial" w:hAnsi="Arial" w:cs="Arial"/>
                <w:sz w:val="20"/>
                <w:szCs w:val="20"/>
              </w:rPr>
              <w:t>MRD(New diagnosis)</w:t>
            </w:r>
          </w:p>
        </w:tc>
        <w:tc>
          <w:tcPr>
            <w:tcW w:w="1792" w:type="dxa"/>
          </w:tcPr>
          <w:p>
            <w:pPr>
              <w:jc w:val="center"/>
              <w:rPr>
                <w:rFonts w:ascii="Arial" w:hAnsi="Arial" w:cs="Arial"/>
                <w:sz w:val="20"/>
                <w:szCs w:val="20"/>
              </w:rPr>
            </w:pPr>
            <w:r>
              <w:rPr>
                <w:rFonts w:ascii="Arial" w:hAnsi="Arial" w:cs="Arial"/>
                <w:sz w:val="20"/>
                <w:szCs w:val="20"/>
              </w:rPr>
              <w:t>&lt;45.84</w:t>
            </w:r>
          </w:p>
        </w:tc>
        <w:tc>
          <w:tcPr>
            <w:tcW w:w="2270" w:type="dxa"/>
          </w:tcPr>
          <w:p>
            <w:pPr>
              <w:jc w:val="center"/>
              <w:rPr>
                <w:rFonts w:ascii="Arial" w:hAnsi="Arial" w:cs="Arial"/>
                <w:color w:val="auto"/>
                <w:sz w:val="20"/>
                <w:szCs w:val="20"/>
              </w:rPr>
            </w:pPr>
            <w:r>
              <w:rPr>
                <w:rFonts w:ascii="Arial" w:hAnsi="Arial" w:cs="Arial"/>
                <w:color w:val="auto"/>
                <w:sz w:val="20"/>
                <w:szCs w:val="20"/>
              </w:rPr>
              <w:t>19.19(11.81,39.67)</w:t>
            </w:r>
          </w:p>
        </w:tc>
        <w:tc>
          <w:tcPr>
            <w:tcW w:w="1580" w:type="dxa"/>
            <w:vMerge w:val="restart"/>
          </w:tcPr>
          <w:p>
            <w:pPr>
              <w:jc w:val="center"/>
              <w:rPr>
                <w:rFonts w:ascii="Arial" w:hAnsi="Arial" w:cs="Arial"/>
                <w:sz w:val="20"/>
                <w:szCs w:val="20"/>
              </w:rPr>
            </w:pPr>
            <w:r>
              <w:rPr>
                <w:rFonts w:ascii="Arial" w:hAnsi="Arial" w:cs="Arial"/>
                <w:sz w:val="20"/>
                <w:szCs w:val="20"/>
              </w:rPr>
              <w:t>0.811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jc w:val="center"/>
              <w:rPr>
                <w:rFonts w:ascii="Arial" w:hAnsi="Arial" w:cs="Arial"/>
                <w:sz w:val="20"/>
                <w:szCs w:val="20"/>
              </w:rPr>
            </w:pPr>
          </w:p>
        </w:tc>
        <w:tc>
          <w:tcPr>
            <w:tcW w:w="1792" w:type="dxa"/>
          </w:tcPr>
          <w:p>
            <w:pPr>
              <w:jc w:val="center"/>
              <w:rPr>
                <w:rFonts w:ascii="Arial" w:hAnsi="Arial" w:cs="Arial"/>
                <w:sz w:val="20"/>
                <w:szCs w:val="20"/>
              </w:rPr>
            </w:pPr>
            <w:r>
              <w:rPr>
                <w:rFonts w:ascii="Arial" w:hAnsi="Arial" w:cs="Arial"/>
                <w:sz w:val="20"/>
                <w:szCs w:val="20"/>
              </w:rPr>
              <w:t>≥45.84</w:t>
            </w:r>
          </w:p>
        </w:tc>
        <w:tc>
          <w:tcPr>
            <w:tcW w:w="2270" w:type="dxa"/>
          </w:tcPr>
          <w:p>
            <w:pPr>
              <w:jc w:val="center"/>
              <w:rPr>
                <w:rFonts w:ascii="Arial" w:hAnsi="Arial" w:cs="Arial"/>
                <w:color w:val="auto"/>
                <w:sz w:val="20"/>
                <w:szCs w:val="20"/>
              </w:rPr>
            </w:pPr>
            <w:r>
              <w:rPr>
                <w:rFonts w:ascii="Arial" w:hAnsi="Arial" w:cs="Arial"/>
                <w:color w:val="auto"/>
                <w:sz w:val="20"/>
                <w:szCs w:val="20"/>
              </w:rPr>
              <w:t>(26.60±17.71)</w:t>
            </w:r>
          </w:p>
        </w:tc>
        <w:tc>
          <w:tcPr>
            <w:tcW w:w="1580" w:type="dxa"/>
            <w:vMerge w:val="continue"/>
          </w:tcPr>
          <w:p>
            <w:pPr>
              <w:jc w:val="cente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restart"/>
          </w:tcPr>
          <w:p>
            <w:pPr>
              <w:jc w:val="center"/>
              <w:rPr>
                <w:rFonts w:ascii="Arial" w:hAnsi="Arial" w:cs="Arial"/>
                <w:sz w:val="20"/>
                <w:szCs w:val="20"/>
              </w:rPr>
            </w:pPr>
            <w:r>
              <w:rPr>
                <w:rFonts w:ascii="Arial" w:hAnsi="Arial" w:cs="Arial"/>
                <w:sz w:val="20"/>
                <w:szCs w:val="20"/>
              </w:rPr>
              <w:t>Disease</w:t>
            </w:r>
          </w:p>
          <w:p>
            <w:pPr>
              <w:jc w:val="center"/>
              <w:rPr>
                <w:rFonts w:ascii="Arial" w:hAnsi="Arial" w:cs="Arial"/>
                <w:sz w:val="20"/>
                <w:szCs w:val="20"/>
              </w:rPr>
            </w:pPr>
            <w:r>
              <w:rPr>
                <w:rFonts w:ascii="Arial" w:hAnsi="Arial" w:cs="Arial"/>
                <w:sz w:val="20"/>
                <w:szCs w:val="20"/>
              </w:rPr>
              <w:t>state</w:t>
            </w:r>
          </w:p>
        </w:tc>
        <w:tc>
          <w:tcPr>
            <w:tcW w:w="1792" w:type="dxa"/>
          </w:tcPr>
          <w:p>
            <w:pPr>
              <w:jc w:val="center"/>
              <w:rPr>
                <w:rFonts w:ascii="Arial" w:hAnsi="Arial" w:cs="Arial"/>
                <w:sz w:val="20"/>
                <w:szCs w:val="20"/>
              </w:rPr>
            </w:pPr>
            <w:r>
              <w:rPr>
                <w:rFonts w:ascii="Arial" w:hAnsi="Arial" w:cs="Arial"/>
                <w:sz w:val="20"/>
                <w:szCs w:val="20"/>
              </w:rPr>
              <w:t>ND</w:t>
            </w:r>
          </w:p>
        </w:tc>
        <w:tc>
          <w:tcPr>
            <w:tcW w:w="2270" w:type="dxa"/>
          </w:tcPr>
          <w:p>
            <w:pPr>
              <w:jc w:val="center"/>
              <w:rPr>
                <w:rFonts w:ascii="Arial" w:hAnsi="Arial" w:cs="Arial"/>
                <w:color w:val="auto"/>
                <w:sz w:val="20"/>
                <w:szCs w:val="20"/>
              </w:rPr>
            </w:pPr>
            <w:r>
              <w:rPr>
                <w:rFonts w:ascii="Arial" w:hAnsi="Arial" w:cs="Arial"/>
                <w:color w:val="auto"/>
                <w:sz w:val="20"/>
                <w:szCs w:val="20"/>
              </w:rPr>
              <w:t>(18.55±10.55)</w:t>
            </w:r>
          </w:p>
        </w:tc>
        <w:tc>
          <w:tcPr>
            <w:tcW w:w="1580" w:type="dxa"/>
            <w:vMerge w:val="restart"/>
          </w:tcPr>
          <w:p>
            <w:pPr>
              <w:jc w:val="center"/>
              <w:rPr>
                <w:rFonts w:ascii="Arial" w:hAnsi="Arial" w:cs="Arial"/>
                <w:sz w:val="20"/>
                <w:szCs w:val="20"/>
              </w:rPr>
            </w:pPr>
            <w:r>
              <w:rPr>
                <w:rFonts w:ascii="Arial" w:hAnsi="Arial" w:cs="Arial"/>
                <w:sz w:val="20"/>
                <w:szCs w:val="20"/>
              </w:rPr>
              <w:t>0.002</w:t>
            </w:r>
          </w:p>
          <w:p>
            <w:pPr>
              <w:jc w:val="cente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jc w:val="center"/>
              <w:rPr>
                <w:rFonts w:ascii="Arial" w:hAnsi="Arial" w:cs="Arial"/>
                <w:sz w:val="20"/>
                <w:szCs w:val="20"/>
              </w:rPr>
            </w:pPr>
          </w:p>
        </w:tc>
        <w:tc>
          <w:tcPr>
            <w:tcW w:w="1792" w:type="dxa"/>
          </w:tcPr>
          <w:p>
            <w:pPr>
              <w:jc w:val="center"/>
              <w:rPr>
                <w:rFonts w:ascii="Arial" w:hAnsi="Arial" w:cs="Arial"/>
                <w:sz w:val="20"/>
                <w:szCs w:val="20"/>
              </w:rPr>
            </w:pPr>
            <w:r>
              <w:rPr>
                <w:rFonts w:ascii="Arial" w:hAnsi="Arial" w:cs="Arial"/>
                <w:sz w:val="20"/>
                <w:szCs w:val="20"/>
              </w:rPr>
              <w:t>RR</w:t>
            </w:r>
          </w:p>
        </w:tc>
        <w:tc>
          <w:tcPr>
            <w:tcW w:w="2270" w:type="dxa"/>
          </w:tcPr>
          <w:p>
            <w:pPr>
              <w:jc w:val="center"/>
              <w:rPr>
                <w:rFonts w:hint="eastAsia" w:ascii="Arial" w:hAnsi="Arial" w:cs="Arial" w:eastAsiaTheme="minorEastAsia"/>
                <w:color w:val="auto"/>
                <w:sz w:val="20"/>
                <w:szCs w:val="20"/>
                <w:lang w:eastAsia="zh-CN"/>
              </w:rPr>
            </w:pPr>
            <w:r>
              <w:rPr>
                <w:rFonts w:hint="eastAsia" w:ascii="Arial" w:hAnsi="Arial" w:cs="Arial"/>
                <w:color w:val="auto"/>
                <w:sz w:val="20"/>
                <w:szCs w:val="20"/>
                <w:lang w:val="en-US" w:eastAsia="zh-CN"/>
              </w:rPr>
              <w:t>(</w:t>
            </w:r>
            <w:r>
              <w:rPr>
                <w:rFonts w:ascii="Arial" w:hAnsi="Arial" w:cs="Arial"/>
                <w:color w:val="auto"/>
                <w:sz w:val="20"/>
                <w:szCs w:val="20"/>
              </w:rPr>
              <w:t>33.49±19.53</w:t>
            </w:r>
            <w:r>
              <w:rPr>
                <w:rFonts w:hint="eastAsia" w:ascii="Arial" w:hAnsi="Arial" w:cs="Arial"/>
                <w:color w:val="auto"/>
                <w:sz w:val="20"/>
                <w:szCs w:val="20"/>
                <w:lang w:val="en-US" w:eastAsia="zh-CN"/>
              </w:rPr>
              <w:t>)</w:t>
            </w:r>
          </w:p>
        </w:tc>
        <w:tc>
          <w:tcPr>
            <w:tcW w:w="1580" w:type="dxa"/>
            <w:vMerge w:val="continue"/>
          </w:tcPr>
          <w:p>
            <w:pPr>
              <w:jc w:val="cente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restart"/>
          </w:tcPr>
          <w:p>
            <w:pPr>
              <w:jc w:val="center"/>
              <w:rPr>
                <w:rFonts w:ascii="Arial" w:hAnsi="Arial" w:cs="Arial"/>
                <w:sz w:val="20"/>
                <w:szCs w:val="20"/>
              </w:rPr>
            </w:pPr>
            <w:r>
              <w:rPr>
                <w:rFonts w:ascii="Arial" w:hAnsi="Arial" w:cs="Arial"/>
                <w:sz w:val="20"/>
                <w:szCs w:val="20"/>
              </w:rPr>
              <w:t>Hazard stratification</w:t>
            </w:r>
          </w:p>
        </w:tc>
        <w:tc>
          <w:tcPr>
            <w:tcW w:w="1792" w:type="dxa"/>
          </w:tcPr>
          <w:p>
            <w:pPr>
              <w:jc w:val="center"/>
              <w:rPr>
                <w:rFonts w:ascii="Arial" w:hAnsi="Arial" w:cs="Arial"/>
                <w:sz w:val="20"/>
                <w:szCs w:val="20"/>
              </w:rPr>
            </w:pPr>
            <w:r>
              <w:rPr>
                <w:rFonts w:ascii="Arial" w:hAnsi="Arial" w:cs="Arial"/>
                <w:sz w:val="20"/>
                <w:szCs w:val="20"/>
              </w:rPr>
              <w:t>Favorable</w:t>
            </w:r>
          </w:p>
        </w:tc>
        <w:tc>
          <w:tcPr>
            <w:tcW w:w="2270" w:type="dxa"/>
          </w:tcPr>
          <w:p>
            <w:pPr>
              <w:jc w:val="center"/>
              <w:rPr>
                <w:rFonts w:ascii="Arial" w:hAnsi="Arial" w:cs="Arial"/>
                <w:color w:val="auto"/>
                <w:sz w:val="20"/>
                <w:szCs w:val="20"/>
              </w:rPr>
            </w:pPr>
            <w:r>
              <w:rPr>
                <w:rFonts w:ascii="Arial" w:hAnsi="Arial" w:cs="Arial"/>
                <w:color w:val="auto"/>
                <w:sz w:val="20"/>
                <w:szCs w:val="20"/>
              </w:rPr>
              <w:t>(28.68±17.38)</w:t>
            </w:r>
          </w:p>
        </w:tc>
        <w:tc>
          <w:tcPr>
            <w:tcW w:w="1580" w:type="dxa"/>
            <w:vMerge w:val="restart"/>
          </w:tcPr>
          <w:p>
            <w:pPr>
              <w:jc w:val="center"/>
              <w:rPr>
                <w:rFonts w:ascii="Arial" w:hAnsi="Arial" w:cs="Arial"/>
                <w:sz w:val="20"/>
                <w:szCs w:val="20"/>
              </w:rPr>
            </w:pPr>
            <w:r>
              <w:rPr>
                <w:rFonts w:ascii="Arial" w:hAnsi="Arial" w:cs="Arial"/>
                <w:sz w:val="20"/>
                <w:szCs w:val="20"/>
              </w:rPr>
              <w:t>0.062</w:t>
            </w:r>
          </w:p>
          <w:p>
            <w:pPr>
              <w:jc w:val="cente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jc w:val="center"/>
              <w:rPr>
                <w:rFonts w:ascii="Arial" w:hAnsi="Arial" w:cs="Arial"/>
                <w:sz w:val="20"/>
                <w:szCs w:val="20"/>
              </w:rPr>
            </w:pPr>
          </w:p>
        </w:tc>
        <w:tc>
          <w:tcPr>
            <w:tcW w:w="179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Arial" w:hAnsi="Arial" w:cs="Arial"/>
                <w:sz w:val="20"/>
                <w:szCs w:val="20"/>
                <w:lang w:val="en-US" w:eastAsia="zh-CN"/>
              </w:rPr>
              <w:t>Intermediate</w:t>
            </w:r>
          </w:p>
        </w:tc>
        <w:tc>
          <w:tcPr>
            <w:tcW w:w="2270" w:type="dxa"/>
          </w:tcPr>
          <w:p>
            <w:pPr>
              <w:jc w:val="center"/>
              <w:rPr>
                <w:rFonts w:ascii="Arial" w:hAnsi="Arial" w:cs="Arial"/>
                <w:color w:val="auto"/>
                <w:sz w:val="20"/>
                <w:szCs w:val="20"/>
              </w:rPr>
            </w:pPr>
            <w:r>
              <w:rPr>
                <w:rFonts w:ascii="Arial" w:hAnsi="Arial" w:cs="Arial"/>
                <w:color w:val="auto"/>
                <w:sz w:val="20"/>
                <w:szCs w:val="20"/>
              </w:rPr>
              <w:t>(36.56±20.11)</w:t>
            </w:r>
          </w:p>
        </w:tc>
        <w:tc>
          <w:tcPr>
            <w:tcW w:w="1580" w:type="dxa"/>
            <w:vMerge w:val="continue"/>
          </w:tcPr>
          <w:p>
            <w:pPr>
              <w:jc w:val="cente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jc w:val="center"/>
              <w:rPr>
                <w:rFonts w:ascii="Arial" w:hAnsi="Arial" w:cs="Arial"/>
                <w:sz w:val="20"/>
                <w:szCs w:val="20"/>
              </w:rPr>
            </w:pPr>
          </w:p>
        </w:tc>
        <w:tc>
          <w:tcPr>
            <w:tcW w:w="179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Arial" w:hAnsi="Arial" w:cs="Arial"/>
                <w:sz w:val="20"/>
                <w:szCs w:val="20"/>
                <w:lang w:val="en-US" w:eastAsia="zh-CN"/>
              </w:rPr>
              <w:t>Adverse</w:t>
            </w:r>
          </w:p>
        </w:tc>
        <w:tc>
          <w:tcPr>
            <w:tcW w:w="2270" w:type="dxa"/>
          </w:tcPr>
          <w:p>
            <w:pPr>
              <w:jc w:val="center"/>
              <w:rPr>
                <w:rFonts w:ascii="Arial" w:hAnsi="Arial" w:cs="Arial"/>
                <w:color w:val="auto"/>
                <w:sz w:val="20"/>
                <w:szCs w:val="20"/>
              </w:rPr>
            </w:pPr>
            <w:r>
              <w:rPr>
                <w:rFonts w:ascii="Arial" w:hAnsi="Arial" w:cs="Arial"/>
                <w:color w:val="auto"/>
                <w:sz w:val="20"/>
                <w:szCs w:val="20"/>
              </w:rPr>
              <w:t>15.89(9.58,30.13)</w:t>
            </w:r>
          </w:p>
        </w:tc>
        <w:tc>
          <w:tcPr>
            <w:tcW w:w="1580" w:type="dxa"/>
            <w:vMerge w:val="continue"/>
          </w:tcPr>
          <w:p>
            <w:pPr>
              <w:jc w:val="cente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restart"/>
          </w:tcPr>
          <w:p>
            <w:pPr>
              <w:jc w:val="center"/>
              <w:rPr>
                <w:rFonts w:ascii="Arial" w:hAnsi="Arial" w:cs="Arial"/>
                <w:sz w:val="20"/>
                <w:szCs w:val="20"/>
              </w:rPr>
            </w:pPr>
            <w:r>
              <w:rPr>
                <w:rFonts w:ascii="Arial" w:hAnsi="Arial" w:cs="Arial"/>
                <w:sz w:val="20"/>
                <w:szCs w:val="20"/>
              </w:rPr>
              <w:t>Cytogenetics</w:t>
            </w:r>
          </w:p>
        </w:tc>
        <w:tc>
          <w:tcPr>
            <w:tcW w:w="1792" w:type="dxa"/>
          </w:tcPr>
          <w:p>
            <w:pPr>
              <w:jc w:val="center"/>
              <w:rPr>
                <w:rFonts w:ascii="Arial" w:hAnsi="Arial" w:cs="Arial"/>
                <w:sz w:val="20"/>
                <w:szCs w:val="20"/>
              </w:rPr>
            </w:pPr>
            <w:r>
              <w:rPr>
                <w:rFonts w:ascii="Arial" w:hAnsi="Arial" w:cs="Arial"/>
                <w:sz w:val="20"/>
                <w:szCs w:val="20"/>
              </w:rPr>
              <w:t>Normal</w:t>
            </w:r>
          </w:p>
        </w:tc>
        <w:tc>
          <w:tcPr>
            <w:tcW w:w="2270" w:type="dxa"/>
          </w:tcPr>
          <w:p>
            <w:pPr>
              <w:jc w:val="center"/>
              <w:rPr>
                <w:rFonts w:ascii="Arial" w:hAnsi="Arial" w:cs="Arial"/>
                <w:color w:val="auto"/>
                <w:sz w:val="20"/>
                <w:szCs w:val="20"/>
              </w:rPr>
            </w:pPr>
            <w:r>
              <w:rPr>
                <w:rFonts w:ascii="Arial" w:hAnsi="Arial" w:cs="Arial"/>
                <w:color w:val="auto"/>
                <w:sz w:val="20"/>
                <w:szCs w:val="20"/>
              </w:rPr>
              <w:t>(18.61±11.05)</w:t>
            </w:r>
          </w:p>
        </w:tc>
        <w:tc>
          <w:tcPr>
            <w:tcW w:w="1580" w:type="dxa"/>
            <w:vMerge w:val="restart"/>
          </w:tcPr>
          <w:p>
            <w:pPr>
              <w:jc w:val="center"/>
              <w:rPr>
                <w:rFonts w:ascii="Arial" w:hAnsi="Arial" w:cs="Arial"/>
                <w:sz w:val="20"/>
                <w:szCs w:val="20"/>
              </w:rPr>
            </w:pPr>
            <w:r>
              <w:rPr>
                <w:rFonts w:ascii="Arial" w:hAnsi="Arial" w:cs="Arial"/>
                <w:sz w:val="20"/>
                <w:szCs w:val="20"/>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jc w:val="center"/>
              <w:rPr>
                <w:rFonts w:ascii="Arial" w:hAnsi="Arial" w:cs="Arial"/>
                <w:sz w:val="20"/>
                <w:szCs w:val="20"/>
              </w:rPr>
            </w:pPr>
          </w:p>
        </w:tc>
        <w:tc>
          <w:tcPr>
            <w:tcW w:w="1792" w:type="dxa"/>
          </w:tcPr>
          <w:p>
            <w:pPr>
              <w:jc w:val="center"/>
              <w:rPr>
                <w:rFonts w:ascii="Arial" w:hAnsi="Arial" w:cs="Arial"/>
                <w:sz w:val="20"/>
                <w:szCs w:val="20"/>
              </w:rPr>
            </w:pPr>
            <w:r>
              <w:rPr>
                <w:rFonts w:ascii="Arial" w:hAnsi="Arial" w:cs="Arial"/>
                <w:sz w:val="20"/>
                <w:szCs w:val="20"/>
              </w:rPr>
              <w:t>Abnormal</w:t>
            </w:r>
          </w:p>
        </w:tc>
        <w:tc>
          <w:tcPr>
            <w:tcW w:w="2270" w:type="dxa"/>
          </w:tcPr>
          <w:p>
            <w:pPr>
              <w:jc w:val="center"/>
              <w:rPr>
                <w:rFonts w:ascii="Arial" w:hAnsi="Arial" w:cs="Arial"/>
                <w:color w:val="auto"/>
                <w:sz w:val="20"/>
                <w:szCs w:val="20"/>
              </w:rPr>
            </w:pPr>
            <w:r>
              <w:rPr>
                <w:rFonts w:ascii="Arial" w:hAnsi="Arial" w:cs="Arial"/>
                <w:color w:val="auto"/>
                <w:sz w:val="20"/>
                <w:szCs w:val="20"/>
              </w:rPr>
              <w:t>(31.56±16.33)</w:t>
            </w:r>
          </w:p>
        </w:tc>
        <w:tc>
          <w:tcPr>
            <w:tcW w:w="1580" w:type="dxa"/>
            <w:vMerge w:val="continue"/>
          </w:tcPr>
          <w:p>
            <w:pPr>
              <w:jc w:val="cente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restart"/>
          </w:tcPr>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r>
              <w:rPr>
                <w:rFonts w:ascii="Arial" w:hAnsi="Arial" w:cs="Arial"/>
                <w:sz w:val="20"/>
                <w:szCs w:val="20"/>
              </w:rPr>
              <w:t>Molecular</w:t>
            </w:r>
          </w:p>
        </w:tc>
        <w:tc>
          <w:tcPr>
            <w:tcW w:w="1792" w:type="dxa"/>
          </w:tcPr>
          <w:p>
            <w:pPr>
              <w:jc w:val="center"/>
              <w:rPr>
                <w:rFonts w:ascii="Arial" w:hAnsi="Arial" w:cs="Arial"/>
                <w:sz w:val="20"/>
                <w:szCs w:val="20"/>
              </w:rPr>
            </w:pPr>
            <w:r>
              <w:rPr>
                <w:rFonts w:ascii="Arial" w:hAnsi="Arial" w:cs="Arial"/>
                <w:sz w:val="20"/>
                <w:szCs w:val="20"/>
              </w:rPr>
              <w:t>Negative</w:t>
            </w:r>
          </w:p>
        </w:tc>
        <w:tc>
          <w:tcPr>
            <w:tcW w:w="2270" w:type="dxa"/>
          </w:tcPr>
          <w:p>
            <w:pPr>
              <w:jc w:val="center"/>
              <w:rPr>
                <w:rFonts w:ascii="Arial" w:hAnsi="Arial" w:cs="Arial"/>
                <w:color w:val="auto"/>
                <w:sz w:val="20"/>
                <w:szCs w:val="20"/>
              </w:rPr>
            </w:pPr>
            <w:r>
              <w:rPr>
                <w:rFonts w:ascii="Arial" w:hAnsi="Arial" w:cs="Arial"/>
                <w:color w:val="auto"/>
                <w:sz w:val="20"/>
                <w:szCs w:val="20"/>
              </w:rPr>
              <w:t>(19.97±12.18)</w:t>
            </w:r>
          </w:p>
        </w:tc>
        <w:tc>
          <w:tcPr>
            <w:tcW w:w="1580" w:type="dxa"/>
            <w:vMerge w:val="restart"/>
          </w:tcPr>
          <w:p>
            <w:pPr>
              <w:jc w:val="center"/>
              <w:rPr>
                <w:rFonts w:ascii="Arial" w:hAnsi="Arial" w:cs="Arial"/>
                <w:sz w:val="20"/>
                <w:szCs w:val="20"/>
              </w:rPr>
            </w:pPr>
            <w:r>
              <w:rPr>
                <w:rFonts w:ascii="Arial" w:hAnsi="Arial" w:cs="Arial"/>
                <w:sz w:val="20"/>
                <w:szCs w:val="20"/>
              </w:rPr>
              <w:t>0.033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jc w:val="center"/>
              <w:rPr>
                <w:rFonts w:ascii="Arial" w:hAnsi="Arial" w:cs="Arial"/>
                <w:sz w:val="20"/>
                <w:szCs w:val="20"/>
              </w:rPr>
            </w:pPr>
          </w:p>
        </w:tc>
        <w:tc>
          <w:tcPr>
            <w:tcW w:w="1792" w:type="dxa"/>
          </w:tcPr>
          <w:p>
            <w:pPr>
              <w:jc w:val="center"/>
              <w:rPr>
                <w:rFonts w:ascii="Arial" w:hAnsi="Arial" w:cs="Arial"/>
                <w:sz w:val="20"/>
                <w:szCs w:val="20"/>
              </w:rPr>
            </w:pPr>
            <w:r>
              <w:rPr>
                <w:rFonts w:ascii="Arial" w:hAnsi="Arial" w:cs="Arial"/>
                <w:sz w:val="20"/>
                <w:szCs w:val="20"/>
              </w:rPr>
              <w:t>Mutation</w:t>
            </w:r>
          </w:p>
        </w:tc>
        <w:tc>
          <w:tcPr>
            <w:tcW w:w="2270" w:type="dxa"/>
          </w:tcPr>
          <w:p>
            <w:pPr>
              <w:jc w:val="center"/>
              <w:rPr>
                <w:rFonts w:ascii="Arial" w:hAnsi="Arial" w:cs="Arial"/>
                <w:color w:val="auto"/>
                <w:sz w:val="20"/>
                <w:szCs w:val="20"/>
              </w:rPr>
            </w:pPr>
            <w:r>
              <w:rPr>
                <w:rFonts w:ascii="Arial" w:hAnsi="Arial" w:cs="Arial"/>
                <w:color w:val="auto"/>
                <w:sz w:val="20"/>
                <w:szCs w:val="20"/>
              </w:rPr>
              <w:t>27.11(15.64,46.83)</w:t>
            </w:r>
          </w:p>
        </w:tc>
        <w:tc>
          <w:tcPr>
            <w:tcW w:w="1580" w:type="dxa"/>
            <w:vMerge w:val="continue"/>
          </w:tcPr>
          <w:p>
            <w:pPr>
              <w:jc w:val="cente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rPr>
                <w:rFonts w:ascii="Arial" w:hAnsi="Arial" w:cs="Arial"/>
                <w:sz w:val="20"/>
                <w:szCs w:val="20"/>
              </w:rPr>
            </w:pPr>
          </w:p>
        </w:tc>
        <w:tc>
          <w:tcPr>
            <w:tcW w:w="1792" w:type="dxa"/>
          </w:tcPr>
          <w:p>
            <w:pPr>
              <w:jc w:val="center"/>
              <w:rPr>
                <w:rFonts w:ascii="Arial" w:hAnsi="Arial" w:cs="Arial"/>
                <w:sz w:val="20"/>
                <w:szCs w:val="20"/>
              </w:rPr>
            </w:pPr>
            <w:r>
              <w:rPr>
                <w:rFonts w:ascii="Arial" w:hAnsi="Arial" w:cs="Arial"/>
                <w:sz w:val="20"/>
                <w:szCs w:val="20"/>
              </w:rPr>
              <w:t>FLT3 mut(+)</w:t>
            </w:r>
          </w:p>
        </w:tc>
        <w:tc>
          <w:tcPr>
            <w:tcW w:w="2270" w:type="dxa"/>
          </w:tcPr>
          <w:p>
            <w:pPr>
              <w:jc w:val="center"/>
              <w:rPr>
                <w:rFonts w:ascii="Arial" w:hAnsi="Arial" w:cs="Arial"/>
                <w:color w:val="auto"/>
                <w:sz w:val="20"/>
                <w:szCs w:val="20"/>
              </w:rPr>
            </w:pPr>
            <w:r>
              <w:rPr>
                <w:rFonts w:ascii="Arial" w:hAnsi="Arial" w:cs="Arial"/>
                <w:color w:val="auto"/>
                <w:sz w:val="20"/>
                <w:szCs w:val="20"/>
              </w:rPr>
              <w:t>(43.94±15.60)</w:t>
            </w:r>
          </w:p>
        </w:tc>
        <w:tc>
          <w:tcPr>
            <w:tcW w:w="1580" w:type="dxa"/>
            <w:vMerge w:val="restart"/>
          </w:tcPr>
          <w:p>
            <w:pPr>
              <w:jc w:val="center"/>
              <w:rPr>
                <w:rFonts w:hint="eastAsia" w:ascii="Arial" w:hAnsi="Arial" w:cs="Arial" w:eastAsiaTheme="minorEastAsia"/>
                <w:sz w:val="20"/>
                <w:szCs w:val="20"/>
                <w:lang w:eastAsia="zh-CN"/>
              </w:rPr>
            </w:pPr>
            <w:r>
              <w:rPr>
                <w:rFonts w:ascii="Arial" w:hAnsi="Arial" w:cs="Arial"/>
                <w:sz w:val="20"/>
                <w:szCs w:val="20"/>
              </w:rPr>
              <w:t>0.00</w:t>
            </w:r>
            <w:r>
              <w:rPr>
                <w:rFonts w:hint="eastAsia" w:ascii="Arial" w:hAnsi="Arial" w:cs="Arial"/>
                <w:sz w:val="20"/>
                <w:szCs w:val="20"/>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rPr>
                <w:rFonts w:ascii="Arial" w:hAnsi="Arial" w:cs="Arial"/>
                <w:sz w:val="20"/>
                <w:szCs w:val="20"/>
              </w:rPr>
            </w:pPr>
          </w:p>
        </w:tc>
        <w:tc>
          <w:tcPr>
            <w:tcW w:w="1792" w:type="dxa"/>
          </w:tcPr>
          <w:p>
            <w:pPr>
              <w:jc w:val="center"/>
              <w:rPr>
                <w:rFonts w:ascii="Arial" w:hAnsi="Arial" w:cs="Arial"/>
                <w:sz w:val="20"/>
                <w:szCs w:val="20"/>
              </w:rPr>
            </w:pPr>
            <w:r>
              <w:rPr>
                <w:rFonts w:hint="eastAsia" w:ascii="Arial" w:hAnsi="Arial" w:cs="Arial"/>
                <w:sz w:val="20"/>
                <w:szCs w:val="20"/>
                <w:lang w:val="en-US" w:eastAsia="zh-CN"/>
              </w:rPr>
              <w:t>non-</w:t>
            </w:r>
            <w:r>
              <w:rPr>
                <w:rFonts w:ascii="Arial" w:hAnsi="Arial" w:cs="Arial"/>
                <w:sz w:val="20"/>
                <w:szCs w:val="20"/>
              </w:rPr>
              <w:t>FLT3</w:t>
            </w:r>
            <w:r>
              <w:rPr>
                <w:rFonts w:hint="eastAsia" w:ascii="Arial" w:hAnsi="Arial" w:cs="Arial"/>
                <w:sz w:val="20"/>
                <w:szCs w:val="20"/>
                <w:lang w:val="en-US" w:eastAsia="zh-CN"/>
              </w:rPr>
              <w:t xml:space="preserve"> mut</w:t>
            </w:r>
            <w:r>
              <w:rPr>
                <w:rFonts w:ascii="Arial" w:hAnsi="Arial" w:cs="Arial"/>
                <w:sz w:val="20"/>
                <w:szCs w:val="20"/>
              </w:rPr>
              <w:t>(</w:t>
            </w:r>
            <w:r>
              <w:rPr>
                <w:rFonts w:hint="eastAsia" w:ascii="Arial" w:hAnsi="Arial" w:cs="Arial"/>
                <w:sz w:val="20"/>
                <w:szCs w:val="20"/>
                <w:lang w:val="en-US" w:eastAsia="zh-CN"/>
              </w:rPr>
              <w:t>+</w:t>
            </w:r>
            <w:r>
              <w:rPr>
                <w:rFonts w:ascii="Arial" w:hAnsi="Arial" w:cs="Arial"/>
                <w:sz w:val="20"/>
                <w:szCs w:val="20"/>
              </w:rPr>
              <w:t>)</w:t>
            </w:r>
          </w:p>
        </w:tc>
        <w:tc>
          <w:tcPr>
            <w:tcW w:w="2270" w:type="dxa"/>
          </w:tcPr>
          <w:p>
            <w:pPr>
              <w:jc w:val="center"/>
              <w:rPr>
                <w:rFonts w:ascii="Arial" w:hAnsi="Arial" w:cs="Arial"/>
                <w:color w:val="auto"/>
                <w:sz w:val="20"/>
                <w:szCs w:val="20"/>
              </w:rPr>
            </w:pPr>
            <w:r>
              <w:rPr>
                <w:rFonts w:ascii="Arial" w:hAnsi="Arial" w:cs="Arial"/>
                <w:color w:val="auto"/>
                <w:sz w:val="20"/>
                <w:szCs w:val="20"/>
              </w:rPr>
              <w:t>1</w:t>
            </w:r>
            <w:r>
              <w:rPr>
                <w:rFonts w:hint="eastAsia" w:ascii="Arial" w:hAnsi="Arial" w:cs="Arial"/>
                <w:color w:val="auto"/>
                <w:sz w:val="20"/>
                <w:szCs w:val="20"/>
                <w:lang w:val="en-US" w:eastAsia="zh-CN"/>
              </w:rPr>
              <w:t>6.58</w:t>
            </w:r>
            <w:r>
              <w:rPr>
                <w:rFonts w:ascii="Arial" w:hAnsi="Arial" w:cs="Arial"/>
                <w:color w:val="auto"/>
                <w:sz w:val="20"/>
                <w:szCs w:val="20"/>
              </w:rPr>
              <w:t>(10.</w:t>
            </w:r>
            <w:r>
              <w:rPr>
                <w:rFonts w:hint="eastAsia" w:ascii="Arial" w:hAnsi="Arial" w:cs="Arial"/>
                <w:color w:val="auto"/>
                <w:sz w:val="20"/>
                <w:szCs w:val="20"/>
                <w:lang w:val="en-US" w:eastAsia="zh-CN"/>
              </w:rPr>
              <w:t>52</w:t>
            </w:r>
            <w:r>
              <w:rPr>
                <w:rFonts w:ascii="Arial" w:hAnsi="Arial" w:cs="Arial"/>
                <w:color w:val="auto"/>
                <w:sz w:val="20"/>
                <w:szCs w:val="20"/>
              </w:rPr>
              <w:t>,3</w:t>
            </w:r>
            <w:r>
              <w:rPr>
                <w:rFonts w:hint="eastAsia" w:ascii="Arial" w:hAnsi="Arial" w:cs="Arial"/>
                <w:color w:val="auto"/>
                <w:sz w:val="20"/>
                <w:szCs w:val="20"/>
                <w:lang w:val="en-US" w:eastAsia="zh-CN"/>
              </w:rPr>
              <w:t>1.58</w:t>
            </w:r>
            <w:r>
              <w:rPr>
                <w:rFonts w:ascii="Arial" w:hAnsi="Arial" w:cs="Arial"/>
                <w:color w:val="auto"/>
                <w:sz w:val="20"/>
                <w:szCs w:val="20"/>
              </w:rPr>
              <w:t>)</w:t>
            </w:r>
          </w:p>
        </w:tc>
        <w:tc>
          <w:tcPr>
            <w:tcW w:w="1580" w:type="dxa"/>
            <w:vMerge w:val="continue"/>
          </w:tcPr>
          <w:p>
            <w:pPr>
              <w:jc w:val="cente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rPr>
                <w:rFonts w:ascii="Arial" w:hAnsi="Arial" w:cs="Arial"/>
                <w:sz w:val="20"/>
                <w:szCs w:val="20"/>
              </w:rPr>
            </w:pPr>
          </w:p>
        </w:tc>
        <w:tc>
          <w:tcPr>
            <w:tcW w:w="1792" w:type="dxa"/>
          </w:tcPr>
          <w:p>
            <w:pPr>
              <w:jc w:val="center"/>
              <w:rPr>
                <w:rFonts w:ascii="Arial" w:hAnsi="Arial" w:cs="Arial"/>
                <w:sz w:val="20"/>
                <w:szCs w:val="20"/>
              </w:rPr>
            </w:pPr>
            <w:r>
              <w:rPr>
                <w:rFonts w:ascii="Arial" w:hAnsi="Arial" w:cs="Arial"/>
                <w:sz w:val="20"/>
                <w:szCs w:val="20"/>
              </w:rPr>
              <w:t>CEBPA</w:t>
            </w:r>
            <w:r>
              <w:rPr>
                <w:rFonts w:hint="eastAsia" w:ascii="Arial" w:hAnsi="Arial" w:cs="Arial"/>
                <w:sz w:val="20"/>
                <w:szCs w:val="20"/>
                <w:lang w:val="en-US" w:eastAsia="zh-CN"/>
              </w:rPr>
              <w:t xml:space="preserve"> </w:t>
            </w:r>
            <w:r>
              <w:rPr>
                <w:rFonts w:ascii="Arial" w:hAnsi="Arial" w:cs="Arial"/>
                <w:sz w:val="20"/>
                <w:szCs w:val="20"/>
              </w:rPr>
              <w:t>mut(+)</w:t>
            </w:r>
          </w:p>
        </w:tc>
        <w:tc>
          <w:tcPr>
            <w:tcW w:w="2270" w:type="dxa"/>
          </w:tcPr>
          <w:p>
            <w:pPr>
              <w:jc w:val="center"/>
              <w:rPr>
                <w:rFonts w:ascii="Arial" w:hAnsi="Arial" w:cs="Arial"/>
                <w:color w:val="auto"/>
                <w:sz w:val="20"/>
                <w:szCs w:val="20"/>
              </w:rPr>
            </w:pPr>
            <w:r>
              <w:rPr>
                <w:rFonts w:ascii="Arial" w:hAnsi="Arial" w:cs="Arial"/>
                <w:color w:val="auto"/>
                <w:sz w:val="20"/>
                <w:szCs w:val="20"/>
              </w:rPr>
              <w:t>(17.53±9.66)</w:t>
            </w:r>
          </w:p>
        </w:tc>
        <w:tc>
          <w:tcPr>
            <w:tcW w:w="1580" w:type="dxa"/>
          </w:tcPr>
          <w:p>
            <w:pPr>
              <w:jc w:val="center"/>
              <w:rPr>
                <w:rFonts w:ascii="Arial" w:hAnsi="Arial" w:cs="Arial"/>
                <w:sz w:val="20"/>
                <w:szCs w:val="20"/>
              </w:rPr>
            </w:pPr>
            <w:r>
              <w:rPr>
                <w:rFonts w:ascii="Arial" w:hAnsi="Arial" w:cs="Arial"/>
                <w:sz w:val="20"/>
                <w:szCs w:val="20"/>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rPr>
                <w:rFonts w:ascii="Arial" w:hAnsi="Arial" w:cs="Arial"/>
                <w:sz w:val="20"/>
                <w:szCs w:val="20"/>
              </w:rPr>
            </w:pPr>
          </w:p>
        </w:tc>
        <w:tc>
          <w:tcPr>
            <w:tcW w:w="1792" w:type="dxa"/>
          </w:tcPr>
          <w:p>
            <w:pPr>
              <w:jc w:val="center"/>
              <w:rPr>
                <w:rFonts w:ascii="Arial" w:hAnsi="Arial" w:cs="Arial"/>
                <w:sz w:val="20"/>
                <w:szCs w:val="20"/>
              </w:rPr>
            </w:pPr>
            <w:r>
              <w:rPr>
                <w:rFonts w:ascii="Arial" w:hAnsi="Arial" w:cs="Arial"/>
                <w:sz w:val="20"/>
                <w:szCs w:val="20"/>
              </w:rPr>
              <w:t>DNMT3A</w:t>
            </w:r>
            <w:r>
              <w:rPr>
                <w:rFonts w:hint="eastAsia" w:ascii="Arial" w:hAnsi="Arial" w:cs="Arial"/>
                <w:sz w:val="20"/>
                <w:szCs w:val="20"/>
                <w:lang w:val="en-US" w:eastAsia="zh-CN"/>
              </w:rPr>
              <w:t xml:space="preserve"> </w:t>
            </w:r>
            <w:r>
              <w:rPr>
                <w:rFonts w:ascii="Arial" w:hAnsi="Arial" w:cs="Arial"/>
                <w:sz w:val="20"/>
                <w:szCs w:val="20"/>
              </w:rPr>
              <w:t>mut(+)</w:t>
            </w:r>
          </w:p>
        </w:tc>
        <w:tc>
          <w:tcPr>
            <w:tcW w:w="2270" w:type="dxa"/>
          </w:tcPr>
          <w:p>
            <w:pPr>
              <w:jc w:val="center"/>
              <w:rPr>
                <w:rFonts w:ascii="Arial" w:hAnsi="Arial" w:cs="Arial"/>
                <w:color w:val="auto"/>
                <w:sz w:val="20"/>
                <w:szCs w:val="20"/>
              </w:rPr>
            </w:pPr>
            <w:r>
              <w:rPr>
                <w:rFonts w:ascii="Arial" w:hAnsi="Arial" w:cs="Arial"/>
                <w:color w:val="auto"/>
                <w:sz w:val="20"/>
                <w:szCs w:val="20"/>
              </w:rPr>
              <w:t>(19.53±10.81)</w:t>
            </w:r>
          </w:p>
        </w:tc>
        <w:tc>
          <w:tcPr>
            <w:tcW w:w="1580" w:type="dxa"/>
          </w:tcPr>
          <w:p>
            <w:pPr>
              <w:jc w:val="center"/>
              <w:rPr>
                <w:rFonts w:ascii="Arial" w:hAnsi="Arial" w:cs="Arial"/>
                <w:sz w:val="20"/>
                <w:szCs w:val="20"/>
                <w:vertAlign w:val="superscript"/>
              </w:rPr>
            </w:pPr>
            <w:r>
              <w:rPr>
                <w:rFonts w:ascii="Arial" w:hAnsi="Arial" w:cs="Arial"/>
                <w:sz w:val="20"/>
                <w:szCs w:val="20"/>
              </w:rPr>
              <w:t>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rPr>
                <w:rFonts w:ascii="Arial" w:hAnsi="Arial" w:cs="Arial"/>
                <w:sz w:val="20"/>
                <w:szCs w:val="20"/>
              </w:rPr>
            </w:pPr>
          </w:p>
        </w:tc>
        <w:tc>
          <w:tcPr>
            <w:tcW w:w="1792" w:type="dxa"/>
          </w:tcPr>
          <w:p>
            <w:pPr>
              <w:jc w:val="center"/>
              <w:rPr>
                <w:rFonts w:hint="eastAsia" w:ascii="Arial" w:hAnsi="Arial" w:cs="Arial" w:eastAsiaTheme="minorEastAsia"/>
                <w:sz w:val="20"/>
                <w:szCs w:val="20"/>
                <w:lang w:val="en-US" w:eastAsia="zh-CN"/>
              </w:rPr>
            </w:pPr>
            <w:r>
              <w:rPr>
                <w:rFonts w:ascii="Arial" w:hAnsi="Arial" w:cs="Arial"/>
                <w:sz w:val="20"/>
                <w:szCs w:val="20"/>
              </w:rPr>
              <w:t>NPM1</w:t>
            </w:r>
            <w:r>
              <w:rPr>
                <w:rFonts w:hint="eastAsia" w:ascii="Arial" w:hAnsi="Arial" w:cs="Arial"/>
                <w:sz w:val="20"/>
                <w:szCs w:val="20"/>
                <w:lang w:val="en-US" w:eastAsia="zh-CN"/>
              </w:rPr>
              <w:t xml:space="preserve"> </w:t>
            </w:r>
            <w:r>
              <w:rPr>
                <w:rFonts w:ascii="Arial" w:hAnsi="Arial" w:cs="Arial"/>
                <w:sz w:val="20"/>
                <w:szCs w:val="20"/>
              </w:rPr>
              <w:t>mut(+)</w:t>
            </w:r>
          </w:p>
        </w:tc>
        <w:tc>
          <w:tcPr>
            <w:tcW w:w="2270" w:type="dxa"/>
          </w:tcPr>
          <w:p>
            <w:pPr>
              <w:jc w:val="center"/>
              <w:rPr>
                <w:rFonts w:ascii="Arial" w:hAnsi="Arial" w:cs="Arial"/>
                <w:color w:val="auto"/>
                <w:sz w:val="20"/>
                <w:szCs w:val="20"/>
              </w:rPr>
            </w:pPr>
            <w:r>
              <w:rPr>
                <w:rFonts w:ascii="Arial" w:hAnsi="Arial" w:cs="Arial"/>
                <w:color w:val="auto"/>
                <w:sz w:val="20"/>
                <w:szCs w:val="20"/>
              </w:rPr>
              <w:t>(25.52±17.57)</w:t>
            </w:r>
          </w:p>
        </w:tc>
        <w:tc>
          <w:tcPr>
            <w:tcW w:w="1580" w:type="dxa"/>
          </w:tcPr>
          <w:p>
            <w:pPr>
              <w:jc w:val="center"/>
              <w:rPr>
                <w:rFonts w:ascii="Arial" w:hAnsi="Arial" w:cs="Arial"/>
                <w:sz w:val="20"/>
                <w:szCs w:val="20"/>
              </w:rPr>
            </w:pPr>
            <w:r>
              <w:rPr>
                <w:rFonts w:ascii="Arial" w:hAnsi="Arial" w:cs="Arial"/>
                <w:sz w:val="20"/>
                <w:szCs w:val="20"/>
              </w:rPr>
              <w:t>0.037*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vMerge w:val="continue"/>
          </w:tcPr>
          <w:p>
            <w:pPr>
              <w:rPr>
                <w:rFonts w:ascii="Arial" w:hAnsi="Arial" w:cs="Arial"/>
                <w:sz w:val="20"/>
                <w:szCs w:val="20"/>
              </w:rPr>
            </w:pPr>
          </w:p>
        </w:tc>
        <w:tc>
          <w:tcPr>
            <w:tcW w:w="1792" w:type="dxa"/>
          </w:tcPr>
          <w:p>
            <w:pPr>
              <w:jc w:val="center"/>
              <w:rPr>
                <w:rFonts w:hint="eastAsia" w:ascii="Arial" w:hAnsi="Arial" w:cs="Arial" w:eastAsiaTheme="minorEastAsia"/>
                <w:sz w:val="20"/>
                <w:szCs w:val="20"/>
                <w:lang w:val="en-US" w:eastAsia="zh-CN"/>
              </w:rPr>
            </w:pPr>
            <w:r>
              <w:rPr>
                <w:rFonts w:ascii="Arial" w:hAnsi="Arial" w:cs="Arial"/>
                <w:sz w:val="20"/>
                <w:szCs w:val="20"/>
              </w:rPr>
              <w:t>RUNX1</w:t>
            </w:r>
            <w:r>
              <w:rPr>
                <w:rFonts w:hint="eastAsia" w:ascii="Arial" w:hAnsi="Arial" w:cs="Arial"/>
                <w:sz w:val="20"/>
                <w:szCs w:val="20"/>
                <w:lang w:val="en-US" w:eastAsia="zh-CN"/>
              </w:rPr>
              <w:t xml:space="preserve"> </w:t>
            </w:r>
            <w:r>
              <w:rPr>
                <w:rFonts w:ascii="Arial" w:hAnsi="Arial" w:cs="Arial"/>
                <w:sz w:val="20"/>
                <w:szCs w:val="20"/>
              </w:rPr>
              <w:t>mut(+)</w:t>
            </w:r>
          </w:p>
        </w:tc>
        <w:tc>
          <w:tcPr>
            <w:tcW w:w="2270" w:type="dxa"/>
          </w:tcPr>
          <w:p>
            <w:pPr>
              <w:jc w:val="center"/>
              <w:rPr>
                <w:rFonts w:ascii="Arial" w:hAnsi="Arial" w:cs="Arial"/>
                <w:color w:val="auto"/>
                <w:sz w:val="20"/>
                <w:szCs w:val="20"/>
              </w:rPr>
            </w:pPr>
            <w:r>
              <w:rPr>
                <w:rFonts w:ascii="Arial" w:hAnsi="Arial" w:cs="Arial"/>
                <w:color w:val="auto"/>
                <w:sz w:val="20"/>
                <w:szCs w:val="20"/>
              </w:rPr>
              <w:t>(20.33±10.01)</w:t>
            </w:r>
          </w:p>
        </w:tc>
        <w:tc>
          <w:tcPr>
            <w:tcW w:w="1580" w:type="dxa"/>
          </w:tcPr>
          <w:p>
            <w:pPr>
              <w:jc w:val="center"/>
              <w:rPr>
                <w:rFonts w:ascii="Arial" w:hAnsi="Arial" w:cs="Arial"/>
                <w:sz w:val="20"/>
                <w:szCs w:val="20"/>
              </w:rPr>
            </w:pPr>
            <w:r>
              <w:rPr>
                <w:rFonts w:ascii="Arial" w:hAnsi="Arial" w:cs="Arial"/>
                <w:sz w:val="20"/>
                <w:szCs w:val="20"/>
              </w:rPr>
              <w:t>0.019*</w:t>
            </w:r>
          </w:p>
        </w:tc>
      </w:tr>
    </w:tbl>
    <w:p>
      <w:pPr>
        <w:tabs>
          <w:tab w:val="left" w:pos="1718"/>
        </w:tabs>
        <w:jc w:val="left"/>
        <w:rPr>
          <w:rFonts w:ascii="Times New Roman" w:hAnsi="Times New Roman" w:cs="Times New Roman"/>
        </w:rPr>
      </w:pPr>
      <w:r>
        <w:rPr>
          <w:rFonts w:ascii="Times New Roman" w:hAnsi="Times New Roman" w:cs="Times New Roman"/>
        </w:rPr>
        <w:t>Note</w:t>
      </w:r>
      <w:r>
        <w:rPr>
          <w:rFonts w:hint="eastAsia" w:ascii="Times New Roman" w:hAnsi="Times New Roman" w:cs="Times New Roman"/>
        </w:rPr>
        <w:t xml:space="preserve">. *: Were compared with FLT3-positive groups. </w:t>
      </w:r>
    </w:p>
    <w:p/>
    <w:p/>
    <w:p/>
    <w:p/>
    <w:p/>
    <w:p>
      <w:r>
        <w:drawing>
          <wp:inline distT="0" distB="0" distL="0" distR="0">
            <wp:extent cx="5282565" cy="2527300"/>
            <wp:effectExtent l="0" t="0" r="0" b="6350"/>
            <wp:docPr id="11330228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022826" name="图片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308217" cy="2539496"/>
                    </a:xfrm>
                    <a:prstGeom prst="rect">
                      <a:avLst/>
                    </a:prstGeom>
                    <a:noFill/>
                  </pic:spPr>
                </pic:pic>
              </a:graphicData>
            </a:graphic>
          </wp:inline>
        </w:drawing>
      </w:r>
    </w:p>
    <w:p>
      <w:pPr>
        <w:jc w:val="left"/>
        <w:rPr>
          <w:rFonts w:ascii="Arial" w:hAnsi="Arial" w:cs="Arial"/>
          <w:sz w:val="20"/>
          <w:szCs w:val="20"/>
        </w:rPr>
      </w:pPr>
      <w:bookmarkStart w:id="3" w:name="OLE_LINK1"/>
      <w:r>
        <w:rPr>
          <w:rFonts w:ascii="Arial" w:hAnsi="Arial" w:cs="Arial"/>
          <w:sz w:val="20"/>
          <w:szCs w:val="20"/>
        </w:rPr>
        <w:t>Figure S1. Pan-cancer analyze of SRRM2 from the GEPIA online database. The gene expression profile across all tumor samples and paired normal tissues. Each dots represent expression of mRNA levels SRRM2 were significantly up-regulated in AML patients and were much higher than normal controls, as well as in other tumors (</w:t>
      </w:r>
      <w:r>
        <w:fldChar w:fldCharType="begin"/>
      </w:r>
      <w:r>
        <w:instrText xml:space="preserve"> HYPERLINK "http://gepia.cancer-pku.cn" </w:instrText>
      </w:r>
      <w:r>
        <w:fldChar w:fldCharType="separate"/>
      </w:r>
      <w:r>
        <w:rPr>
          <w:rStyle w:val="7"/>
          <w:rFonts w:ascii="Arial" w:hAnsi="Arial" w:cs="Arial"/>
          <w:sz w:val="20"/>
          <w:szCs w:val="20"/>
        </w:rPr>
        <w:t>http://gepia.cancer-pku.cn</w:t>
      </w:r>
      <w:r>
        <w:rPr>
          <w:rStyle w:val="7"/>
          <w:rFonts w:ascii="Arial" w:hAnsi="Arial" w:cs="Arial"/>
          <w:sz w:val="20"/>
          <w:szCs w:val="20"/>
        </w:rPr>
        <w:fldChar w:fldCharType="end"/>
      </w:r>
      <w:r>
        <w:rPr>
          <w:rFonts w:ascii="Arial" w:hAnsi="Arial" w:cs="Arial"/>
          <w:sz w:val="20"/>
          <w:szCs w:val="20"/>
        </w:rPr>
        <w:t>).</w:t>
      </w:r>
    </w:p>
    <w:p>
      <w:pPr>
        <w:jc w:val="left"/>
        <w:rPr>
          <w:rFonts w:ascii="Arial" w:hAnsi="Arial" w:cs="Arial"/>
          <w:sz w:val="20"/>
          <w:szCs w:val="20"/>
        </w:rPr>
      </w:pPr>
    </w:p>
    <w:p>
      <w:pPr>
        <w:jc w:val="left"/>
        <w:rPr>
          <w:rFonts w:ascii="Arial" w:hAnsi="Arial" w:cs="Arial"/>
          <w:sz w:val="20"/>
          <w:szCs w:val="20"/>
        </w:rPr>
      </w:pPr>
    </w:p>
    <w:p>
      <w:pPr>
        <w:jc w:val="left"/>
        <w:rPr>
          <w:rFonts w:ascii="Arial" w:hAnsi="Arial" w:cs="Arial"/>
          <w:sz w:val="20"/>
          <w:szCs w:val="20"/>
        </w:rPr>
      </w:pPr>
    </w:p>
    <w:p>
      <w:pPr>
        <w:jc w:val="left"/>
        <w:rPr>
          <w:rFonts w:ascii="Arial" w:hAnsi="Arial" w:cs="Arial"/>
          <w:sz w:val="20"/>
          <w:szCs w:val="20"/>
        </w:rPr>
      </w:pPr>
    </w:p>
    <w:p>
      <w:pPr>
        <w:jc w:val="left"/>
        <w:rPr>
          <w:rFonts w:ascii="Arial" w:hAnsi="Arial" w:cs="Arial"/>
          <w:sz w:val="20"/>
          <w:szCs w:val="20"/>
        </w:rPr>
      </w:pPr>
    </w:p>
    <w:p>
      <w:pPr>
        <w:jc w:val="left"/>
        <w:rPr>
          <w:rFonts w:ascii="Arial" w:hAnsi="Arial" w:cs="Arial"/>
          <w:sz w:val="20"/>
          <w:szCs w:val="20"/>
        </w:rPr>
      </w:pPr>
    </w:p>
    <w:p>
      <w:pPr>
        <w:jc w:val="left"/>
        <w:rPr>
          <w:rFonts w:ascii="Arial" w:hAnsi="Arial" w:cs="Arial"/>
          <w:sz w:val="20"/>
          <w:szCs w:val="20"/>
        </w:rPr>
      </w:pPr>
    </w:p>
    <w:p>
      <w:pPr>
        <w:jc w:val="left"/>
        <w:rPr>
          <w:rFonts w:ascii="Arial" w:hAnsi="Arial" w:cs="Arial"/>
          <w:sz w:val="20"/>
          <w:szCs w:val="20"/>
        </w:rPr>
      </w:pPr>
    </w:p>
    <w:p>
      <w:pPr>
        <w:jc w:val="left"/>
        <w:rPr>
          <w:rFonts w:ascii="Arial" w:hAnsi="Arial" w:cs="Arial"/>
          <w:sz w:val="20"/>
          <w:szCs w:val="20"/>
        </w:rPr>
      </w:pPr>
    </w:p>
    <w:p>
      <w:pPr>
        <w:jc w:val="left"/>
        <w:rPr>
          <w:rFonts w:ascii="Arial" w:hAnsi="Arial" w:cs="Arial"/>
          <w:sz w:val="20"/>
          <w:szCs w:val="20"/>
        </w:rPr>
      </w:pPr>
    </w:p>
    <w:p>
      <w:pPr>
        <w:jc w:val="left"/>
        <w:rPr>
          <w:rFonts w:ascii="Arial" w:hAnsi="Arial" w:cs="Arial"/>
          <w:sz w:val="20"/>
          <w:szCs w:val="20"/>
        </w:rPr>
      </w:pPr>
    </w:p>
    <w:p>
      <w:pPr>
        <w:jc w:val="left"/>
        <w:rPr>
          <w:rFonts w:ascii="Arial" w:hAnsi="Arial" w:cs="Arial"/>
          <w:sz w:val="20"/>
          <w:szCs w:val="20"/>
        </w:rPr>
      </w:pPr>
    </w:p>
    <w:p>
      <w:r>
        <w:drawing>
          <wp:inline distT="0" distB="0" distL="0" distR="0">
            <wp:extent cx="5255260" cy="3218180"/>
            <wp:effectExtent l="0" t="0" r="2540" b="1270"/>
            <wp:docPr id="17802695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69523" name="图片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68148" cy="3225803"/>
                    </a:xfrm>
                    <a:prstGeom prst="rect">
                      <a:avLst/>
                    </a:prstGeom>
                    <a:noFill/>
                  </pic:spPr>
                </pic:pic>
              </a:graphicData>
            </a:graphic>
          </wp:inline>
        </w:drawing>
      </w:r>
    </w:p>
    <w:p>
      <w:pPr>
        <w:jc w:val="left"/>
        <w:rPr>
          <w:rFonts w:ascii="Arial" w:hAnsi="Arial" w:cs="Arial"/>
          <w:sz w:val="20"/>
          <w:szCs w:val="20"/>
        </w:rPr>
      </w:pPr>
      <w:bookmarkStart w:id="4" w:name="OLE_LINK2"/>
      <w:r>
        <w:rPr>
          <w:rFonts w:hint="eastAsia" w:ascii="Arial" w:hAnsi="Arial" w:cs="Arial"/>
          <w:sz w:val="20"/>
          <w:szCs w:val="20"/>
        </w:rPr>
        <w:t>Figure</w:t>
      </w:r>
      <w:r>
        <w:rPr>
          <w:rFonts w:ascii="Arial" w:hAnsi="Arial" w:cs="Arial"/>
          <w:sz w:val="20"/>
          <w:szCs w:val="20"/>
        </w:rPr>
        <w:t xml:space="preserve"> S2</w:t>
      </w:r>
      <w:r>
        <w:rPr>
          <w:rFonts w:hint="eastAsia" w:ascii="Arial" w:hAnsi="Arial" w:cs="Arial"/>
          <w:sz w:val="20"/>
          <w:szCs w:val="20"/>
        </w:rPr>
        <w:t>.</w:t>
      </w:r>
      <w:r>
        <w:rPr>
          <w:rFonts w:ascii="Arial" w:hAnsi="Arial" w:cs="Arial"/>
          <w:sz w:val="20"/>
          <w:szCs w:val="20"/>
        </w:rPr>
        <w:t xml:space="preserve"> Flow cytometry protocol employed to detect the cell membrane surface expression of SRRM2. </w:t>
      </w:r>
      <w:bookmarkEnd w:id="4"/>
      <w:r>
        <w:rPr>
          <w:rFonts w:ascii="Arial" w:hAnsi="Arial" w:cs="Arial"/>
          <w:sz w:val="20"/>
          <w:szCs w:val="20"/>
        </w:rPr>
        <w:t>First, set a gate A in the whole gate to obtain live cells; Gate I was subsequently circled according to the expression of CD3-FITC; The expression of MOCK-T was used as a baseline to determine the transfection rate of CAR-T. As shown in the image.</w:t>
      </w:r>
    </w:p>
    <w:p>
      <w:pPr>
        <w:jc w:val="left"/>
        <w:rPr>
          <w:rFonts w:ascii="Arial" w:hAnsi="Arial" w:cs="Arial"/>
          <w:sz w:val="20"/>
          <w:szCs w:val="20"/>
        </w:rPr>
      </w:pPr>
    </w:p>
    <w:p>
      <w:pPr>
        <w:jc w:val="left"/>
        <w:rPr>
          <w:rFonts w:ascii="Arial" w:hAnsi="Arial" w:cs="Arial"/>
          <w:sz w:val="20"/>
          <w:szCs w:val="20"/>
        </w:rPr>
      </w:pPr>
    </w:p>
    <w:p>
      <w:pPr>
        <w:jc w:val="left"/>
        <w:rPr>
          <w:rFonts w:ascii="Arial" w:hAnsi="Arial" w:cs="Arial"/>
          <w:sz w:val="20"/>
          <w:szCs w:val="20"/>
        </w:rPr>
      </w:pPr>
    </w:p>
    <w:p>
      <w:pPr>
        <w:jc w:val="left"/>
        <w:rPr>
          <w:rFonts w:ascii="Arial" w:hAnsi="Arial" w:cs="Arial"/>
          <w:sz w:val="20"/>
          <w:szCs w:val="20"/>
        </w:rPr>
      </w:pPr>
    </w:p>
    <w:p>
      <w:pPr>
        <w:jc w:val="left"/>
        <w:rPr>
          <w:rFonts w:ascii="Arial" w:hAnsi="Arial" w:cs="Arial"/>
          <w:sz w:val="20"/>
          <w:szCs w:val="20"/>
        </w:rPr>
      </w:pPr>
    </w:p>
    <w:p>
      <w:pPr>
        <w:jc w:val="center"/>
        <w:rPr>
          <w:rFonts w:ascii="Arial" w:hAnsi="Arial" w:cs="Arial"/>
          <w:sz w:val="20"/>
          <w:szCs w:val="20"/>
        </w:rPr>
      </w:pPr>
      <w:r>
        <w:rPr>
          <w:rFonts w:ascii="Arial" w:hAnsi="Arial" w:cs="Arial"/>
          <w:sz w:val="20"/>
          <w:szCs w:val="20"/>
        </w:rPr>
        <w:drawing>
          <wp:inline distT="0" distB="0" distL="0" distR="0">
            <wp:extent cx="2126615" cy="2683510"/>
            <wp:effectExtent l="0" t="0" r="6985" b="2540"/>
            <wp:docPr id="384747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4724"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134381" cy="2693360"/>
                    </a:xfrm>
                    <a:prstGeom prst="rect">
                      <a:avLst/>
                    </a:prstGeom>
                    <a:noFill/>
                  </pic:spPr>
                </pic:pic>
              </a:graphicData>
            </a:graphic>
          </wp:inline>
        </w:drawing>
      </w:r>
    </w:p>
    <w:bookmarkEnd w:id="3"/>
    <w:p>
      <w:pPr>
        <w:jc w:val="left"/>
        <w:rPr>
          <w:rFonts w:ascii="Arial" w:hAnsi="Arial" w:cs="Arial"/>
          <w:sz w:val="20"/>
          <w:szCs w:val="20"/>
        </w:rPr>
      </w:pPr>
      <w:r>
        <w:rPr>
          <w:rFonts w:ascii="Arial" w:hAnsi="Arial" w:cs="Arial"/>
          <w:sz w:val="20"/>
          <w:szCs w:val="20"/>
        </w:rPr>
        <w:t xml:space="preserve">Figure S3. SRRM2 expression in bone marrow and peripheral blood of the same patient. </w:t>
      </w:r>
    </w:p>
    <w:p/>
    <w:p>
      <w:pPr>
        <w:jc w:val="left"/>
        <w:rPr>
          <w:rFonts w:ascii="Arial" w:hAnsi="Arial" w:cs="Arial"/>
          <w:sz w:val="20"/>
          <w:szCs w:val="20"/>
        </w:rPr>
      </w:pPr>
    </w:p>
    <w:p>
      <w:pPr>
        <w:jc w:val="left"/>
        <w:rPr>
          <w:rFonts w:ascii="Arial" w:hAnsi="Arial" w:cs="Arial"/>
          <w:sz w:val="20"/>
          <w:szCs w:val="20"/>
        </w:rPr>
      </w:pPr>
    </w:p>
    <w:p>
      <w:r>
        <w:drawing>
          <wp:inline distT="0" distB="0" distL="114300" distR="114300">
            <wp:extent cx="5266055" cy="3086735"/>
            <wp:effectExtent l="0" t="0" r="1270" b="8890"/>
            <wp:docPr id="4" name="图片 4" descr="1.0-20231030- supplement figur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0-20231030- supplement figure_02"/>
                    <pic:cNvPicPr>
                      <a:picLocks noChangeAspect="1"/>
                    </pic:cNvPicPr>
                  </pic:nvPicPr>
                  <pic:blipFill>
                    <a:blip r:embed="rId7"/>
                    <a:stretch>
                      <a:fillRect/>
                    </a:stretch>
                  </pic:blipFill>
                  <pic:spPr>
                    <a:xfrm>
                      <a:off x="0" y="0"/>
                      <a:ext cx="5266055" cy="3086735"/>
                    </a:xfrm>
                    <a:prstGeom prst="rect">
                      <a:avLst/>
                    </a:prstGeom>
                  </pic:spPr>
                </pic:pic>
              </a:graphicData>
            </a:graphic>
          </wp:inline>
        </w:drawing>
      </w:r>
    </w:p>
    <w:p>
      <w:pPr>
        <w:jc w:val="left"/>
        <w:rPr>
          <w:rFonts w:ascii="Arial" w:hAnsi="Arial" w:cs="Arial"/>
          <w:sz w:val="20"/>
          <w:szCs w:val="20"/>
        </w:rPr>
      </w:pPr>
      <w:r>
        <w:rPr>
          <w:rFonts w:hint="eastAsia" w:ascii="Arial" w:hAnsi="Arial" w:cs="Arial"/>
          <w:sz w:val="20"/>
          <w:szCs w:val="20"/>
        </w:rPr>
        <w:t>Figure</w:t>
      </w:r>
      <w:r>
        <w:rPr>
          <w:rFonts w:ascii="Arial" w:hAnsi="Arial" w:cs="Arial"/>
          <w:sz w:val="20"/>
          <w:szCs w:val="20"/>
        </w:rPr>
        <w:t xml:space="preserve"> S4</w:t>
      </w:r>
      <w:r>
        <w:rPr>
          <w:rFonts w:hint="eastAsia" w:ascii="Arial" w:hAnsi="Arial" w:cs="Arial"/>
          <w:sz w:val="20"/>
          <w:szCs w:val="20"/>
        </w:rPr>
        <w:t>.</w:t>
      </w:r>
      <w:r>
        <w:rPr>
          <w:rFonts w:ascii="Arial" w:hAnsi="Arial" w:cs="Arial"/>
          <w:sz w:val="20"/>
          <w:szCs w:val="20"/>
        </w:rPr>
        <w:t xml:space="preserve"> Flow cytometry protocol employed to detect</w:t>
      </w:r>
      <w:r>
        <w:t xml:space="preserve"> </w:t>
      </w:r>
      <w:r>
        <w:rPr>
          <w:rFonts w:ascii="Arial" w:hAnsi="Arial" w:cs="Arial"/>
          <w:sz w:val="20"/>
          <w:szCs w:val="20"/>
        </w:rPr>
        <w:t xml:space="preserve">the transduction efficiency of T cells with SRRM2-CAR </w:t>
      </w:r>
      <w:bookmarkStart w:id="5" w:name="OLE_LINK3"/>
      <w:r>
        <w:rPr>
          <w:rFonts w:ascii="Arial" w:hAnsi="Arial" w:cs="Arial"/>
          <w:sz w:val="20"/>
          <w:szCs w:val="20"/>
        </w:rPr>
        <w:t>lentivirus</w:t>
      </w:r>
      <w:bookmarkEnd w:id="5"/>
      <w:r>
        <w:rPr>
          <w:rFonts w:ascii="Arial" w:hAnsi="Arial" w:cs="Arial"/>
          <w:sz w:val="20"/>
          <w:szCs w:val="20"/>
        </w:rPr>
        <w:t>. First, set up a P1 gate in the whole gate according to FSC and SSC, thereby removing cell debris that is not completely dissolved in the test sample; Then lymph (P4), mononuclear (P5), granules (P6) and tumor blasts (P3) were distinguished according to CD45-PC7/SSC in the P2 gate. Finally, the expression of SRRM2 in different cell populations was obtained using the isotype control (ISO) as the baseline.</w:t>
      </w:r>
    </w:p>
    <w:p>
      <w:pPr>
        <w:rPr>
          <w:sz w:val="20"/>
          <w:szCs w:val="2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iMjEyNWI0OWI5YjAwNGIzM2EwOTMzYzA3YWIwZDMifQ=="/>
  </w:docVars>
  <w:rsids>
    <w:rsidRoot w:val="0066634D"/>
    <w:rsid w:val="00057A8F"/>
    <w:rsid w:val="001E25A2"/>
    <w:rsid w:val="002132DC"/>
    <w:rsid w:val="002B0BF3"/>
    <w:rsid w:val="003B07DE"/>
    <w:rsid w:val="003F1388"/>
    <w:rsid w:val="004F0183"/>
    <w:rsid w:val="0052503B"/>
    <w:rsid w:val="0053212C"/>
    <w:rsid w:val="005E6762"/>
    <w:rsid w:val="0066634D"/>
    <w:rsid w:val="00685A27"/>
    <w:rsid w:val="006E67BC"/>
    <w:rsid w:val="0084765C"/>
    <w:rsid w:val="008F722E"/>
    <w:rsid w:val="00967EB4"/>
    <w:rsid w:val="00A555F4"/>
    <w:rsid w:val="00A744DA"/>
    <w:rsid w:val="00AD5196"/>
    <w:rsid w:val="00C047A8"/>
    <w:rsid w:val="00DE2942"/>
    <w:rsid w:val="00E254F0"/>
    <w:rsid w:val="00E53C34"/>
    <w:rsid w:val="00EB0168"/>
    <w:rsid w:val="00F247D8"/>
    <w:rsid w:val="00FA38D6"/>
    <w:rsid w:val="041A376A"/>
    <w:rsid w:val="15651870"/>
    <w:rsid w:val="25E73773"/>
    <w:rsid w:val="47CD0D99"/>
    <w:rsid w:val="51F1673D"/>
    <w:rsid w:val="552F6E85"/>
    <w:rsid w:val="634E0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nhideWhenUsed/>
    <w:qFormat/>
    <w:uiPriority w:val="99"/>
    <w:rPr>
      <w:color w:val="0000FF"/>
      <w:u w:val="single"/>
    </w:rPr>
  </w:style>
  <w:style w:type="character" w:customStyle="1" w:styleId="8">
    <w:name w:val="页眉 字符"/>
    <w:basedOn w:val="6"/>
    <w:link w:val="3"/>
    <w:uiPriority w:val="0"/>
    <w:rPr>
      <w:kern w:val="2"/>
      <w:sz w:val="18"/>
      <w:szCs w:val="18"/>
    </w:rPr>
  </w:style>
  <w:style w:type="character" w:customStyle="1" w:styleId="9">
    <w:name w:val="页脚 字符"/>
    <w:basedOn w:val="6"/>
    <w:link w:val="2"/>
    <w:qFormat/>
    <w:uiPriority w:val="0"/>
    <w:rPr>
      <w:kern w:val="2"/>
      <w:sz w:val="18"/>
      <w:szCs w:val="18"/>
    </w:rPr>
  </w:style>
  <w:style w:type="character" w:customStyle="1" w:styleId="10">
    <w:name w:val="未处理的提及1"/>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tiff"/><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590</Words>
  <Characters>3365</Characters>
  <Lines>28</Lines>
  <Paragraphs>7</Paragraphs>
  <TotalTime>0</TotalTime>
  <ScaleCrop>false</ScaleCrop>
  <LinksUpToDate>false</LinksUpToDate>
  <CharactersWithSpaces>3948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2023-10-30T14:50:00Z</dcterms:created>
  <dc:creator>91633</dc:creator>
  <cp:lastModifiedBy>张婉秋</cp:lastModifiedBy>
  <dcterms:modified xsi:type="dcterms:W3CDTF">2023-11-01T16:42:37Z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8827536C0A8F4B8088201F2C934EC99B_12</vt:lpwstr>
  </property>
</Properties>
</file>