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4079A" w14:textId="77777777" w:rsidR="00620715" w:rsidRPr="00631634" w:rsidRDefault="00620715" w:rsidP="00620715">
      <w:pPr>
        <w:jc w:val="center"/>
        <w:rPr>
          <w:rStyle w:val="Titre1Car"/>
          <w:rFonts w:ascii="Times New Roman" w:hAnsi="Times New Roman" w:cs="Times New Roman"/>
          <w:i/>
          <w:iCs/>
          <w:color w:val="000000" w:themeColor="text1"/>
          <w:lang w:val="en-US"/>
        </w:rPr>
      </w:pPr>
      <w:r w:rsidRPr="00631634">
        <w:rPr>
          <w:rStyle w:val="Titre1Car"/>
          <w:rFonts w:ascii="Times New Roman" w:hAnsi="Times New Roman" w:cs="Times New Roman"/>
          <w:color w:val="000000" w:themeColor="text1"/>
          <w:lang w:val="en-US"/>
        </w:rPr>
        <w:t>LATER INITIATION OF ECMO IS ASSOCIATED WITH INTRACRANIAL HEMORRHAGE IN COVID-19 PATIENTS</w:t>
      </w:r>
    </w:p>
    <w:p w14:paraId="62244F92" w14:textId="77777777" w:rsidR="00620715" w:rsidRPr="00631634" w:rsidRDefault="00620715" w:rsidP="00620715">
      <w:pPr>
        <w:pStyle w:val="Corpsdetexte"/>
        <w:spacing w:before="0" w:line="480" w:lineRule="auto"/>
        <w:ind w:right="899"/>
      </w:pPr>
    </w:p>
    <w:p w14:paraId="0612B7BE" w14:textId="77777777" w:rsidR="00620715" w:rsidRDefault="00620715" w:rsidP="0040746B">
      <w:pPr>
        <w:spacing w:line="480" w:lineRule="auto"/>
        <w:rPr>
          <w:lang w:val="en-US"/>
        </w:rPr>
      </w:pPr>
    </w:p>
    <w:p w14:paraId="0EF301F8" w14:textId="77777777" w:rsidR="0040746B" w:rsidRPr="00B21A5D" w:rsidRDefault="0040746B" w:rsidP="0040746B">
      <w:pPr>
        <w:spacing w:line="480" w:lineRule="auto"/>
        <w:rPr>
          <w:b/>
          <w:bCs/>
          <w:lang w:val="en-US"/>
        </w:rPr>
      </w:pPr>
      <w:r w:rsidRPr="00B21A5D">
        <w:rPr>
          <w:b/>
          <w:bCs/>
          <w:lang w:val="en-US"/>
        </w:rPr>
        <w:t>Patients with intracranial hemorrhage</w:t>
      </w:r>
    </w:p>
    <w:p w14:paraId="1B9F48F5" w14:textId="77777777" w:rsidR="0040746B" w:rsidRPr="0014786B" w:rsidRDefault="0040746B" w:rsidP="0040746B">
      <w:pPr>
        <w:spacing w:after="120" w:line="480" w:lineRule="auto"/>
        <w:jc w:val="both"/>
        <w:rPr>
          <w:lang w:val="en-US"/>
        </w:rPr>
      </w:pPr>
      <w:r w:rsidRPr="0014786B">
        <w:rPr>
          <w:lang w:val="en-US"/>
        </w:rPr>
        <w:t xml:space="preserve">Imaging data regarding patients with intracranial hemorrhage is displayed in Figure 2. </w:t>
      </w:r>
    </w:p>
    <w:p w14:paraId="48BEABE1" w14:textId="562A7B0C" w:rsidR="0040746B" w:rsidRPr="0014786B" w:rsidRDefault="0040746B" w:rsidP="0040746B">
      <w:pPr>
        <w:spacing w:after="120" w:line="480" w:lineRule="auto"/>
        <w:jc w:val="both"/>
        <w:rPr>
          <w:lang w:val="en-US"/>
        </w:rPr>
      </w:pPr>
      <w:r w:rsidRPr="0014786B">
        <w:rPr>
          <w:u w:val="single"/>
          <w:lang w:val="en-US"/>
        </w:rPr>
        <w:t>Patient 1</w:t>
      </w:r>
      <w:r w:rsidRPr="0014786B">
        <w:rPr>
          <w:lang w:val="en-US"/>
        </w:rPr>
        <w:t>: This</w:t>
      </w:r>
      <w:r w:rsidR="004D26B4">
        <w:rPr>
          <w:lang w:val="en-US"/>
        </w:rPr>
        <w:t xml:space="preserve"> was a</w:t>
      </w:r>
      <w:r w:rsidRPr="0014786B">
        <w:rPr>
          <w:lang w:val="en-US"/>
        </w:rPr>
        <w:t xml:space="preserve"> </w:t>
      </w:r>
      <w:r w:rsidR="004D26B4">
        <w:rPr>
          <w:lang w:val="en-US"/>
        </w:rPr>
        <w:t xml:space="preserve">patient </w:t>
      </w:r>
      <w:r w:rsidRPr="0014786B">
        <w:rPr>
          <w:lang w:val="en-US"/>
        </w:rPr>
        <w:t>suffering from obesity and hypertension. RT-PCR confirmed SARS-CoV-2 infection upon his admission to the ICU one week after respiratory symptom onset. ECMO was initiated 24 days after symptoms onset. Nine days after ECMO initiation, the patient presented mydriasis of the right eye. The CT scanner revealed a 60 mm intraparenchymal hemorrhage developed in the right frontal lobe, extending to the corpus callosum. The hematoma was multiloculated. Intraventricular hemorrhage could be observed in the homolateral lateral ventricle. Discrete subarachnoid hemorrhage was present. Patient was treated with osmotherapy, anticoagulation was interrupted, and patient was decannulated, leading to death.</w:t>
      </w:r>
    </w:p>
    <w:p w14:paraId="55D4BE83" w14:textId="5916AE53" w:rsidR="0040746B" w:rsidRPr="0014786B" w:rsidRDefault="0040746B" w:rsidP="0040746B">
      <w:pPr>
        <w:spacing w:after="120" w:line="480" w:lineRule="auto"/>
        <w:jc w:val="both"/>
        <w:rPr>
          <w:lang w:val="en-US"/>
        </w:rPr>
      </w:pPr>
      <w:r w:rsidRPr="0014786B">
        <w:rPr>
          <w:u w:val="single"/>
          <w:lang w:val="en-US"/>
        </w:rPr>
        <w:t>Patient 2</w:t>
      </w:r>
      <w:r w:rsidRPr="0014786B">
        <w:rPr>
          <w:lang w:val="en-US"/>
        </w:rPr>
        <w:t>: This was a patient with no known medical history admitted in the ICU for RT-PCR confirmed SARS-CoV-2 17 days after respiratory symptoms onset. ECMO therapy was started 17 days after ICU admission. Two days after ECMO initiation, the patient developed bilateral mydriasis. The CT scan revealed a 32 mm intraparenchymal hemorrhage developed in the left frontal and parietal lobes, associated with a diffuse subarachnoid hemorrhage, predominating in the left hemisphere. Subarachnoid hemorrhage was visible in the basal cisterns. The left Sylvian artery could be identified as a hypodensity among the subarachnoid blood on non-contrast CT. It was decided not to pursue treatments in this patient.</w:t>
      </w:r>
    </w:p>
    <w:p w14:paraId="5D9D9762" w14:textId="38DEDED0" w:rsidR="0040746B" w:rsidRPr="0014786B" w:rsidRDefault="0040746B" w:rsidP="0040746B">
      <w:pPr>
        <w:spacing w:after="120" w:line="480" w:lineRule="auto"/>
        <w:jc w:val="both"/>
        <w:rPr>
          <w:lang w:val="en-US"/>
        </w:rPr>
      </w:pPr>
      <w:r w:rsidRPr="0014786B">
        <w:rPr>
          <w:u w:val="single"/>
          <w:lang w:val="en-US"/>
        </w:rPr>
        <w:t>Patient 3</w:t>
      </w:r>
      <w:r w:rsidRPr="0014786B">
        <w:rPr>
          <w:lang w:val="en-US"/>
        </w:rPr>
        <w:t xml:space="preserve">: This </w:t>
      </w:r>
      <w:r w:rsidR="004D26B4">
        <w:rPr>
          <w:lang w:val="en-US"/>
        </w:rPr>
        <w:t xml:space="preserve">was a </w:t>
      </w:r>
      <w:r w:rsidRPr="0014786B">
        <w:rPr>
          <w:lang w:val="en-US"/>
        </w:rPr>
        <w:t>patient with a medical history of chronic bronchitis and hypertension. The patient was transferred to the ICU one week after diagnosis of RT-PCR confirmed SARS-CoV-</w:t>
      </w:r>
      <w:r w:rsidRPr="0014786B">
        <w:rPr>
          <w:lang w:val="en-US"/>
        </w:rPr>
        <w:lastRenderedPageBreak/>
        <w:t>2 infection. One week after ICU admission, ECMO was initiated in the context of an ARDS complicating ventilator-associated pneumonia. ICU stay was marked with severe epistaxis necessitating transfusion of 10 red blood cells unit. Fifty days after ECMO initiation, anisocoria was observed. The CT scan showed a right sulcal subarachnoid hemorrhage. It was decided to maintain anticoagulation at a lower dose. Multiple organ failure developed, and it was decided in regard to the overall severity to withhold invasive treatments. The patient died 1 day after the diagnosis of sulcal subarachnoid hemorrhage.</w:t>
      </w:r>
    </w:p>
    <w:p w14:paraId="01C564BF" w14:textId="3B025E0F" w:rsidR="0040746B" w:rsidRPr="0014786B" w:rsidRDefault="0040746B" w:rsidP="0040746B">
      <w:pPr>
        <w:spacing w:after="120" w:line="480" w:lineRule="auto"/>
        <w:jc w:val="both"/>
        <w:rPr>
          <w:lang w:val="en-US"/>
        </w:rPr>
      </w:pPr>
      <w:r w:rsidRPr="0014786B">
        <w:rPr>
          <w:u w:val="single"/>
          <w:lang w:val="en-US"/>
        </w:rPr>
        <w:t>Patient 4</w:t>
      </w:r>
      <w:r w:rsidRPr="0014786B">
        <w:rPr>
          <w:lang w:val="en-US"/>
        </w:rPr>
        <w:t xml:space="preserve">: This patient </w:t>
      </w:r>
      <w:r w:rsidR="004D26B4">
        <w:rPr>
          <w:lang w:val="en-US"/>
        </w:rPr>
        <w:t xml:space="preserve">was </w:t>
      </w:r>
      <w:r w:rsidRPr="0014786B">
        <w:rPr>
          <w:lang w:val="en-US"/>
        </w:rPr>
        <w:t xml:space="preserve">transferred to the ICU for severe RT-PCR confirmed SARS-CoV-2 infection. Mechanical ventilation was complicated with cardiac arrest with the return of spontaneous circulation (ROSC) after one minute of low flow. ECMO was started after ROSC. A second hypoxic cardiac occurred 20 days after cannulation with ROSC after 30 minutes of low flow. Forty-nine days after ECMO initiation, the patient presented mydriasis of the left eye. The CT scan revealed a 65 mm left frontoparietal hematoma associated with diffuse subarachnoid hemorrhage and </w:t>
      </w:r>
      <w:proofErr w:type="spellStart"/>
      <w:r w:rsidRPr="0014786B">
        <w:rPr>
          <w:lang w:val="en-US"/>
        </w:rPr>
        <w:t>panventricular</w:t>
      </w:r>
      <w:proofErr w:type="spellEnd"/>
      <w:r w:rsidRPr="0014786B">
        <w:rPr>
          <w:lang w:val="en-US"/>
        </w:rPr>
        <w:t xml:space="preserve"> hemorrhage. It was decided to withhold invasive treatments in this patient who also presented multiple organ failure.</w:t>
      </w:r>
    </w:p>
    <w:p w14:paraId="0CB69435" w14:textId="36BF4D7B" w:rsidR="0040746B" w:rsidRPr="0014786B" w:rsidRDefault="0040746B" w:rsidP="0040746B">
      <w:pPr>
        <w:spacing w:after="120" w:line="480" w:lineRule="auto"/>
        <w:jc w:val="both"/>
        <w:rPr>
          <w:lang w:val="en-US"/>
        </w:rPr>
      </w:pPr>
      <w:r w:rsidRPr="0014786B">
        <w:rPr>
          <w:u w:val="single"/>
          <w:lang w:val="en-US"/>
        </w:rPr>
        <w:t>Patient 5</w:t>
      </w:r>
      <w:r w:rsidRPr="0014786B">
        <w:rPr>
          <w:lang w:val="en-US"/>
        </w:rPr>
        <w:t>: This was a patient with a medical history of hypertension and obesity admitted in the ICU for severe RT-PCR confirmed SARS-CoV-2 infection 10 days after symptom onset. Six days after ICU admission, ECMO was started. One day after ECMO initiation, anisocoria followed by bilateral reactive mydriasis was observed. The CT scan showed a 75 mm right temporoparietal multi-compartmentalized intraparenchymal hematoma with fluid-fluid levels. This was associated with locoregional subarachnoid hemorrhage and a millimetric acute subdural hematoma. Nasal fossa hematoma could be observed. One day after the diagnosis of intracranial hemorrhage, the patient presented clinical signs of brain death. The patient was decannulated.</w:t>
      </w:r>
    </w:p>
    <w:p w14:paraId="53607E29" w14:textId="640C4485" w:rsidR="0040746B" w:rsidRPr="0014786B" w:rsidRDefault="0040746B" w:rsidP="0040746B">
      <w:pPr>
        <w:spacing w:after="120" w:line="480" w:lineRule="auto"/>
        <w:jc w:val="both"/>
        <w:rPr>
          <w:lang w:val="en-US"/>
        </w:rPr>
      </w:pPr>
      <w:r w:rsidRPr="0014786B">
        <w:rPr>
          <w:u w:val="single"/>
          <w:lang w:val="en-US"/>
        </w:rPr>
        <w:lastRenderedPageBreak/>
        <w:t>Patient 6</w:t>
      </w:r>
      <w:r w:rsidRPr="0014786B">
        <w:rPr>
          <w:lang w:val="en-US"/>
        </w:rPr>
        <w:t>: This patient was admitted to the ICU for a very probable SARS-CoV-2 pneumonia (RT-PCR uncertain, chest CT showing interstitial lung disease compatible with SARS-CoV-2) 10 days after symptom onset. ECMO was started 12 days after ICU admission. One day after ECMO initiation, the patient presented mydriasis of the left eye. The CT scan revealed a 52 mm left-sided multi-compartmentalized parietal intraparenchymal hemorrhage with fluid-fluid levels. There was diffuse subarachnoid hemorrhage with visualization of the left Sylvian artery amongst the clot on non-contrast CT. Multiple hypodensities compatible with ancient ischemia were observed. Nasal fossa hematoma could be observed. It was decided not to perform surgery, and the neurological state continued to worsen until the patient developed bilateral mydriasis and backflow on transcranial Doppler. Any invasive treatments were withheld. The patient died three days after the diagnosis of intracranial hemorrhage.</w:t>
      </w:r>
    </w:p>
    <w:p w14:paraId="37D4D19D" w14:textId="45AD7E2E" w:rsidR="0040746B" w:rsidRPr="0014786B" w:rsidRDefault="0040746B" w:rsidP="0040746B">
      <w:pPr>
        <w:spacing w:after="120" w:line="480" w:lineRule="auto"/>
        <w:jc w:val="both"/>
        <w:rPr>
          <w:lang w:val="en-US"/>
        </w:rPr>
      </w:pPr>
      <w:r w:rsidRPr="0014786B">
        <w:rPr>
          <w:u w:val="single"/>
          <w:lang w:val="en-US"/>
        </w:rPr>
        <w:t>Patient 7</w:t>
      </w:r>
      <w:r w:rsidRPr="0014786B">
        <w:rPr>
          <w:lang w:val="en-US"/>
        </w:rPr>
        <w:t>: This patient with a medical history of hypertension and type 2 diabetes was admitted to the ICU for severe RT-PCR confirmed SARS-CoV-2 infection 7 days after symptom onset. Five days after ICU admission ECMO was started. One day after ECMO initiation, contemporaneous with major hypercapnia (PaCO</w:t>
      </w:r>
      <w:r w:rsidRPr="0014786B">
        <w:rPr>
          <w:vertAlign w:val="subscript"/>
          <w:lang w:val="en-US"/>
        </w:rPr>
        <w:t>2 </w:t>
      </w:r>
      <w:r w:rsidRPr="0014786B">
        <w:rPr>
          <w:lang w:val="en-US"/>
        </w:rPr>
        <w:t>= 100 mmHg), bilateral mydriasis was observed as well as backflow on transcranial Doppler. The CT scan revealed a 70mm left temporoparietal multi-compartmentalized intraparenchymal hemorrhage with fluid-fluid levels. There was diffuse subarachnoid hemorrhage predominating in the left hemisphere associated with diffuse cerebral edema. A small right cerebellar hematoma could be observed. Nasal fossa hematoma could be observed. The patient quickly evolved towards brain death.</w:t>
      </w:r>
    </w:p>
    <w:p w14:paraId="7A7A3FB6" w14:textId="2BCE78B6" w:rsidR="0040746B" w:rsidRPr="0014786B" w:rsidRDefault="0040746B" w:rsidP="0040746B">
      <w:pPr>
        <w:spacing w:line="480" w:lineRule="auto"/>
        <w:jc w:val="both"/>
        <w:rPr>
          <w:lang w:val="en-US"/>
        </w:rPr>
      </w:pPr>
      <w:r w:rsidRPr="0014786B">
        <w:rPr>
          <w:u w:val="single"/>
          <w:lang w:val="en-US"/>
        </w:rPr>
        <w:t>Patient 8</w:t>
      </w:r>
      <w:r w:rsidRPr="0014786B">
        <w:rPr>
          <w:lang w:val="en-US"/>
        </w:rPr>
        <w:t xml:space="preserve">: This patient with a medical history of hypertension and type 2 diabetes admitted in the ICU for severe RT-PCR confirmed SARS-CoV2-infection 11 days after symptoms onset. ECMO treatment was started 3 days after ICU admission. A CT scan was performed 3 days after ECMO initiation in the context of diffuse bleeding (epistaxis, melaena, hemothorax associated with circulatory dysfunction). The patient did not present new neurological signs. A </w:t>
      </w:r>
      <w:r w:rsidRPr="0014786B">
        <w:rPr>
          <w:lang w:val="en-US"/>
        </w:rPr>
        <w:lastRenderedPageBreak/>
        <w:t>25 mm right parietooccipital hematoma was observed. It was associated with subarachnoid hemorrhage at the vertex. Nasal fossa hematoma could be observed. Due to the persistence of hemorrhagic events, ECMO was discontinued 26 days after initiation. The patient made a progressive recovery and was transferred to rehabilitation 44 days after ECMO initiation.</w:t>
      </w:r>
    </w:p>
    <w:p w14:paraId="3EEB147D" w14:textId="77777777" w:rsidR="0040746B" w:rsidRPr="0014786B" w:rsidRDefault="0040746B" w:rsidP="0040746B">
      <w:pPr>
        <w:spacing w:line="480" w:lineRule="auto"/>
        <w:jc w:val="both"/>
        <w:rPr>
          <w:lang w:val="en-US"/>
        </w:rPr>
      </w:pPr>
    </w:p>
    <w:p w14:paraId="0DF1F14F" w14:textId="77777777" w:rsidR="00B664B5" w:rsidRPr="0040746B" w:rsidRDefault="00391053">
      <w:pPr>
        <w:rPr>
          <w:lang w:val="en-US"/>
        </w:rPr>
      </w:pPr>
    </w:p>
    <w:sectPr w:rsidR="00B664B5" w:rsidRPr="0040746B" w:rsidSect="00B7385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46B"/>
    <w:rsid w:val="00391053"/>
    <w:rsid w:val="0040746B"/>
    <w:rsid w:val="004D26B4"/>
    <w:rsid w:val="00620715"/>
    <w:rsid w:val="00631634"/>
    <w:rsid w:val="007A3CE3"/>
    <w:rsid w:val="00870824"/>
    <w:rsid w:val="00B23B93"/>
    <w:rsid w:val="00E13A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A7952B4"/>
  <w15:chartTrackingRefBased/>
  <w15:docId w15:val="{ABDF18FB-C280-DE46-A403-EF9972C6B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46B"/>
    <w:rPr>
      <w:rFonts w:ascii="Times New Roman" w:eastAsia="Times New Roman" w:hAnsi="Times New Roman" w:cs="Times New Roman"/>
      <w:lang w:eastAsia="fr-FR"/>
    </w:rPr>
  </w:style>
  <w:style w:type="paragraph" w:styleId="Titre1">
    <w:name w:val="heading 1"/>
    <w:basedOn w:val="Normal"/>
    <w:next w:val="Normal"/>
    <w:link w:val="Titre1Car"/>
    <w:uiPriority w:val="9"/>
    <w:qFormat/>
    <w:rsid w:val="00620715"/>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20715"/>
    <w:rPr>
      <w:rFonts w:asciiTheme="majorHAnsi" w:eastAsiaTheme="majorEastAsia" w:hAnsiTheme="majorHAnsi" w:cstheme="majorBidi"/>
      <w:b/>
      <w:bCs/>
      <w:color w:val="2D4F8E" w:themeColor="accent1" w:themeShade="B5"/>
      <w:sz w:val="32"/>
      <w:szCs w:val="32"/>
      <w:lang w:eastAsia="fr-FR"/>
    </w:rPr>
  </w:style>
  <w:style w:type="paragraph" w:styleId="Corpsdetexte">
    <w:name w:val="Body Text"/>
    <w:basedOn w:val="Normal"/>
    <w:link w:val="CorpsdetexteCar"/>
    <w:uiPriority w:val="1"/>
    <w:qFormat/>
    <w:rsid w:val="00620715"/>
    <w:pPr>
      <w:widowControl w:val="0"/>
      <w:autoSpaceDE w:val="0"/>
      <w:autoSpaceDN w:val="0"/>
      <w:spacing w:before="90"/>
    </w:pPr>
    <w:rPr>
      <w:lang w:val="en-US" w:eastAsia="en-US"/>
    </w:rPr>
  </w:style>
  <w:style w:type="character" w:customStyle="1" w:styleId="CorpsdetexteCar">
    <w:name w:val="Corps de texte Car"/>
    <w:basedOn w:val="Policepardfaut"/>
    <w:link w:val="Corpsdetexte"/>
    <w:uiPriority w:val="1"/>
    <w:rsid w:val="00620715"/>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992</Words>
  <Characters>5461</Characters>
  <Application>Microsoft Office Word</Application>
  <DocSecurity>0</DocSecurity>
  <Lines>45</Lines>
  <Paragraphs>12</Paragraphs>
  <ScaleCrop>false</ScaleCrop>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lebbe</dc:creator>
  <cp:keywords/>
  <dc:description/>
  <cp:lastModifiedBy>Président CNJC</cp:lastModifiedBy>
  <cp:revision>5</cp:revision>
  <dcterms:created xsi:type="dcterms:W3CDTF">2021-08-17T08:02:00Z</dcterms:created>
  <dcterms:modified xsi:type="dcterms:W3CDTF">2023-04-17T23:45:00Z</dcterms:modified>
</cp:coreProperties>
</file>