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1BBAF" w14:textId="4109F0B2" w:rsidR="00DC7C77" w:rsidRDefault="00D974B7" w:rsidP="00DC7C7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sz w:val="36"/>
          <w:szCs w:val="36"/>
        </w:rPr>
        <w:t>Supplemental</w:t>
      </w:r>
      <w:r w:rsidR="00DC7C77">
        <w:rPr>
          <w:sz w:val="36"/>
          <w:szCs w:val="36"/>
        </w:rPr>
        <w:t xml:space="preserve"> Materials for</w:t>
      </w:r>
    </w:p>
    <w:p w14:paraId="5819F467" w14:textId="77777777" w:rsidR="00DC7C77" w:rsidRPr="00DC7C77" w:rsidRDefault="00DC7C77" w:rsidP="00DC7C77">
      <w:pPr>
        <w:rPr>
          <w:sz w:val="28"/>
          <w:szCs w:val="28"/>
        </w:rPr>
      </w:pPr>
    </w:p>
    <w:p w14:paraId="4FD3F889" w14:textId="61F07D2D" w:rsidR="00DC7C77" w:rsidRPr="00DC7C77" w:rsidRDefault="00DC7C77" w:rsidP="00DC7C77">
      <w:pPr>
        <w:spacing w:line="480" w:lineRule="auto"/>
        <w:jc w:val="center"/>
        <w:rPr>
          <w:sz w:val="28"/>
          <w:szCs w:val="28"/>
        </w:rPr>
      </w:pPr>
      <w:bookmarkStart w:id="0" w:name="_Hlk119702764"/>
      <w:r w:rsidRPr="00DC7C77">
        <w:rPr>
          <w:sz w:val="28"/>
          <w:szCs w:val="28"/>
        </w:rPr>
        <w:t xml:space="preserve">The protein phosphatase-2A subunit PR130 </w:t>
      </w:r>
      <w:bookmarkEnd w:id="0"/>
      <w:r w:rsidRPr="00DC7C77">
        <w:rPr>
          <w:sz w:val="28"/>
          <w:szCs w:val="28"/>
        </w:rPr>
        <w:t>is linked to cytotoxic protein aggregate formation in mesenchymal pancreatic ductal adenocarcinoma cells</w:t>
      </w:r>
    </w:p>
    <w:p w14:paraId="3FBBD091" w14:textId="356DAD50" w:rsidR="00DC7C77" w:rsidRDefault="00DC7C77" w:rsidP="00DC7C77">
      <w:pPr>
        <w:spacing w:line="480" w:lineRule="auto"/>
        <w:jc w:val="center"/>
      </w:pPr>
      <w:r w:rsidRPr="00583869">
        <w:t>Alexandra Nguyen</w:t>
      </w:r>
      <w:r w:rsidRPr="00583869">
        <w:rPr>
          <w:vertAlign w:val="superscript"/>
        </w:rPr>
        <w:t>1</w:t>
      </w:r>
      <w:r w:rsidRPr="00583869">
        <w:t>, Alessa K. Leydecker</w:t>
      </w:r>
      <w:r w:rsidRPr="00583869">
        <w:rPr>
          <w:vertAlign w:val="superscript"/>
        </w:rPr>
        <w:t>1</w:t>
      </w:r>
      <w:r w:rsidRPr="00583869">
        <w:t>, Al-Hassan M. Mustafa</w:t>
      </w:r>
      <w:r w:rsidRPr="00583869">
        <w:rPr>
          <w:vertAlign w:val="superscript"/>
        </w:rPr>
        <w:t>1</w:t>
      </w:r>
      <w:r>
        <w:rPr>
          <w:vertAlign w:val="superscript"/>
        </w:rPr>
        <w:t>,2</w:t>
      </w:r>
      <w:r w:rsidRPr="00583869">
        <w:t>, Janine Murr</w:t>
      </w:r>
      <w:r>
        <w:rPr>
          <w:vertAlign w:val="superscript"/>
        </w:rPr>
        <w:t>3</w:t>
      </w:r>
      <w:r w:rsidRPr="00583869">
        <w:t>, Falk Butter</w:t>
      </w:r>
      <w:r>
        <w:rPr>
          <w:vertAlign w:val="superscript"/>
        </w:rPr>
        <w:t>4</w:t>
      </w:r>
      <w:r w:rsidRPr="00583869">
        <w:t>, and Oliver H. Krämer</w:t>
      </w:r>
      <w:proofErr w:type="gramStart"/>
      <w:r w:rsidRPr="00583869">
        <w:rPr>
          <w:vertAlign w:val="superscript"/>
        </w:rPr>
        <w:t>1,</w:t>
      </w:r>
      <w:r w:rsidRPr="00583869">
        <w:t>*</w:t>
      </w:r>
      <w:proofErr w:type="gramEnd"/>
    </w:p>
    <w:p w14:paraId="0F2DDC7E" w14:textId="77777777" w:rsidR="00DC7C77" w:rsidRPr="00583869" w:rsidRDefault="00DC7C77" w:rsidP="00DC7C77">
      <w:pPr>
        <w:spacing w:line="480" w:lineRule="auto"/>
        <w:jc w:val="center"/>
      </w:pPr>
    </w:p>
    <w:p w14:paraId="3FDB67DC" w14:textId="1AC4E0C1" w:rsidR="00DC7C77" w:rsidRDefault="009B5228" w:rsidP="00DC7C77">
      <w:pPr>
        <w:spacing w:line="480" w:lineRule="auto"/>
        <w:jc w:val="center"/>
      </w:pPr>
      <w:r w:rsidRPr="00583869">
        <w:t>C</w:t>
      </w:r>
      <w:r w:rsidR="00DC7C77" w:rsidRPr="00583869">
        <w:t>o</w:t>
      </w:r>
      <w:r>
        <w:t xml:space="preserve">rrespondence to: </w:t>
      </w:r>
      <w:hyperlink r:id="rId4" w:history="1">
        <w:r w:rsidR="00DC7C77" w:rsidRPr="00583869">
          <w:rPr>
            <w:rStyle w:val="Hyperlink"/>
            <w:color w:val="auto"/>
            <w:u w:val="none"/>
          </w:rPr>
          <w:t>okraemer@uni-mainz.de</w:t>
        </w:r>
      </w:hyperlink>
    </w:p>
    <w:p w14:paraId="6B532E75" w14:textId="77777777" w:rsidR="00DC7C77" w:rsidRPr="00DC7C77" w:rsidRDefault="00DC7C77" w:rsidP="00DC7C77">
      <w:pPr>
        <w:spacing w:line="480" w:lineRule="auto"/>
        <w:jc w:val="center"/>
      </w:pPr>
    </w:p>
    <w:p w14:paraId="5F2C4800" w14:textId="77777777" w:rsidR="00DC7C77" w:rsidRDefault="00DC7C77" w:rsidP="00DC7C77">
      <w:pPr>
        <w:rPr>
          <w:b/>
        </w:rPr>
      </w:pPr>
    </w:p>
    <w:p w14:paraId="40D3031D" w14:textId="77777777" w:rsidR="00DC7C77" w:rsidRDefault="00DC7C77" w:rsidP="00DC7C77">
      <w:pPr>
        <w:rPr>
          <w:b/>
        </w:rPr>
      </w:pPr>
      <w:r>
        <w:rPr>
          <w:b/>
        </w:rPr>
        <w:t>This PDF file includes:</w:t>
      </w:r>
    </w:p>
    <w:p w14:paraId="7A2B4493" w14:textId="77777777" w:rsidR="00DC7C77" w:rsidRDefault="00DC7C77" w:rsidP="00DC7C77"/>
    <w:p w14:paraId="68F2C1D2" w14:textId="66AB8C0E" w:rsidR="00DC7C77" w:rsidRDefault="00DC7C77" w:rsidP="00DC7C77">
      <w:pPr>
        <w:ind w:left="720"/>
      </w:pPr>
      <w:r>
        <w:t>Fig</w:t>
      </w:r>
      <w:r>
        <w:rPr>
          <w:lang w:eastAsia="zh-CN"/>
        </w:rPr>
        <w:t>ure</w:t>
      </w:r>
      <w:r>
        <w:t>s S1 to S</w:t>
      </w:r>
      <w:r w:rsidR="00D05E5B">
        <w:t>5</w:t>
      </w:r>
    </w:p>
    <w:p w14:paraId="451E9FD3" w14:textId="77777777" w:rsidR="00DC7C77" w:rsidRDefault="00DC7C77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2065D1A" w14:textId="5E28EC98" w:rsidR="00DC7C77" w:rsidRDefault="00DC7C77" w:rsidP="00DC7C77">
      <w:pPr>
        <w:pStyle w:val="SMHeading"/>
        <w:rPr>
          <w:rFonts w:ascii="Arial" w:hAnsi="Arial" w:cs="Arial"/>
        </w:rPr>
      </w:pPr>
      <w:r w:rsidRPr="00DC7C77">
        <w:rPr>
          <w:rFonts w:ascii="Arial" w:hAnsi="Arial" w:cs="Arial"/>
        </w:rPr>
        <w:lastRenderedPageBreak/>
        <w:t>Fig</w:t>
      </w:r>
      <w:r w:rsidRPr="00DC7C77">
        <w:rPr>
          <w:rFonts w:ascii="Arial" w:hAnsi="Arial" w:cs="Arial"/>
          <w:lang w:eastAsia="zh-CN"/>
        </w:rPr>
        <w:t>ure</w:t>
      </w:r>
      <w:r w:rsidRPr="00DC7C77">
        <w:rPr>
          <w:rFonts w:ascii="Arial" w:hAnsi="Arial" w:cs="Arial"/>
        </w:rPr>
        <w:t xml:space="preserve"> S1</w:t>
      </w:r>
    </w:p>
    <w:p w14:paraId="6D5639B1" w14:textId="77777777" w:rsidR="00D974B7" w:rsidRPr="00DC7C77" w:rsidRDefault="00D974B7" w:rsidP="00DC7C77">
      <w:pPr>
        <w:pStyle w:val="SMHeading"/>
        <w:rPr>
          <w:rFonts w:ascii="Arial" w:hAnsi="Arial" w:cs="Arial"/>
        </w:rPr>
      </w:pPr>
    </w:p>
    <w:p w14:paraId="78B0EA34" w14:textId="78667230" w:rsidR="00AE59DA" w:rsidRPr="00583869" w:rsidRDefault="002F2F3B" w:rsidP="00AE59DA">
      <w:pPr>
        <w:tabs>
          <w:tab w:val="left" w:pos="2867"/>
        </w:tabs>
        <w:spacing w:line="48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6410CC0F" wp14:editId="748B74AE">
            <wp:extent cx="5760720" cy="7886700"/>
            <wp:effectExtent l="0" t="0" r="0" b="0"/>
            <wp:docPr id="118292610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7" b="1927"/>
                    <a:stretch/>
                  </pic:blipFill>
                  <pic:spPr bwMode="auto">
                    <a:xfrm>
                      <a:off x="0" y="0"/>
                      <a:ext cx="576072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25189" w14:textId="461C5400" w:rsidR="00767583" w:rsidRDefault="002F2F3B" w:rsidP="00AE59DA">
      <w:pPr>
        <w:spacing w:line="480" w:lineRule="auto"/>
        <w:jc w:val="both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05A139A" wp14:editId="29714DE5">
            <wp:extent cx="5760720" cy="3876675"/>
            <wp:effectExtent l="0" t="0" r="0" b="9525"/>
            <wp:docPr id="17443292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5" b="49760"/>
                    <a:stretch/>
                  </pic:blipFill>
                  <pic:spPr bwMode="auto">
                    <a:xfrm>
                      <a:off x="0" y="0"/>
                      <a:ext cx="576072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B12FE" w14:textId="4E7417FD" w:rsidR="00AE59DA" w:rsidRPr="00583869" w:rsidRDefault="00D974B7" w:rsidP="00AE59DA">
      <w:pPr>
        <w:spacing w:line="480" w:lineRule="auto"/>
        <w:jc w:val="both"/>
      </w:pPr>
      <w:r>
        <w:rPr>
          <w:b/>
          <w:bCs/>
        </w:rPr>
        <w:t>Supplemental</w:t>
      </w:r>
      <w:r w:rsidR="00DC7C77">
        <w:rPr>
          <w:b/>
          <w:bCs/>
        </w:rPr>
        <w:t xml:space="preserve"> </w:t>
      </w:r>
      <w:r w:rsidR="002F2F3B">
        <w:rPr>
          <w:b/>
          <w:bCs/>
        </w:rPr>
        <w:t>Fig</w:t>
      </w:r>
      <w:r w:rsidR="00DC7C77">
        <w:rPr>
          <w:b/>
          <w:bCs/>
        </w:rPr>
        <w:t>.</w:t>
      </w:r>
      <w:r w:rsidR="002F2F3B">
        <w:rPr>
          <w:b/>
          <w:bCs/>
        </w:rPr>
        <w:t xml:space="preserve"> </w:t>
      </w:r>
      <w:r w:rsidR="00AE59DA" w:rsidRPr="00583869">
        <w:rPr>
          <w:b/>
          <w:bCs/>
        </w:rPr>
        <w:t>S1</w:t>
      </w:r>
      <w:r w:rsidR="00DC7C77">
        <w:rPr>
          <w:b/>
          <w:bCs/>
        </w:rPr>
        <w:t>.</w:t>
      </w:r>
      <w:r w:rsidR="00AE59DA" w:rsidRPr="00583869">
        <w:t xml:space="preserve"> </w:t>
      </w:r>
      <w:r w:rsidR="00AE59DA" w:rsidRPr="00FA7226">
        <w:t>Phendione induces apoptosis in mesenchymal PDAC cells in a dose-dependent manner.</w:t>
      </w:r>
      <w:r w:rsidR="00AE59DA" w:rsidRPr="00583869">
        <w:t xml:space="preserve"> </w:t>
      </w:r>
      <w:proofErr w:type="gramStart"/>
      <w:r w:rsidR="00FA7226">
        <w:rPr>
          <w:b/>
          <w:bCs/>
        </w:rPr>
        <w:t>a</w:t>
      </w:r>
      <w:proofErr w:type="gramEnd"/>
      <w:r w:rsidR="00AE59DA" w:rsidRPr="00583869">
        <w:t xml:space="preserve"> Apoptosis analyses of mesenchymal PDAC cells after treatment with phendione concentrations up to 10 µM for 48 h. Results were collected by flow cytometry using annexin-V/PI staining and are shown as mean values ± SD;</w:t>
      </w:r>
      <w:r w:rsidR="00AE59DA">
        <w:t xml:space="preserve"> </w:t>
      </w:r>
      <w:r w:rsidR="00AE59DA" w:rsidRPr="00583869">
        <w:t xml:space="preserve">S411: </w:t>
      </w:r>
      <w:r w:rsidR="00AE59DA" w:rsidRPr="00583869">
        <w:rPr>
          <w:i/>
          <w:iCs/>
        </w:rPr>
        <w:t>n</w:t>
      </w:r>
      <w:r w:rsidR="00AE59DA" w:rsidRPr="00583869">
        <w:t xml:space="preserve"> = 3; 8248: </w:t>
      </w:r>
      <w:r w:rsidR="00AE59DA" w:rsidRPr="00583869">
        <w:rPr>
          <w:i/>
          <w:iCs/>
        </w:rPr>
        <w:t>n</w:t>
      </w:r>
      <w:r w:rsidR="00AE59DA" w:rsidRPr="00583869">
        <w:t xml:space="preserve"> = 2. </w:t>
      </w:r>
      <w:r w:rsidR="00FA7226">
        <w:rPr>
          <w:b/>
          <w:bCs/>
        </w:rPr>
        <w:t>b</w:t>
      </w:r>
      <w:r w:rsidR="00AE59DA" w:rsidRPr="00583869">
        <w:t xml:space="preserve"> Epithelial PDAC cells were treated with 0.5-10 µM phendione for 48 h and apoptosis was determined by flow cytometry for annexin-V/PI;</w:t>
      </w:r>
      <w:r w:rsidR="00AE59DA" w:rsidRPr="002F0A49">
        <w:rPr>
          <w:i/>
          <w:iCs/>
        </w:rPr>
        <w:t xml:space="preserve"> </w:t>
      </w:r>
      <w:r w:rsidR="00AE59DA" w:rsidRPr="00583869">
        <w:rPr>
          <w:i/>
          <w:iCs/>
        </w:rPr>
        <w:t xml:space="preserve">n </w:t>
      </w:r>
      <w:r w:rsidR="00AE59DA" w:rsidRPr="00583869">
        <w:t>= 3</w:t>
      </w:r>
      <w:r w:rsidR="00FA7226">
        <w:t>.</w:t>
      </w:r>
      <w:r w:rsidR="00AE59DA" w:rsidRPr="00583869">
        <w:t xml:space="preserve"> </w:t>
      </w:r>
      <w:r w:rsidR="00FA7226">
        <w:rPr>
          <w:b/>
          <w:bCs/>
        </w:rPr>
        <w:t>c</w:t>
      </w:r>
      <w:r w:rsidR="00AE59DA" w:rsidRPr="00583869">
        <w:t xml:space="preserve"> Apoptosis analyses were conducted with the murine PDAC cell line 3250 with phendione concentrations up to 10 µM for 24 h. Results were collected by flow cytometry using annexin-V/PI staining and are shown as mean values ± SD;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3. </w:t>
      </w:r>
      <w:r w:rsidR="00FA7226">
        <w:rPr>
          <w:b/>
          <w:bCs/>
        </w:rPr>
        <w:t>d</w:t>
      </w:r>
      <w:r w:rsidR="00AE59DA" w:rsidRPr="00583869">
        <w:t xml:space="preserve"> Apoptosis analyses were carried out with the murine PDAC cell line 3250 with phendione concentrations up to 10 µM for 48 h. Results were collected by flow cytometry using annexin-V/PI staining and are shown as mean values ± SD;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3. </w:t>
      </w:r>
      <w:r w:rsidR="00FA7226">
        <w:rPr>
          <w:b/>
          <w:bCs/>
        </w:rPr>
        <w:t>e</w:t>
      </w:r>
      <w:r w:rsidR="00AE59DA" w:rsidRPr="00583869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epithelial PDAC cell line 9591 was treated with 1- 10 µM phendione for 24 h and apoptosis was determined by flow cytometry for annexin-V/PI; </w:t>
      </w:r>
      <w:r w:rsidR="00AE59DA" w:rsidRPr="00583869">
        <w:rPr>
          <w:i/>
          <w:iCs/>
        </w:rPr>
        <w:t>n</w:t>
      </w:r>
      <w:r w:rsidR="00AE59DA" w:rsidRPr="00583869">
        <w:t xml:space="preserve"> = 5. </w:t>
      </w:r>
      <w:r w:rsidR="00FA7226">
        <w:rPr>
          <w:b/>
          <w:bCs/>
        </w:rPr>
        <w:t>f</w:t>
      </w:r>
      <w:r w:rsidR="00AE59DA" w:rsidRPr="00583869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epithelial PDAC cell line 9591 was treated with 1 – 10 µM phendione for 48 h and apoptosis was determined by flow cytometry for annexin-V/PI;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4. </w:t>
      </w:r>
      <w:r w:rsidR="00FA7226">
        <w:rPr>
          <w:b/>
          <w:bCs/>
        </w:rPr>
        <w:t>g</w:t>
      </w:r>
      <w:r w:rsidR="00AE59DA" w:rsidRPr="00583869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mesenchymal PDAC cell line 3250 was stimulated with 10 µM phendione for up to 24 h. Cell death was measured by flow cytometry using annexin-V/PI staining and flow </w:t>
      </w:r>
      <w:r w:rsidR="00AE59DA" w:rsidRPr="00583869">
        <w:lastRenderedPageBreak/>
        <w:t xml:space="preserve">cytometry; </w:t>
      </w:r>
      <w:r w:rsidR="00AE59DA" w:rsidRPr="00583869">
        <w:rPr>
          <w:i/>
          <w:iCs/>
        </w:rPr>
        <w:t>n</w:t>
      </w:r>
      <w:r w:rsidR="00AE59DA" w:rsidRPr="00583869">
        <w:t xml:space="preserve"> = 2. </w:t>
      </w:r>
      <w:r w:rsidR="00FA7226">
        <w:rPr>
          <w:b/>
          <w:bCs/>
        </w:rPr>
        <w:t>h</w:t>
      </w:r>
      <w:r w:rsidR="00AE59DA" w:rsidRPr="00583869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epithelial PDAC cell line 9591 was incubated with 10 µM phendione for up to 24 h. Apoptosis was measured by annexin-V/PI staining and flow cytometry; </w:t>
      </w:r>
      <w:r w:rsidR="00AE59DA" w:rsidRPr="00583869">
        <w:rPr>
          <w:i/>
          <w:iCs/>
        </w:rPr>
        <w:t>n</w:t>
      </w:r>
      <w:r w:rsidR="00AE59DA" w:rsidRPr="00583869">
        <w:t xml:space="preserve"> = 2. All data (</w:t>
      </w:r>
      <w:r w:rsidR="00AE59DA" w:rsidRPr="00FA7226">
        <w:t>S1</w:t>
      </w:r>
      <w:r w:rsidR="00FA7226" w:rsidRPr="00FA7226">
        <w:t xml:space="preserve"> a-h</w:t>
      </w:r>
      <w:r w:rsidR="00AE59DA" w:rsidRPr="00583869">
        <w:t xml:space="preserve">) were statistically analyzed using two-way ANOVA (* </w:t>
      </w:r>
      <w:r w:rsidR="00AE59DA" w:rsidRPr="00583869">
        <w:rPr>
          <w:i/>
          <w:iCs/>
        </w:rPr>
        <w:t xml:space="preserve">p </w:t>
      </w:r>
      <w:r w:rsidR="00AE59DA" w:rsidRPr="00583869">
        <w:t xml:space="preserve">&lt; 0.05, ** </w:t>
      </w:r>
      <w:r w:rsidR="00AE59DA" w:rsidRPr="00583869">
        <w:rPr>
          <w:i/>
          <w:iCs/>
        </w:rPr>
        <w:t>p</w:t>
      </w:r>
      <w:r w:rsidR="00AE59DA" w:rsidRPr="00583869">
        <w:t xml:space="preserve"> &lt; 0.01, *** </w:t>
      </w:r>
      <w:r w:rsidR="00AE59DA" w:rsidRPr="00583869">
        <w:rPr>
          <w:i/>
          <w:iCs/>
        </w:rPr>
        <w:t>p</w:t>
      </w:r>
      <w:r w:rsidR="00AE59DA" w:rsidRPr="00583869">
        <w:t xml:space="preserve"> &lt; 0.001, **** </w:t>
      </w:r>
      <w:r w:rsidR="00AE59DA" w:rsidRPr="00583869">
        <w:rPr>
          <w:i/>
          <w:iCs/>
        </w:rPr>
        <w:t>p</w:t>
      </w:r>
      <w:r w:rsidR="00AE59DA" w:rsidRPr="00583869">
        <w:t xml:space="preserve"> &lt; 0.0001).</w:t>
      </w:r>
      <w:r w:rsidR="00AE59DA">
        <w:t xml:space="preserve"> </w:t>
      </w:r>
      <w:proofErr w:type="spellStart"/>
      <w:r w:rsidR="00FA7226">
        <w:rPr>
          <w:b/>
          <w:bCs/>
        </w:rPr>
        <w:t>i</w:t>
      </w:r>
      <w:proofErr w:type="spellEnd"/>
      <w:r w:rsidR="00AE59DA">
        <w:t xml:space="preserve"> M</w:t>
      </w:r>
      <w:r w:rsidR="00AE59DA" w:rsidRPr="00583869">
        <w:t xml:space="preserve">esenchymal and epithelial murine PDAC cell lines were treated with 3 µM phendione for 24 h. </w:t>
      </w:r>
      <w:r w:rsidR="00AE59DA">
        <w:t>PP2A subunit A</w:t>
      </w:r>
      <w:r w:rsidR="00AE59DA" w:rsidRPr="00583869">
        <w:t xml:space="preserve"> </w:t>
      </w:r>
      <w:r w:rsidR="00AE59DA">
        <w:t xml:space="preserve">and C </w:t>
      </w:r>
      <w:r w:rsidR="00AE59DA" w:rsidRPr="00583869">
        <w:t xml:space="preserve">were measured by immunoblot. HSP90 served as loading control;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</w:t>
      </w:r>
      <w:r w:rsidR="00AE59DA">
        <w:t>3</w:t>
      </w:r>
      <w:r w:rsidR="00AE59DA" w:rsidRPr="00583869">
        <w:t>.</w:t>
      </w:r>
    </w:p>
    <w:p w14:paraId="3D548280" w14:textId="77777777" w:rsidR="00AE59DA" w:rsidRDefault="00AE59DA" w:rsidP="00AE59DA">
      <w:pPr>
        <w:spacing w:line="480" w:lineRule="auto"/>
        <w:jc w:val="both"/>
        <w:rPr>
          <w:b/>
          <w:bCs/>
        </w:rPr>
      </w:pPr>
    </w:p>
    <w:p w14:paraId="04665105" w14:textId="77777777" w:rsidR="002F2F3B" w:rsidRDefault="002F2F3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75B0D06" w14:textId="6309788E" w:rsidR="00DC7C77" w:rsidRDefault="00DC7C77" w:rsidP="00DC7C77">
      <w:pPr>
        <w:pStyle w:val="SMHeading"/>
        <w:rPr>
          <w:rFonts w:ascii="Arial" w:hAnsi="Arial" w:cs="Arial"/>
        </w:rPr>
      </w:pPr>
      <w:r w:rsidRPr="00DC7C77">
        <w:rPr>
          <w:rFonts w:ascii="Arial" w:hAnsi="Arial" w:cs="Arial"/>
        </w:rPr>
        <w:lastRenderedPageBreak/>
        <w:t>Fig</w:t>
      </w:r>
      <w:r w:rsidRPr="00DC7C77">
        <w:rPr>
          <w:rFonts w:ascii="Arial" w:hAnsi="Arial" w:cs="Arial"/>
          <w:lang w:eastAsia="zh-CN"/>
        </w:rPr>
        <w:t>ure</w:t>
      </w:r>
      <w:r w:rsidRPr="00DC7C7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2</w:t>
      </w:r>
    </w:p>
    <w:p w14:paraId="4AF914CB" w14:textId="77777777" w:rsidR="00D974B7" w:rsidRPr="00DC7C77" w:rsidRDefault="00D974B7" w:rsidP="00DC7C77">
      <w:pPr>
        <w:pStyle w:val="SMHeading"/>
        <w:rPr>
          <w:rFonts w:ascii="Arial" w:hAnsi="Arial" w:cs="Arial"/>
        </w:rPr>
      </w:pPr>
    </w:p>
    <w:p w14:paraId="5D03F9D6" w14:textId="483BC053" w:rsidR="002F2F3B" w:rsidRDefault="002F2F3B" w:rsidP="00AE59DA">
      <w:pPr>
        <w:spacing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62280E" wp14:editId="4F6E415D">
            <wp:extent cx="5753100" cy="3836804"/>
            <wp:effectExtent l="0" t="0" r="0" b="0"/>
            <wp:docPr id="195937755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5" b="50538"/>
                    <a:stretch/>
                  </pic:blipFill>
                  <pic:spPr bwMode="auto">
                    <a:xfrm>
                      <a:off x="0" y="0"/>
                      <a:ext cx="5753100" cy="383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F8BA7" w14:textId="50E052CA" w:rsidR="00AE59DA" w:rsidRDefault="00D974B7" w:rsidP="00AE59DA">
      <w:pPr>
        <w:spacing w:line="480" w:lineRule="auto"/>
        <w:jc w:val="both"/>
      </w:pPr>
      <w:r>
        <w:rPr>
          <w:b/>
          <w:bCs/>
        </w:rPr>
        <w:t>Supplemental</w:t>
      </w:r>
      <w:r w:rsidR="00DC7C77">
        <w:rPr>
          <w:b/>
          <w:bCs/>
        </w:rPr>
        <w:t xml:space="preserve"> Fig. </w:t>
      </w:r>
      <w:r w:rsidR="00DC7C77" w:rsidRPr="00583869">
        <w:rPr>
          <w:b/>
          <w:bCs/>
        </w:rPr>
        <w:t>S</w:t>
      </w:r>
      <w:r w:rsidR="00DC7C77">
        <w:rPr>
          <w:b/>
          <w:bCs/>
        </w:rPr>
        <w:t>2.</w:t>
      </w:r>
      <w:r w:rsidR="00DC7C77" w:rsidRPr="00583869">
        <w:t xml:space="preserve"> </w:t>
      </w:r>
      <w:r w:rsidR="00AE59DA" w:rsidRPr="00FA7226">
        <w:t>Apoptosis induction in phendione-treated cells is p53-independent.</w:t>
      </w:r>
      <w:r w:rsidR="00AE59DA" w:rsidRPr="00583869">
        <w:t xml:space="preserve"> </w:t>
      </w:r>
      <w:r w:rsidR="00FA7226">
        <w:rPr>
          <w:b/>
          <w:bCs/>
        </w:rPr>
        <w:t>a</w:t>
      </w:r>
      <w:r w:rsidR="00AE59DA" w:rsidRPr="00583869">
        <w:t xml:space="preserve"> Immunoblot analyses show p53, and p21. β-actin serves as loading control;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2. </w:t>
      </w:r>
      <w:r w:rsidR="00FA7226">
        <w:rPr>
          <w:b/>
          <w:bCs/>
        </w:rPr>
        <w:t>b</w:t>
      </w:r>
      <w:r w:rsidR="00AE59DA" w:rsidRPr="00583869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p53 null PDAC cell line W22 was treated with 1-10 µM phendione for 24 h. Cell death was</w:t>
      </w:r>
      <w:r w:rsidR="00095C26">
        <w:t xml:space="preserve"> </w:t>
      </w:r>
      <w:r w:rsidR="00AE59DA" w:rsidRPr="00583869">
        <w:t xml:space="preserve">determined by flow cytometry; </w:t>
      </w:r>
      <w:r w:rsidR="00AE59DA" w:rsidRPr="00583869">
        <w:rPr>
          <w:i/>
          <w:iCs/>
        </w:rPr>
        <w:t>n</w:t>
      </w:r>
      <w:r w:rsidR="00AE59DA" w:rsidRPr="00583869">
        <w:t xml:space="preserve"> = 3. Data were statistically analyzed using two-way ANOVA (* </w:t>
      </w:r>
      <w:r w:rsidR="00AE59DA" w:rsidRPr="00583869">
        <w:rPr>
          <w:i/>
          <w:iCs/>
        </w:rPr>
        <w:t xml:space="preserve">p </w:t>
      </w:r>
      <w:r w:rsidR="00AE59DA" w:rsidRPr="00583869">
        <w:t xml:space="preserve">&lt; 0.05, ** </w:t>
      </w:r>
      <w:r w:rsidR="00AE59DA" w:rsidRPr="00583869">
        <w:rPr>
          <w:i/>
          <w:iCs/>
        </w:rPr>
        <w:t>p</w:t>
      </w:r>
      <w:r w:rsidR="00AE59DA" w:rsidRPr="00583869">
        <w:t xml:space="preserve"> &lt; 0.01, *** </w:t>
      </w:r>
      <w:r w:rsidR="00AE59DA" w:rsidRPr="00583869">
        <w:rPr>
          <w:i/>
          <w:iCs/>
        </w:rPr>
        <w:t>p</w:t>
      </w:r>
      <w:r w:rsidR="00AE59DA" w:rsidRPr="00583869">
        <w:t xml:space="preserve"> &lt; 0.001, **** </w:t>
      </w:r>
      <w:r w:rsidR="00AE59DA" w:rsidRPr="00583869">
        <w:rPr>
          <w:i/>
          <w:iCs/>
        </w:rPr>
        <w:t>p</w:t>
      </w:r>
      <w:r w:rsidR="00AE59DA" w:rsidRPr="00583869">
        <w:t xml:space="preserve"> &lt; 0.0001). </w:t>
      </w:r>
      <w:r w:rsidR="00FA7226">
        <w:rPr>
          <w:b/>
          <w:bCs/>
        </w:rPr>
        <w:t>c</w:t>
      </w:r>
      <w:r w:rsidR="00AE59DA" w:rsidRPr="00583869">
        <w:t xml:space="preserve"> Immunoblot analysis was performed with lysates from W22 cells that were incubated with 1-5 µM phendione for 24 h. Immunoblot was done for indicated proteins. HSP90 served as loading control;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2. </w:t>
      </w:r>
    </w:p>
    <w:p w14:paraId="01CB122E" w14:textId="77777777" w:rsidR="002F2F3B" w:rsidRDefault="002F2F3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AB71ACA" w14:textId="7D62CAA8" w:rsidR="00DC7C77" w:rsidRPr="00DC7C77" w:rsidRDefault="00DC7C77" w:rsidP="00DC7C77">
      <w:pPr>
        <w:pStyle w:val="SMHeading"/>
        <w:rPr>
          <w:rFonts w:ascii="Arial" w:hAnsi="Arial" w:cs="Arial"/>
        </w:rPr>
      </w:pPr>
      <w:r w:rsidRPr="00DC7C77">
        <w:rPr>
          <w:rFonts w:ascii="Arial" w:hAnsi="Arial" w:cs="Arial"/>
        </w:rPr>
        <w:lastRenderedPageBreak/>
        <w:t>Fig</w:t>
      </w:r>
      <w:r w:rsidRPr="00DC7C77">
        <w:rPr>
          <w:rFonts w:ascii="Arial" w:hAnsi="Arial" w:cs="Arial"/>
          <w:lang w:eastAsia="zh-CN"/>
        </w:rPr>
        <w:t>ure</w:t>
      </w:r>
      <w:r w:rsidRPr="00DC7C7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3</w:t>
      </w:r>
    </w:p>
    <w:p w14:paraId="19A05E18" w14:textId="4551B6C4" w:rsidR="002F2F3B" w:rsidRDefault="002F2F3B" w:rsidP="00AE59DA">
      <w:pPr>
        <w:spacing w:line="480" w:lineRule="auto"/>
        <w:jc w:val="both"/>
        <w:rPr>
          <w:b/>
          <w:bCs/>
        </w:rPr>
      </w:pPr>
    </w:p>
    <w:p w14:paraId="653A6649" w14:textId="77777777" w:rsidR="00D974B7" w:rsidRDefault="00D974B7" w:rsidP="00D974B7">
      <w:pPr>
        <w:spacing w:line="480" w:lineRule="auto"/>
        <w:jc w:val="center"/>
        <w:rPr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4A8EAB79" wp14:editId="0A1ED21B">
            <wp:extent cx="2322195" cy="1584960"/>
            <wp:effectExtent l="0" t="0" r="1905" b="0"/>
            <wp:docPr id="3391533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53397" name=""/>
                    <pic:cNvPicPr/>
                  </pic:nvPicPr>
                  <pic:blipFill rotWithShape="1">
                    <a:blip r:embed="rId8"/>
                    <a:srcRect l="12787" t="7839" r="53487" b="51239"/>
                    <a:stretch/>
                  </pic:blipFill>
                  <pic:spPr bwMode="auto">
                    <a:xfrm>
                      <a:off x="0" y="0"/>
                      <a:ext cx="2323694" cy="1585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32C17" w14:textId="762D7E2A" w:rsidR="00AE59DA" w:rsidRDefault="00D974B7" w:rsidP="00AE59DA">
      <w:pPr>
        <w:spacing w:line="480" w:lineRule="auto"/>
        <w:jc w:val="both"/>
      </w:pPr>
      <w:r>
        <w:rPr>
          <w:b/>
          <w:bCs/>
        </w:rPr>
        <w:t>Supplemental</w:t>
      </w:r>
      <w:r w:rsidR="00DC7C77">
        <w:rPr>
          <w:b/>
          <w:bCs/>
        </w:rPr>
        <w:t xml:space="preserve"> Fig. </w:t>
      </w:r>
      <w:r w:rsidR="00DC7C77" w:rsidRPr="00583869">
        <w:rPr>
          <w:b/>
          <w:bCs/>
        </w:rPr>
        <w:t>S</w:t>
      </w:r>
      <w:r w:rsidR="00DC7C77">
        <w:rPr>
          <w:b/>
          <w:bCs/>
        </w:rPr>
        <w:t>3.</w:t>
      </w:r>
      <w:r w:rsidR="00DC7C77" w:rsidRPr="00583869">
        <w:t xml:space="preserve"> </w:t>
      </w:r>
      <w:r w:rsidR="00AE59DA" w:rsidRPr="00FA7226">
        <w:t>Chloroquine is not capable of stabilizing PR130 in phendione</w:t>
      </w:r>
      <w:r w:rsidR="00095C26">
        <w:t>-</w:t>
      </w:r>
      <w:r w:rsidR="00AE59DA" w:rsidRPr="00FA7226">
        <w:t>treated cells.</w:t>
      </w:r>
      <w:r w:rsidR="00AE59DA" w:rsidRPr="00583869">
        <w:rPr>
          <w:b/>
          <w:bCs/>
        </w:rPr>
        <w:t xml:space="preserve"> </w:t>
      </w:r>
      <w:r w:rsidR="00FA7226">
        <w:rPr>
          <w:b/>
          <w:bCs/>
        </w:rPr>
        <w:t>a</w:t>
      </w:r>
      <w:r w:rsidR="00AE59DA" w:rsidRPr="00583869">
        <w:rPr>
          <w:b/>
          <w:bCs/>
        </w:rPr>
        <w:t xml:space="preserve"> </w:t>
      </w:r>
      <w:r w:rsidR="00AE59DA" w:rsidRPr="00583869">
        <w:t xml:space="preserve">Human PDAC MIA PaCA-2 cell line were treated with 3 µM phendione </w:t>
      </w:r>
      <w:r w:rsidR="00095C26">
        <w:t>±</w:t>
      </w:r>
      <w:r w:rsidR="00AE59DA" w:rsidRPr="00583869">
        <w:t xml:space="preserve"> 50 µM chloroquine for 24</w:t>
      </w:r>
      <w:r w:rsidR="00095C26">
        <w:t xml:space="preserve"> </w:t>
      </w:r>
      <w:r w:rsidR="00AE59DA" w:rsidRPr="00583869">
        <w:t xml:space="preserve">h. Immunoblot was done to detect PR130 levels. HSP90 served as loading control; </w:t>
      </w:r>
      <w:r w:rsidR="00AE59DA" w:rsidRPr="00583869">
        <w:rPr>
          <w:i/>
          <w:iCs/>
        </w:rPr>
        <w:t xml:space="preserve">n </w:t>
      </w:r>
      <w:r w:rsidR="00AE59DA" w:rsidRPr="00583869">
        <w:t xml:space="preserve">= 3. </w:t>
      </w:r>
    </w:p>
    <w:p w14:paraId="4E24FE13" w14:textId="6BD57849" w:rsidR="002F2F3B" w:rsidRDefault="002F2F3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A68CE5F" w14:textId="3242E3E8" w:rsidR="00D974B7" w:rsidRPr="00DC7C77" w:rsidRDefault="00D974B7" w:rsidP="00D974B7">
      <w:pPr>
        <w:pStyle w:val="SMHeading"/>
        <w:rPr>
          <w:rFonts w:ascii="Arial" w:hAnsi="Arial" w:cs="Arial"/>
        </w:rPr>
      </w:pPr>
      <w:r w:rsidRPr="00DC7C77">
        <w:rPr>
          <w:rFonts w:ascii="Arial" w:hAnsi="Arial" w:cs="Arial"/>
        </w:rPr>
        <w:lastRenderedPageBreak/>
        <w:t>Fig</w:t>
      </w:r>
      <w:r w:rsidRPr="00DC7C77">
        <w:rPr>
          <w:rFonts w:ascii="Arial" w:hAnsi="Arial" w:cs="Arial"/>
          <w:lang w:eastAsia="zh-CN"/>
        </w:rPr>
        <w:t>ure</w:t>
      </w:r>
      <w:r w:rsidRPr="00DC7C7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4</w:t>
      </w:r>
    </w:p>
    <w:p w14:paraId="5336DCAD" w14:textId="77777777" w:rsidR="00D974B7" w:rsidRDefault="00D974B7" w:rsidP="00D974B7">
      <w:pPr>
        <w:spacing w:line="480" w:lineRule="auto"/>
        <w:jc w:val="both"/>
        <w:rPr>
          <w:b/>
          <w:bCs/>
        </w:rPr>
      </w:pPr>
    </w:p>
    <w:p w14:paraId="18766C8B" w14:textId="53DF76C9" w:rsidR="00076131" w:rsidRDefault="00547873" w:rsidP="00547873">
      <w:pPr>
        <w:spacing w:line="480" w:lineRule="auto"/>
        <w:rPr>
          <w:b/>
          <w:bCs/>
        </w:rPr>
      </w:pPr>
      <w:r>
        <w:rPr>
          <w:noProof/>
        </w:rPr>
        <w:drawing>
          <wp:inline distT="0" distB="0" distL="0" distR="0" wp14:anchorId="647BBEFD" wp14:editId="5353E0AF">
            <wp:extent cx="5095875" cy="2371725"/>
            <wp:effectExtent l="0" t="0" r="9525" b="9525"/>
            <wp:docPr id="8559811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1" r="11541" b="67997"/>
                    <a:stretch/>
                  </pic:blipFill>
                  <pic:spPr bwMode="auto">
                    <a:xfrm>
                      <a:off x="0" y="0"/>
                      <a:ext cx="5095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671F2" w14:textId="3EDCD55C" w:rsidR="00095C26" w:rsidRPr="00583869" w:rsidRDefault="00095C26" w:rsidP="00095C26">
      <w:pPr>
        <w:spacing w:line="480" w:lineRule="auto"/>
        <w:jc w:val="both"/>
        <w:rPr>
          <w:b/>
          <w:bCs/>
        </w:rPr>
      </w:pPr>
      <w:r>
        <w:rPr>
          <w:b/>
          <w:bCs/>
        </w:rPr>
        <w:t xml:space="preserve">Supplemental Fig. </w:t>
      </w:r>
      <w:r w:rsidRPr="00583869">
        <w:rPr>
          <w:b/>
          <w:bCs/>
        </w:rPr>
        <w:t>S</w:t>
      </w:r>
      <w:r>
        <w:rPr>
          <w:b/>
          <w:bCs/>
        </w:rPr>
        <w:t xml:space="preserve">4. </w:t>
      </w:r>
      <w:proofErr w:type="spellStart"/>
      <w:r w:rsidR="00D974B7">
        <w:rPr>
          <w:b/>
          <w:bCs/>
        </w:rPr>
        <w:t>a</w:t>
      </w:r>
      <w:proofErr w:type="spellEnd"/>
      <w:r w:rsidR="00D974B7" w:rsidRPr="00583869">
        <w:t xml:space="preserve"> </w:t>
      </w:r>
      <w:proofErr w:type="gramStart"/>
      <w:r w:rsidR="00D974B7" w:rsidRPr="00583869">
        <w:t>The</w:t>
      </w:r>
      <w:proofErr w:type="gramEnd"/>
      <w:r w:rsidR="00D974B7" w:rsidRPr="00583869">
        <w:t xml:space="preserve"> epithelial murine PDAC cell line 8296 was incubated with 2 µM phendione </w:t>
      </w:r>
      <w:r>
        <w:t>±</w:t>
      </w:r>
      <w:r w:rsidR="00D974B7" w:rsidRPr="00583869">
        <w:t xml:space="preserve"> 0.5 µM of the HSP70 inhibitor </w:t>
      </w:r>
      <w:r w:rsidR="00D974B7">
        <w:t>JG-98</w:t>
      </w:r>
      <w:r w:rsidR="00D974B7" w:rsidRPr="00583869">
        <w:t xml:space="preserve"> for 24 h. Apoptosis was measured with annexin-V/PI-stained cells and flow cytometry; </w:t>
      </w:r>
      <w:r w:rsidR="00D974B7" w:rsidRPr="00583869">
        <w:rPr>
          <w:i/>
          <w:iCs/>
        </w:rPr>
        <w:t>n</w:t>
      </w:r>
      <w:r w:rsidR="00D974B7" w:rsidRPr="00583869">
        <w:t xml:space="preserve"> = 3. Data were statistically analyzed using two-way ANOVA (* </w:t>
      </w:r>
      <w:r w:rsidR="00D974B7" w:rsidRPr="00583869">
        <w:rPr>
          <w:i/>
          <w:iCs/>
        </w:rPr>
        <w:t xml:space="preserve">p </w:t>
      </w:r>
      <w:r w:rsidR="00D974B7" w:rsidRPr="00583869">
        <w:t xml:space="preserve">&lt; 0.05, ** </w:t>
      </w:r>
      <w:r w:rsidR="00D974B7" w:rsidRPr="00583869">
        <w:rPr>
          <w:i/>
          <w:iCs/>
        </w:rPr>
        <w:t>p</w:t>
      </w:r>
      <w:r w:rsidR="00D974B7" w:rsidRPr="00583869">
        <w:t xml:space="preserve"> &lt; 0.01, *** </w:t>
      </w:r>
      <w:r w:rsidR="00D974B7" w:rsidRPr="00583869">
        <w:rPr>
          <w:i/>
          <w:iCs/>
        </w:rPr>
        <w:t>p</w:t>
      </w:r>
      <w:r w:rsidR="00D974B7" w:rsidRPr="00583869">
        <w:t xml:space="preserve"> &lt; 0.001, **** </w:t>
      </w:r>
      <w:r w:rsidR="00D974B7" w:rsidRPr="00583869">
        <w:rPr>
          <w:i/>
          <w:iCs/>
        </w:rPr>
        <w:t>p</w:t>
      </w:r>
      <w:r w:rsidR="00D974B7" w:rsidRPr="00583869">
        <w:t xml:space="preserve"> &lt; 0.0001). </w:t>
      </w:r>
      <w:r>
        <w:rPr>
          <w:b/>
          <w:bCs/>
        </w:rPr>
        <w:t xml:space="preserve">b </w:t>
      </w:r>
      <w:r w:rsidRPr="00583869">
        <w:t>Vimentin status in</w:t>
      </w:r>
      <w:r>
        <w:t xml:space="preserve"> </w:t>
      </w:r>
      <w:r w:rsidRPr="00583869">
        <w:t>MIA PaCA-2 cells w</w:t>
      </w:r>
      <w:r>
        <w:t>as analyzed</w:t>
      </w:r>
      <w:r w:rsidRPr="00583869">
        <w:t xml:space="preserve"> by immunoblot. Cells were seeded, treated with 3 µM</w:t>
      </w:r>
      <w:r>
        <w:t xml:space="preserve"> </w:t>
      </w:r>
      <w:r w:rsidRPr="00583869">
        <w:t xml:space="preserve">phendione </w:t>
      </w:r>
      <w:r>
        <w:t>±</w:t>
      </w:r>
      <w:r w:rsidRPr="00583869">
        <w:t xml:space="preserve"> 50 µM lactacystin and harvested after 24 h. HSP90 served as loading control; </w:t>
      </w:r>
      <w:r w:rsidR="00547873">
        <w:br/>
      </w:r>
      <w:r w:rsidRPr="00583869">
        <w:rPr>
          <w:i/>
          <w:iCs/>
        </w:rPr>
        <w:t xml:space="preserve">n </w:t>
      </w:r>
      <w:r w:rsidRPr="00583869">
        <w:t xml:space="preserve">= 3. </w:t>
      </w:r>
    </w:p>
    <w:p w14:paraId="11C67614" w14:textId="74CE2668" w:rsidR="00D974B7" w:rsidRDefault="00D974B7" w:rsidP="00D974B7">
      <w:pPr>
        <w:spacing w:line="480" w:lineRule="auto"/>
        <w:jc w:val="both"/>
      </w:pPr>
    </w:p>
    <w:p w14:paraId="3BFDC6F5" w14:textId="05ACA547" w:rsidR="00D974B7" w:rsidRDefault="00D974B7">
      <w:pPr>
        <w:spacing w:after="160" w:line="259" w:lineRule="auto"/>
        <w:rPr>
          <w:rFonts w:eastAsiaTheme="minorEastAsia"/>
          <w:b/>
          <w:bCs/>
          <w:kern w:val="32"/>
          <w:sz w:val="24"/>
          <w:szCs w:val="24"/>
        </w:rPr>
      </w:pPr>
    </w:p>
    <w:p w14:paraId="7506D915" w14:textId="77777777" w:rsidR="00D974B7" w:rsidRDefault="00D974B7">
      <w:pPr>
        <w:spacing w:after="160" w:line="259" w:lineRule="auto"/>
        <w:rPr>
          <w:rFonts w:eastAsiaTheme="minorEastAsia"/>
          <w:b/>
          <w:bCs/>
          <w:kern w:val="32"/>
          <w:sz w:val="24"/>
          <w:szCs w:val="24"/>
        </w:rPr>
      </w:pPr>
      <w:r>
        <w:br w:type="page"/>
      </w:r>
    </w:p>
    <w:p w14:paraId="051AE15B" w14:textId="0F596F13" w:rsidR="00DC7C77" w:rsidRPr="00DC7C77" w:rsidRDefault="00DC7C77" w:rsidP="00DC7C77">
      <w:pPr>
        <w:pStyle w:val="SMHeading"/>
        <w:rPr>
          <w:rFonts w:ascii="Arial" w:hAnsi="Arial" w:cs="Arial"/>
        </w:rPr>
      </w:pPr>
      <w:r w:rsidRPr="00DC7C77">
        <w:rPr>
          <w:rFonts w:ascii="Arial" w:hAnsi="Arial" w:cs="Arial"/>
        </w:rPr>
        <w:lastRenderedPageBreak/>
        <w:t>Fig</w:t>
      </w:r>
      <w:r w:rsidRPr="00DC7C77">
        <w:rPr>
          <w:rFonts w:ascii="Arial" w:hAnsi="Arial" w:cs="Arial"/>
          <w:lang w:eastAsia="zh-CN"/>
        </w:rPr>
        <w:t>ure</w:t>
      </w:r>
      <w:r w:rsidRPr="00DC7C77">
        <w:rPr>
          <w:rFonts w:ascii="Arial" w:hAnsi="Arial" w:cs="Arial"/>
        </w:rPr>
        <w:t xml:space="preserve"> S</w:t>
      </w:r>
      <w:r w:rsidR="00D974B7">
        <w:rPr>
          <w:rFonts w:ascii="Arial" w:hAnsi="Arial" w:cs="Arial"/>
        </w:rPr>
        <w:t>5</w:t>
      </w:r>
    </w:p>
    <w:p w14:paraId="3FCB7177" w14:textId="6A3A5B39" w:rsidR="002F2F3B" w:rsidRDefault="002F2F3B" w:rsidP="00AE59DA">
      <w:pPr>
        <w:spacing w:line="48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55779D0A" wp14:editId="7E23D2B2">
            <wp:extent cx="5760720" cy="4886325"/>
            <wp:effectExtent l="0" t="0" r="0" b="9525"/>
            <wp:docPr id="1902612003" name="Grafik 7" descr="Ein Bild, das Entwurf, Diagramm, Text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12003" name="Grafik 7" descr="Ein Bild, das Entwurf, Diagramm, Text, technische Zeichnung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5" b="37371"/>
                    <a:stretch/>
                  </pic:blipFill>
                  <pic:spPr bwMode="auto">
                    <a:xfrm>
                      <a:off x="0" y="0"/>
                      <a:ext cx="576072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39839" w14:textId="32CA6B5A" w:rsidR="00434009" w:rsidRPr="00095C26" w:rsidRDefault="00D974B7" w:rsidP="00095C26">
      <w:pPr>
        <w:spacing w:line="480" w:lineRule="auto"/>
        <w:jc w:val="both"/>
      </w:pPr>
      <w:r>
        <w:rPr>
          <w:b/>
          <w:bCs/>
        </w:rPr>
        <w:t>Supplemental</w:t>
      </w:r>
      <w:r w:rsidR="00DC7C77">
        <w:rPr>
          <w:b/>
          <w:bCs/>
        </w:rPr>
        <w:t xml:space="preserve"> Fig. </w:t>
      </w:r>
      <w:r w:rsidR="00DC7C77" w:rsidRPr="00583869">
        <w:rPr>
          <w:b/>
          <w:bCs/>
        </w:rPr>
        <w:t>S</w:t>
      </w:r>
      <w:r w:rsidR="00095C26">
        <w:rPr>
          <w:b/>
          <w:bCs/>
        </w:rPr>
        <w:t>5.</w:t>
      </w:r>
      <w:r w:rsidR="00DC7C77" w:rsidRPr="00583869">
        <w:t xml:space="preserve"> </w:t>
      </w:r>
      <w:r w:rsidR="00AE59DA" w:rsidRPr="00FA7226">
        <w:t xml:space="preserve">Knockdown of PR130 </w:t>
      </w:r>
      <w:r w:rsidR="00095C26">
        <w:t>sensitizes</w:t>
      </w:r>
      <w:r w:rsidR="00AE59DA" w:rsidRPr="00FA7226">
        <w:t xml:space="preserve"> mesenchymal but not epithelial murine PDAC cells </w:t>
      </w:r>
      <w:r w:rsidR="00095C26">
        <w:t>to toxic effects of</w:t>
      </w:r>
      <w:r w:rsidR="00AE59DA" w:rsidRPr="00FA7226">
        <w:t xml:space="preserve"> phendione.</w:t>
      </w:r>
      <w:r w:rsidR="00AE59DA">
        <w:rPr>
          <w:b/>
          <w:bCs/>
        </w:rPr>
        <w:t xml:space="preserve"> </w:t>
      </w:r>
      <w:r w:rsidR="00FA7226">
        <w:rPr>
          <w:b/>
          <w:bCs/>
        </w:rPr>
        <w:t>a</w:t>
      </w:r>
      <w:r w:rsidR="00AE59DA" w:rsidRPr="00583869">
        <w:t xml:space="preserve"> </w:t>
      </w:r>
      <w:r w:rsidR="00AE59DA">
        <w:t xml:space="preserve">Knockdown of PR130 in mesenchymal PDAC cells was </w:t>
      </w:r>
      <w:r w:rsidR="00AE59DA" w:rsidRPr="00583869">
        <w:t>performed as described</w:t>
      </w:r>
      <w:r w:rsidR="00AE59DA">
        <w:t xml:space="preserve"> in </w:t>
      </w:r>
      <w:r w:rsidR="00095C26">
        <w:t>the main text</w:t>
      </w:r>
      <w:r w:rsidR="00AE59DA">
        <w:t xml:space="preserve">. </w:t>
      </w:r>
      <w:r w:rsidR="00AE59DA" w:rsidRPr="00583869">
        <w:t xml:space="preserve">Cells were treated with </w:t>
      </w:r>
      <w:r w:rsidR="00AE59DA">
        <w:br/>
        <w:t>3</w:t>
      </w:r>
      <w:r w:rsidR="00AE59DA" w:rsidRPr="00583869">
        <w:t xml:space="preserve"> µM phendione</w:t>
      </w:r>
      <w:r w:rsidR="00095C26">
        <w:t>. After</w:t>
      </w:r>
      <w:r w:rsidR="00AE59DA" w:rsidRPr="00583869">
        <w:t xml:space="preserve"> 24 h</w:t>
      </w:r>
      <w:r w:rsidR="00095C26">
        <w:t>, the c</w:t>
      </w:r>
      <w:r w:rsidR="00AE59DA">
        <w:t xml:space="preserve">ells were harvested </w:t>
      </w:r>
      <w:r w:rsidR="00AE59DA" w:rsidRPr="00583869">
        <w:t xml:space="preserve">and </w:t>
      </w:r>
      <w:r w:rsidR="00AE59DA">
        <w:t>c</w:t>
      </w:r>
      <w:r w:rsidR="00AE59DA" w:rsidRPr="00583869">
        <w:t xml:space="preserve">ell death was determined by flow cytometry; </w:t>
      </w:r>
      <w:r w:rsidR="00AE59DA" w:rsidRPr="00583869">
        <w:rPr>
          <w:i/>
          <w:iCs/>
        </w:rPr>
        <w:t>n</w:t>
      </w:r>
      <w:r w:rsidR="00AE59DA" w:rsidRPr="00583869">
        <w:t xml:space="preserve"> = </w:t>
      </w:r>
      <w:r w:rsidR="00AE59DA">
        <w:t>2</w:t>
      </w:r>
      <w:r w:rsidR="00AE59DA" w:rsidRPr="00583869">
        <w:t xml:space="preserve">. </w:t>
      </w:r>
      <w:r w:rsidR="00FA7226">
        <w:rPr>
          <w:b/>
          <w:bCs/>
        </w:rPr>
        <w:t xml:space="preserve">b </w:t>
      </w:r>
      <w:r w:rsidR="00AE59DA">
        <w:t>Murine epithelial cells were transfected with siRNA</w:t>
      </w:r>
      <w:r w:rsidR="00095C26">
        <w:t>s</w:t>
      </w:r>
      <w:r w:rsidR="00AE59DA">
        <w:t xml:space="preserve"> against PR130 </w:t>
      </w:r>
      <w:r w:rsidR="00AE59DA" w:rsidRPr="00583869">
        <w:t>as described</w:t>
      </w:r>
      <w:r w:rsidR="00AE59DA">
        <w:t xml:space="preserve"> in</w:t>
      </w:r>
      <w:r w:rsidR="00095C26">
        <w:t xml:space="preserve"> the main text</w:t>
      </w:r>
      <w:r w:rsidR="00AE59DA">
        <w:t xml:space="preserve"> and </w:t>
      </w:r>
      <w:r w:rsidR="00AE59DA" w:rsidRPr="00583869">
        <w:t xml:space="preserve">treated with </w:t>
      </w:r>
      <w:r w:rsidR="00AE59DA">
        <w:t>3</w:t>
      </w:r>
      <w:r w:rsidR="00AE59DA" w:rsidRPr="00583869">
        <w:t xml:space="preserve"> µM phendione for 24 h</w:t>
      </w:r>
      <w:r w:rsidR="00AE59DA">
        <w:t xml:space="preserve">. </w:t>
      </w:r>
      <w:r w:rsidR="00AE59DA" w:rsidRPr="00583869">
        <w:t xml:space="preserve">Apoptosis was measured by annexin-V/PI staining and flow cytometry; </w:t>
      </w:r>
      <w:r w:rsidR="00AE59DA" w:rsidRPr="00583869">
        <w:rPr>
          <w:i/>
          <w:iCs/>
        </w:rPr>
        <w:t>n</w:t>
      </w:r>
      <w:r w:rsidR="00AE59DA" w:rsidRPr="00583869">
        <w:t xml:space="preserve"> = 2.</w:t>
      </w:r>
      <w:r w:rsidR="00AE59DA">
        <w:t xml:space="preserve"> </w:t>
      </w:r>
      <w:r w:rsidR="00FA7226">
        <w:rPr>
          <w:b/>
          <w:bCs/>
        </w:rPr>
        <w:t>c</w:t>
      </w:r>
      <w:r w:rsidR="00AE59DA">
        <w:t xml:space="preserve"> </w:t>
      </w:r>
      <w:proofErr w:type="gramStart"/>
      <w:r w:rsidR="00AE59DA" w:rsidRPr="00583869">
        <w:t>The</w:t>
      </w:r>
      <w:proofErr w:type="gramEnd"/>
      <w:r w:rsidR="00AE59DA" w:rsidRPr="00583869">
        <w:t xml:space="preserve"> murine </w:t>
      </w:r>
      <w:r w:rsidR="00AE59DA">
        <w:t xml:space="preserve">epithelial </w:t>
      </w:r>
      <w:r w:rsidR="00AE59DA" w:rsidRPr="00583869">
        <w:t>PDAC cell</w:t>
      </w:r>
      <w:r w:rsidR="00AE59DA">
        <w:t xml:space="preserve"> line</w:t>
      </w:r>
      <w:r w:rsidR="00AE59DA" w:rsidRPr="00583869">
        <w:t xml:space="preserve"> was transfected and treated as described</w:t>
      </w:r>
      <w:r w:rsidR="00AE59DA">
        <w:t xml:space="preserve"> in (B). I</w:t>
      </w:r>
      <w:r w:rsidR="00AE59DA" w:rsidRPr="00583869">
        <w:t xml:space="preserve">mmunoblot was done to detect PR130 and HSP70. HSP90 served as loading control; </w:t>
      </w:r>
      <w:r w:rsidR="00AE59DA" w:rsidRPr="00583869">
        <w:rPr>
          <w:i/>
          <w:iCs/>
        </w:rPr>
        <w:t xml:space="preserve">n </w:t>
      </w:r>
      <w:r w:rsidR="00AE59DA" w:rsidRPr="00583869">
        <w:t>= 3.</w:t>
      </w:r>
      <w:r w:rsidR="00AE59DA">
        <w:t xml:space="preserve"> </w:t>
      </w:r>
      <w:r w:rsidR="00FA7226">
        <w:rPr>
          <w:b/>
          <w:bCs/>
        </w:rPr>
        <w:t>d</w:t>
      </w:r>
      <w:r w:rsidR="00AE59DA" w:rsidRPr="00583869">
        <w:t xml:space="preserve"> </w:t>
      </w:r>
      <w:r w:rsidR="00AE59DA">
        <w:t>8296</w:t>
      </w:r>
      <w:r w:rsidR="00AE59DA" w:rsidRPr="00583869">
        <w:t xml:space="preserve"> cells were transfected and treated as described</w:t>
      </w:r>
      <w:r w:rsidR="00095C26">
        <w:t xml:space="preserve"> above</w:t>
      </w:r>
      <w:r w:rsidR="00AE59DA" w:rsidRPr="00583869">
        <w:t xml:space="preserve">. </w:t>
      </w:r>
      <w:r w:rsidR="00095C26">
        <w:t>The</w:t>
      </w:r>
      <w:r w:rsidR="00AE59DA">
        <w:t xml:space="preserve"> accumulation of aggresomes </w:t>
      </w:r>
      <w:r w:rsidR="00095C26">
        <w:t>was</w:t>
      </w:r>
      <w:r w:rsidR="00AE59DA">
        <w:t xml:space="preserve"> analyzed </w:t>
      </w:r>
      <w:r w:rsidR="00AE59DA" w:rsidRPr="00583869">
        <w:t>using the aggresome detection kit</w:t>
      </w:r>
      <w:r w:rsidR="00AE59DA">
        <w:t>. Data</w:t>
      </w:r>
      <w:r w:rsidR="00AE59DA">
        <w:rPr>
          <w:color w:val="111111"/>
          <w:shd w:val="clear" w:color="auto" w:fill="FFFFFF"/>
        </w:rPr>
        <w:t xml:space="preserve"> were measured </w:t>
      </w:r>
      <w:r w:rsidR="00AE59DA" w:rsidRPr="00583869">
        <w:t>by flow cytometry</w:t>
      </w:r>
      <w:r w:rsidR="00AE59DA">
        <w:t xml:space="preserve"> and </w:t>
      </w:r>
      <w:r w:rsidR="00AE59DA" w:rsidRPr="00583869">
        <w:t xml:space="preserve">statistically analyzed using two-way ANOVA (* </w:t>
      </w:r>
      <w:r w:rsidR="00AE59DA" w:rsidRPr="00583869">
        <w:rPr>
          <w:i/>
          <w:iCs/>
        </w:rPr>
        <w:t xml:space="preserve">p </w:t>
      </w:r>
      <w:r w:rsidR="00AE59DA" w:rsidRPr="00583869">
        <w:t xml:space="preserve">&lt; 0.05, ** </w:t>
      </w:r>
      <w:r w:rsidR="00AE59DA" w:rsidRPr="00583869">
        <w:rPr>
          <w:i/>
          <w:iCs/>
        </w:rPr>
        <w:t>p</w:t>
      </w:r>
      <w:r w:rsidR="00AE59DA" w:rsidRPr="00583869">
        <w:t xml:space="preserve"> &lt; 0.01, *** </w:t>
      </w:r>
      <w:r w:rsidR="00AE59DA" w:rsidRPr="00583869">
        <w:rPr>
          <w:i/>
          <w:iCs/>
        </w:rPr>
        <w:t>p</w:t>
      </w:r>
      <w:r w:rsidR="00AE59DA" w:rsidRPr="00583869">
        <w:t xml:space="preserve"> &lt; 0.001, **** </w:t>
      </w:r>
      <w:r w:rsidR="00AE59DA" w:rsidRPr="00583869">
        <w:rPr>
          <w:i/>
          <w:iCs/>
        </w:rPr>
        <w:t>p</w:t>
      </w:r>
      <w:r w:rsidR="00AE59DA" w:rsidRPr="00583869">
        <w:t xml:space="preserve"> &lt; 0.0001); </w:t>
      </w:r>
      <w:r w:rsidR="00AE59DA" w:rsidRPr="00583869">
        <w:rPr>
          <w:i/>
          <w:iCs/>
        </w:rPr>
        <w:t xml:space="preserve">n </w:t>
      </w:r>
      <w:r w:rsidR="00AE59DA" w:rsidRPr="00583869">
        <w:t>= 3.</w:t>
      </w:r>
    </w:p>
    <w:sectPr w:rsidR="00434009" w:rsidRPr="00095C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DA"/>
    <w:rsid w:val="00076131"/>
    <w:rsid w:val="00095C26"/>
    <w:rsid w:val="002F2F3B"/>
    <w:rsid w:val="004003DA"/>
    <w:rsid w:val="00434009"/>
    <w:rsid w:val="00547873"/>
    <w:rsid w:val="00767583"/>
    <w:rsid w:val="009B5228"/>
    <w:rsid w:val="00AE59DA"/>
    <w:rsid w:val="00BD64BF"/>
    <w:rsid w:val="00D05E5B"/>
    <w:rsid w:val="00D974B7"/>
    <w:rsid w:val="00DC7C77"/>
    <w:rsid w:val="00F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8A0F"/>
  <w15:chartTrackingRefBased/>
  <w15:docId w15:val="{EE10DB08-70FC-4B29-B9C8-F7B3C441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59DA"/>
    <w:pPr>
      <w:spacing w:after="0" w:line="360" w:lineRule="auto"/>
    </w:pPr>
    <w:rPr>
      <w:rFonts w:ascii="Arial" w:hAnsi="Arial" w:cs="Arial"/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C7C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C7C77"/>
    <w:rPr>
      <w:color w:val="0563C1" w:themeColor="hyperlink"/>
      <w:u w:val="single"/>
    </w:rPr>
  </w:style>
  <w:style w:type="paragraph" w:customStyle="1" w:styleId="SMHeading">
    <w:name w:val="SM Heading"/>
    <w:basedOn w:val="berschrift1"/>
    <w:qFormat/>
    <w:rsid w:val="00DC7C77"/>
    <w:pPr>
      <w:keepLines w:val="0"/>
      <w:spacing w:after="60" w:line="240" w:lineRule="auto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7C7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okraemer@uni-mainz.de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Thi Phuc Nhien Alexandra</dc:creator>
  <cp:keywords/>
  <dc:description/>
  <cp:lastModifiedBy>Nguyen, Thi Phuc Nhien Alexandra</cp:lastModifiedBy>
  <cp:revision>11</cp:revision>
  <dcterms:created xsi:type="dcterms:W3CDTF">2023-08-25T08:24:00Z</dcterms:created>
  <dcterms:modified xsi:type="dcterms:W3CDTF">2023-09-25T13:33:00Z</dcterms:modified>
</cp:coreProperties>
</file>