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7C6A54" w14:textId="77777777" w:rsidR="00D31C5C" w:rsidRPr="00300E60" w:rsidRDefault="00D31C5C" w:rsidP="00D31C5C">
      <w:pPr>
        <w:spacing w:line="480" w:lineRule="auto"/>
        <w:rPr>
          <w:rFonts w:ascii="Times New Roman" w:eastAsia="SimSun" w:hAnsi="Times New Roman" w:cs="Times New Roman"/>
          <w:b/>
          <w:bCs/>
          <w:kern w:val="0"/>
          <w:sz w:val="20"/>
          <w:szCs w:val="20"/>
          <w:lang w:val="en-AU" w:eastAsia="en-AU"/>
        </w:rPr>
      </w:pPr>
      <w:r w:rsidRPr="00300E60">
        <w:rPr>
          <w:rFonts w:ascii="Times New Roman" w:eastAsia="SimSun" w:hAnsi="Times New Roman" w:cs="Times New Roman"/>
          <w:b/>
          <w:bCs/>
          <w:kern w:val="0"/>
          <w:sz w:val="20"/>
          <w:szCs w:val="20"/>
          <w:lang w:val="en-AU" w:eastAsia="en-AU"/>
        </w:rPr>
        <w:t>Supplementary Information</w:t>
      </w:r>
    </w:p>
    <w:p w14:paraId="6107D8A7" w14:textId="77777777" w:rsidR="00D31C5C" w:rsidRPr="00300E60" w:rsidRDefault="00D31C5C" w:rsidP="00D31C5C">
      <w:pPr>
        <w:spacing w:line="480" w:lineRule="auto"/>
        <w:ind w:rightChars="-432" w:right="-907"/>
        <w:rPr>
          <w:rFonts w:ascii="Times New Roman" w:hAnsi="Times New Roman" w:cs="Times New Roman"/>
          <w:sz w:val="20"/>
          <w:szCs w:val="20"/>
        </w:rPr>
      </w:pPr>
      <w:r w:rsidRPr="00300E60">
        <w:rPr>
          <w:rFonts w:ascii="Times New Roman" w:hAnsi="Times New Roman" w:cs="Times New Roman"/>
          <w:b/>
          <w:bCs/>
          <w:sz w:val="20"/>
          <w:szCs w:val="20"/>
        </w:rPr>
        <w:t xml:space="preserve">Table S1 </w:t>
      </w:r>
      <w:bookmarkStart w:id="0" w:name="_Hlk47122527"/>
      <w:r w:rsidRPr="00300E60">
        <w:rPr>
          <w:rFonts w:ascii="Times New Roman" w:hAnsi="Times New Roman" w:cs="Times New Roman"/>
          <w:sz w:val="20"/>
          <w:szCs w:val="20"/>
        </w:rPr>
        <w:t>PCR primers</w:t>
      </w:r>
      <w:bookmarkEnd w:id="0"/>
      <w:r w:rsidRPr="00300E60">
        <w:rPr>
          <w:rFonts w:ascii="Times New Roman" w:hAnsi="Times New Roman" w:cs="Times New Roman"/>
          <w:sz w:val="20"/>
          <w:szCs w:val="20"/>
        </w:rPr>
        <w:t>.</w:t>
      </w:r>
    </w:p>
    <w:p w14:paraId="050F6B18" w14:textId="77777777" w:rsidR="00D31C5C" w:rsidRPr="00300E60" w:rsidRDefault="00D31C5C" w:rsidP="00D31C5C">
      <w:pPr>
        <w:spacing w:line="480" w:lineRule="auto"/>
        <w:ind w:rightChars="-432" w:right="-907"/>
        <w:rPr>
          <w:rFonts w:ascii="Times New Roman" w:hAnsi="Times New Roman" w:cs="Times New Roman"/>
          <w:sz w:val="20"/>
          <w:szCs w:val="20"/>
        </w:rPr>
      </w:pPr>
      <w:r w:rsidRPr="00300E60">
        <w:rPr>
          <w:rFonts w:ascii="Times New Roman" w:hAnsi="Times New Roman" w:cs="Times New Roman"/>
          <w:b/>
          <w:bCs/>
          <w:sz w:val="20"/>
          <w:szCs w:val="20"/>
        </w:rPr>
        <w:t xml:space="preserve">Table S2 </w:t>
      </w:r>
      <w:r w:rsidRPr="00300E60">
        <w:rPr>
          <w:rFonts w:ascii="Times New Roman" w:hAnsi="Times New Roman" w:cs="Times New Roman"/>
          <w:sz w:val="20"/>
          <w:szCs w:val="20"/>
        </w:rPr>
        <w:t>shRNA target sequences of LAMC2.</w:t>
      </w:r>
    </w:p>
    <w:p w14:paraId="3B8C24D4" w14:textId="77777777" w:rsidR="00D31C5C" w:rsidRPr="00300E60" w:rsidRDefault="00D31C5C" w:rsidP="00D31C5C">
      <w:pPr>
        <w:spacing w:line="480" w:lineRule="auto"/>
        <w:ind w:rightChars="-432" w:right="-907"/>
        <w:rPr>
          <w:rFonts w:ascii="Times New Roman" w:hAnsi="Times New Roman" w:cs="Times New Roman"/>
          <w:sz w:val="20"/>
          <w:szCs w:val="20"/>
        </w:rPr>
      </w:pPr>
      <w:r w:rsidRPr="00300E60">
        <w:rPr>
          <w:rFonts w:ascii="Times New Roman" w:hAnsi="Times New Roman" w:cs="Times New Roman"/>
          <w:b/>
          <w:bCs/>
          <w:sz w:val="20"/>
          <w:szCs w:val="20"/>
        </w:rPr>
        <w:t xml:space="preserve">Table S3 </w:t>
      </w:r>
      <w:r w:rsidRPr="00300E60">
        <w:rPr>
          <w:rFonts w:ascii="Times New Roman" w:hAnsi="Times New Roman" w:cs="Times New Roman"/>
          <w:sz w:val="20"/>
          <w:szCs w:val="20"/>
        </w:rPr>
        <w:t>GO terms for the top 8 hub genes.</w:t>
      </w:r>
    </w:p>
    <w:p w14:paraId="0A6D99D5" w14:textId="77777777" w:rsidR="00D31C5C" w:rsidRPr="00300E60" w:rsidRDefault="00D31C5C" w:rsidP="00D31C5C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300E60">
        <w:rPr>
          <w:rFonts w:ascii="Times New Roman" w:hAnsi="Times New Roman" w:cs="Times New Roman"/>
          <w:b/>
          <w:bCs/>
          <w:sz w:val="20"/>
          <w:szCs w:val="20"/>
        </w:rPr>
        <w:t xml:space="preserve">Fig. S1 </w:t>
      </w:r>
      <w:r w:rsidRPr="00300E60">
        <w:rPr>
          <w:rFonts w:ascii="Times New Roman" w:hAnsi="Times New Roman" w:cs="Times New Roman"/>
          <w:bCs/>
          <w:sz w:val="20"/>
          <w:szCs w:val="20"/>
        </w:rPr>
        <w:t xml:space="preserve">Apoptosis markers in HSC3, SCC9, Cal27 and SCC15 cell lines. </w:t>
      </w:r>
      <w:r w:rsidRPr="00300E60">
        <w:rPr>
          <w:rFonts w:ascii="Times New Roman" w:hAnsi="Times New Roman" w:cs="Times New Roman"/>
          <w:b/>
          <w:sz w:val="20"/>
          <w:szCs w:val="20"/>
        </w:rPr>
        <w:t>A</w:t>
      </w:r>
      <w:r w:rsidRPr="00300E60">
        <w:rPr>
          <w:rFonts w:ascii="Times New Roman" w:hAnsi="Times New Roman" w:cs="Times New Roman"/>
          <w:bCs/>
          <w:sz w:val="20"/>
          <w:szCs w:val="20"/>
        </w:rPr>
        <w:t xml:space="preserve"> The apoptosis markers in LAMC2-overexpressed HSC3 and SCC9 cell lines. </w:t>
      </w:r>
      <w:r w:rsidRPr="00300E60">
        <w:rPr>
          <w:rFonts w:ascii="Times New Roman" w:hAnsi="Times New Roman" w:cs="Times New Roman"/>
          <w:b/>
          <w:sz w:val="20"/>
          <w:szCs w:val="20"/>
        </w:rPr>
        <w:t>B</w:t>
      </w:r>
      <w:r w:rsidRPr="00300E60">
        <w:rPr>
          <w:rFonts w:ascii="Times New Roman" w:hAnsi="Times New Roman" w:cs="Times New Roman"/>
          <w:bCs/>
          <w:sz w:val="20"/>
          <w:szCs w:val="20"/>
        </w:rPr>
        <w:t xml:space="preserve"> The apoptosis markers in LAMC2-overexpressed Cal27 and SCC15 cell lines.</w:t>
      </w:r>
    </w:p>
    <w:p w14:paraId="29B3386D" w14:textId="77777777" w:rsidR="00D31C5C" w:rsidRPr="00300E60" w:rsidRDefault="00D31C5C" w:rsidP="00D31C5C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300E60">
        <w:rPr>
          <w:rFonts w:ascii="Times New Roman" w:hAnsi="Times New Roman" w:cs="Times New Roman"/>
          <w:b/>
          <w:bCs/>
          <w:sz w:val="20"/>
          <w:szCs w:val="20"/>
        </w:rPr>
        <w:t>Fig. S2</w:t>
      </w:r>
      <w:r w:rsidRPr="00300E60">
        <w:rPr>
          <w:rFonts w:ascii="Times New Roman" w:hAnsi="Times New Roman" w:cs="Times New Roman"/>
          <w:bCs/>
          <w:sz w:val="20"/>
          <w:szCs w:val="20"/>
        </w:rPr>
        <w:t xml:space="preserve"> The impact of LAMC2 deficiency on the migration and invasion abilities of OSCC cells in orthotopic mouse model. </w:t>
      </w:r>
      <w:r w:rsidRPr="00300E60">
        <w:rPr>
          <w:rFonts w:ascii="Times New Roman" w:hAnsi="Times New Roman" w:cs="Times New Roman"/>
          <w:b/>
          <w:sz w:val="20"/>
          <w:szCs w:val="20"/>
        </w:rPr>
        <w:t xml:space="preserve">A </w:t>
      </w:r>
      <w:r w:rsidRPr="00300E60">
        <w:rPr>
          <w:rFonts w:ascii="Times New Roman" w:hAnsi="Times New Roman" w:cs="Times New Roman"/>
          <w:bCs/>
          <w:sz w:val="20"/>
          <w:szCs w:val="20"/>
        </w:rPr>
        <w:t>Control and LAMC2 knockdown luci-Cal27 OSCC cells (1 × 10</w:t>
      </w:r>
      <w:r w:rsidRPr="00300E60">
        <w:rPr>
          <w:rFonts w:ascii="Times New Roman" w:hAnsi="Times New Roman" w:cs="Times New Roman"/>
          <w:bCs/>
          <w:sz w:val="20"/>
          <w:szCs w:val="20"/>
          <w:vertAlign w:val="superscript"/>
        </w:rPr>
        <w:t>5</w:t>
      </w:r>
      <w:r w:rsidRPr="00300E60">
        <w:rPr>
          <w:rFonts w:ascii="Times New Roman" w:hAnsi="Times New Roman" w:cs="Times New Roman"/>
          <w:bCs/>
          <w:sz w:val="20"/>
          <w:szCs w:val="20"/>
        </w:rPr>
        <w:t xml:space="preserve"> cells/mouse) were injected into tail vein of each nude mouse (n = 6 for each group). Representative images showing luciferase expression from lung metastasis of both Cal27 control and shLAMC2 group at the 4th weeks after injection. </w:t>
      </w:r>
      <w:r w:rsidRPr="00300E60">
        <w:rPr>
          <w:rFonts w:ascii="Times New Roman" w:hAnsi="Times New Roman" w:cs="Times New Roman"/>
          <w:b/>
          <w:sz w:val="20"/>
          <w:szCs w:val="20"/>
        </w:rPr>
        <w:t xml:space="preserve">B </w:t>
      </w:r>
      <w:r w:rsidRPr="00300E60">
        <w:rPr>
          <w:rFonts w:ascii="Times New Roman" w:hAnsi="Times New Roman" w:cs="Times New Roman"/>
          <w:bCs/>
          <w:sz w:val="20"/>
          <w:szCs w:val="20"/>
        </w:rPr>
        <w:t>quantification of luciferase expression of lung metastasis also decreased significantly in LAMC2-knockdown group.</w:t>
      </w:r>
      <w:r w:rsidRPr="00300E60">
        <w:rPr>
          <w:rFonts w:ascii="Times New Roman" w:hAnsi="Times New Roman" w:cs="Times New Roman"/>
          <w:sz w:val="20"/>
          <w:szCs w:val="20"/>
        </w:rPr>
        <w:t xml:space="preserve"> </w:t>
      </w:r>
      <w:r w:rsidRPr="00300E60">
        <w:rPr>
          <w:rFonts w:ascii="Times New Roman" w:hAnsi="Times New Roman" w:cs="Times New Roman"/>
          <w:bCs/>
          <w:sz w:val="20"/>
          <w:szCs w:val="20"/>
        </w:rPr>
        <w:t xml:space="preserve">Data are presented as mean ± SD. ** </w:t>
      </w:r>
      <w:r w:rsidRPr="00300E60">
        <w:rPr>
          <w:rFonts w:ascii="Times New Roman" w:hAnsi="Times New Roman" w:cs="Times New Roman"/>
          <w:bCs/>
          <w:i/>
          <w:iCs/>
          <w:sz w:val="20"/>
          <w:szCs w:val="20"/>
        </w:rPr>
        <w:t>P</w:t>
      </w:r>
      <w:r w:rsidRPr="00300E60">
        <w:rPr>
          <w:rFonts w:ascii="Times New Roman" w:hAnsi="Times New Roman" w:cs="Times New Roman"/>
          <w:bCs/>
          <w:sz w:val="20"/>
          <w:szCs w:val="20"/>
        </w:rPr>
        <w:t xml:space="preserve"> &lt; 0.01, *** </w:t>
      </w:r>
      <w:r w:rsidRPr="00300E60">
        <w:rPr>
          <w:rFonts w:ascii="Times New Roman" w:hAnsi="Times New Roman" w:cs="Times New Roman"/>
          <w:bCs/>
          <w:i/>
          <w:iCs/>
          <w:sz w:val="20"/>
          <w:szCs w:val="20"/>
        </w:rPr>
        <w:t>P</w:t>
      </w:r>
      <w:r w:rsidRPr="00300E60">
        <w:rPr>
          <w:rFonts w:ascii="Times New Roman" w:hAnsi="Times New Roman" w:cs="Times New Roman"/>
          <w:bCs/>
          <w:sz w:val="20"/>
          <w:szCs w:val="20"/>
        </w:rPr>
        <w:t xml:space="preserve"> &lt; 0.001 compared to NC group, * </w:t>
      </w:r>
      <w:r w:rsidRPr="00300E60">
        <w:rPr>
          <w:rFonts w:ascii="Times New Roman" w:hAnsi="Times New Roman" w:cs="Times New Roman"/>
          <w:bCs/>
          <w:i/>
          <w:iCs/>
          <w:sz w:val="20"/>
          <w:szCs w:val="20"/>
        </w:rPr>
        <w:t>P</w:t>
      </w:r>
      <w:r w:rsidRPr="00300E60">
        <w:rPr>
          <w:rFonts w:ascii="Times New Roman" w:hAnsi="Times New Roman" w:cs="Times New Roman"/>
          <w:bCs/>
          <w:sz w:val="20"/>
          <w:szCs w:val="20"/>
        </w:rPr>
        <w:t xml:space="preserve"> &lt; 0.05, ** </w:t>
      </w:r>
      <w:r w:rsidRPr="00300E60">
        <w:rPr>
          <w:rFonts w:ascii="Times New Roman" w:hAnsi="Times New Roman" w:cs="Times New Roman"/>
          <w:bCs/>
          <w:i/>
          <w:iCs/>
          <w:sz w:val="20"/>
          <w:szCs w:val="20"/>
        </w:rPr>
        <w:t>P</w:t>
      </w:r>
      <w:r w:rsidRPr="00300E60">
        <w:rPr>
          <w:rFonts w:ascii="Times New Roman" w:hAnsi="Times New Roman" w:cs="Times New Roman"/>
          <w:bCs/>
          <w:sz w:val="20"/>
          <w:szCs w:val="20"/>
        </w:rPr>
        <w:t xml:space="preserve"> &lt; 0.01 and *** </w:t>
      </w:r>
      <w:r w:rsidRPr="00300E60">
        <w:rPr>
          <w:rFonts w:ascii="Times New Roman" w:hAnsi="Times New Roman" w:cs="Times New Roman"/>
          <w:bCs/>
          <w:i/>
          <w:iCs/>
          <w:sz w:val="20"/>
          <w:szCs w:val="20"/>
        </w:rPr>
        <w:t>P</w:t>
      </w:r>
      <w:r w:rsidRPr="00300E60">
        <w:rPr>
          <w:rFonts w:ascii="Times New Roman" w:hAnsi="Times New Roman" w:cs="Times New Roman"/>
          <w:bCs/>
          <w:sz w:val="20"/>
          <w:szCs w:val="20"/>
        </w:rPr>
        <w:t xml:space="preserve"> &lt; 0.001.</w:t>
      </w:r>
    </w:p>
    <w:p w14:paraId="2959D886" w14:textId="77777777" w:rsidR="00833D74" w:rsidRDefault="00833D74"/>
    <w:sectPr w:rsidR="00833D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C5C"/>
    <w:rsid w:val="001942F0"/>
    <w:rsid w:val="002C0857"/>
    <w:rsid w:val="003F01F8"/>
    <w:rsid w:val="00833D74"/>
    <w:rsid w:val="00884728"/>
    <w:rsid w:val="008E2845"/>
    <w:rsid w:val="00D00B5E"/>
    <w:rsid w:val="00D31C5C"/>
    <w:rsid w:val="00F07CF1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AE9DE"/>
  <w15:chartTrackingRefBased/>
  <w15:docId w15:val="{27091128-C898-44D7-BCA6-F77D54DE7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C5C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855</Characters>
  <Application>Microsoft Office Word</Application>
  <DocSecurity>0</DocSecurity>
  <Lines>7</Lines>
  <Paragraphs>2</Paragraphs>
  <ScaleCrop>false</ScaleCrop>
  <Company>Springer Nature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2023-11-15T14:44:00Z</dcterms:created>
  <dcterms:modified xsi:type="dcterms:W3CDTF">2023-11-15T14:45:00Z</dcterms:modified>
</cp:coreProperties>
</file>