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AAD1" w14:textId="1105C056" w:rsidR="003A3D60" w:rsidRDefault="003A3D60" w:rsidP="003A3D60">
      <w:pPr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bookmarkStart w:id="0" w:name="OLE_LINK2"/>
      <w:r w:rsidRPr="003A3D60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LAMC2 promotes oral squamous cell carcinoma growth by activating the p-ERK/c-</w:t>
      </w:r>
      <w:proofErr w:type="spellStart"/>
      <w:r w:rsidRPr="003A3D60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Myc</w:t>
      </w:r>
      <w:proofErr w:type="spellEnd"/>
      <w:r w:rsidRPr="003A3D60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 xml:space="preserve"> </w:t>
      </w:r>
      <w:proofErr w:type="spellStart"/>
      <w:r w:rsidRPr="003A3D60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signaling</w:t>
      </w:r>
      <w:proofErr w:type="spellEnd"/>
      <w:r w:rsidRPr="003A3D60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 xml:space="preserve"> pathway</w:t>
      </w:r>
      <w:bookmarkEnd w:id="0"/>
    </w:p>
    <w:p w14:paraId="5DDCB4E4" w14:textId="77777777" w:rsidR="003A3D60" w:rsidRPr="003A3D60" w:rsidRDefault="003A3D60" w:rsidP="003A3D60">
      <w:pPr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</w:p>
    <w:p w14:paraId="6F827E05" w14:textId="71856649" w:rsidR="003A3D60" w:rsidRDefault="003A3D60" w:rsidP="003A3D60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3A3D60">
        <w:rPr>
          <w:rFonts w:ascii="Times New Roman" w:hAnsi="Times New Roman" w:cs="Times New Roman"/>
          <w:sz w:val="20"/>
          <w:szCs w:val="20"/>
        </w:rPr>
        <w:t>Bo Qiao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1†</w:t>
      </w:r>
      <w:r w:rsidRPr="003A3D6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3D60">
        <w:rPr>
          <w:rFonts w:ascii="Times New Roman" w:hAnsi="Times New Roman" w:cs="Times New Roman"/>
          <w:sz w:val="20"/>
          <w:szCs w:val="20"/>
        </w:rPr>
        <w:t>Nenghao</w:t>
      </w:r>
      <w:proofErr w:type="spellEnd"/>
      <w:r w:rsidRPr="003A3D60">
        <w:rPr>
          <w:rFonts w:ascii="Times New Roman" w:hAnsi="Times New Roman" w:cs="Times New Roman"/>
          <w:sz w:val="20"/>
          <w:szCs w:val="20"/>
        </w:rPr>
        <w:t xml:space="preserve"> Jin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1, 2†</w:t>
      </w:r>
      <w:r w:rsidRPr="003A3D60">
        <w:rPr>
          <w:rFonts w:ascii="Times New Roman" w:hAnsi="Times New Roman" w:cs="Times New Roman"/>
          <w:sz w:val="20"/>
          <w:szCs w:val="20"/>
        </w:rPr>
        <w:t>, Min Zhao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4, 5</w:t>
      </w:r>
      <w:r w:rsidRPr="003A3D60">
        <w:rPr>
          <w:rFonts w:ascii="Times New Roman" w:hAnsi="Times New Roman" w:cs="Times New Roman"/>
          <w:sz w:val="20"/>
          <w:szCs w:val="20"/>
        </w:rPr>
        <w:t>, Liang Zhu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A3D6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3D60">
        <w:rPr>
          <w:rFonts w:ascii="Times New Roman" w:hAnsi="Times New Roman" w:cs="Times New Roman"/>
          <w:sz w:val="20"/>
          <w:szCs w:val="20"/>
        </w:rPr>
        <w:t>Liangbo</w:t>
      </w:r>
      <w:proofErr w:type="spellEnd"/>
      <w:r w:rsidRPr="003A3D60">
        <w:rPr>
          <w:rFonts w:ascii="Times New Roman" w:hAnsi="Times New Roman" w:cs="Times New Roman"/>
          <w:sz w:val="20"/>
          <w:szCs w:val="20"/>
        </w:rPr>
        <w:t xml:space="preserve"> Li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3A3D60">
        <w:rPr>
          <w:rFonts w:ascii="Times New Roman" w:hAnsi="Times New Roman" w:cs="Times New Roman"/>
          <w:sz w:val="20"/>
          <w:szCs w:val="20"/>
        </w:rPr>
        <w:t>, Bin Gu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3A3D60">
        <w:rPr>
          <w:rFonts w:ascii="Times New Roman" w:hAnsi="Times New Roman" w:cs="Times New Roman"/>
          <w:sz w:val="20"/>
          <w:szCs w:val="20"/>
        </w:rPr>
        <w:t>, Ning Wen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1, 3*</w:t>
      </w:r>
      <w:r w:rsidRPr="003A3D6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3D60">
        <w:rPr>
          <w:rFonts w:ascii="Times New Roman" w:hAnsi="Times New Roman" w:cs="Times New Roman"/>
          <w:sz w:val="20"/>
          <w:szCs w:val="20"/>
        </w:rPr>
        <w:t>Haizhong</w:t>
      </w:r>
      <w:proofErr w:type="spellEnd"/>
      <w:r w:rsidRPr="003A3D60">
        <w:rPr>
          <w:rFonts w:ascii="Times New Roman" w:hAnsi="Times New Roman" w:cs="Times New Roman"/>
          <w:sz w:val="20"/>
          <w:szCs w:val="20"/>
        </w:rPr>
        <w:t xml:space="preserve"> Zhang</w:t>
      </w:r>
      <w:r w:rsidRPr="003A3D60"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4CD2AE9C" w14:textId="77777777" w:rsidR="003A3D60" w:rsidRPr="00300E60" w:rsidRDefault="003A3D60" w:rsidP="003A3D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00E60">
        <w:rPr>
          <w:rFonts w:ascii="Times New Roman" w:hAnsi="Times New Roman" w:cs="Times New Roman"/>
          <w:sz w:val="20"/>
          <w:szCs w:val="20"/>
        </w:rPr>
        <w:t>Department of Stomatology, The First Medical Centre, Chinese PLA General Hospital, Beijing, 100853, China;</w:t>
      </w:r>
    </w:p>
    <w:p w14:paraId="49816C64" w14:textId="77777777" w:rsidR="003A3D60" w:rsidRPr="00300E60" w:rsidRDefault="003A3D60" w:rsidP="003A3D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00E60">
        <w:rPr>
          <w:rFonts w:ascii="Times New Roman" w:hAnsi="Times New Roman" w:cs="Times New Roman"/>
          <w:sz w:val="20"/>
          <w:szCs w:val="20"/>
        </w:rPr>
        <w:t xml:space="preserve">Medical School of Chinese PLA, Beijing, 100853, China; </w:t>
      </w:r>
    </w:p>
    <w:p w14:paraId="05280A61" w14:textId="77777777" w:rsidR="003A3D60" w:rsidRPr="00300E60" w:rsidRDefault="003A3D60" w:rsidP="003A3D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00E60">
        <w:rPr>
          <w:rFonts w:ascii="Times New Roman" w:hAnsi="Times New Roman" w:cs="Times New Roman"/>
          <w:sz w:val="20"/>
          <w:szCs w:val="20"/>
        </w:rPr>
        <w:t xml:space="preserve">Institute of Stomatology, Oral Maxilla Facial Key Laboratory, The First Medical Centre, Chinese PLA General Hospital, Beijing, 100853, China; </w:t>
      </w:r>
    </w:p>
    <w:p w14:paraId="6C22DABE" w14:textId="77777777" w:rsidR="003A3D60" w:rsidRPr="00300E60" w:rsidRDefault="003A3D60" w:rsidP="003A3D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300E60">
        <w:rPr>
          <w:rFonts w:ascii="Times New Roman" w:hAnsi="Times New Roman" w:cs="Times New Roman"/>
          <w:sz w:val="20"/>
          <w:szCs w:val="20"/>
        </w:rPr>
        <w:t xml:space="preserve">Research Center of Medical Big Data, Chinese PLA General Hospital, Beijing, 100853, China; </w:t>
      </w:r>
    </w:p>
    <w:p w14:paraId="102E8B03" w14:textId="77777777" w:rsidR="003A3D60" w:rsidRPr="00300E60" w:rsidRDefault="003A3D60" w:rsidP="003A3D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300E60">
        <w:rPr>
          <w:rFonts w:ascii="Times New Roman" w:hAnsi="Times New Roman" w:cs="Times New Roman"/>
          <w:sz w:val="20"/>
          <w:szCs w:val="20"/>
        </w:rPr>
        <w:t xml:space="preserve">Pharmaceutical Diagnostics, GE Healthcare, Beijing, 100176, China. </w:t>
      </w:r>
    </w:p>
    <w:p w14:paraId="360083F2" w14:textId="77777777" w:rsidR="003A3D60" w:rsidRPr="003A3D60" w:rsidRDefault="003A3D60" w:rsidP="003A3D60">
      <w:pPr>
        <w:rPr>
          <w:rFonts w:ascii="Times New Roman" w:hAnsi="Times New Roman" w:cs="Times New Roman"/>
          <w:sz w:val="20"/>
          <w:szCs w:val="20"/>
        </w:rPr>
      </w:pPr>
    </w:p>
    <w:p w14:paraId="7F180DCF" w14:textId="77777777" w:rsidR="003A3D60" w:rsidRDefault="003A3D60" w:rsidP="003A3D60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82BFD96" w14:textId="2242FE07" w:rsidR="005F2764" w:rsidRPr="003A3D60" w:rsidRDefault="005F2764" w:rsidP="003A3D60">
      <w:pPr>
        <w:jc w:val="center"/>
        <w:rPr>
          <w:rFonts w:ascii="Times New Roman" w:hAnsi="Times New Roman" w:cs="Times New Roman"/>
          <w:b/>
          <w:bCs/>
          <w:sz w:val="20"/>
          <w:szCs w:val="21"/>
        </w:rPr>
      </w:pPr>
      <w:r w:rsidRPr="003A3D60">
        <w:rPr>
          <w:rFonts w:ascii="Times New Roman" w:hAnsi="Times New Roman" w:cs="Times New Roman"/>
          <w:b/>
          <w:bCs/>
          <w:sz w:val="20"/>
          <w:szCs w:val="21"/>
        </w:rPr>
        <w:t xml:space="preserve">Table S1 </w:t>
      </w:r>
      <w:bookmarkStart w:id="1" w:name="_Hlk47122527"/>
      <w:r w:rsidRPr="003A3D60">
        <w:rPr>
          <w:rFonts w:ascii="Times New Roman" w:hAnsi="Times New Roman" w:cs="Times New Roman"/>
          <w:b/>
          <w:bCs/>
          <w:sz w:val="20"/>
          <w:szCs w:val="21"/>
        </w:rPr>
        <w:t>PCR primers</w:t>
      </w:r>
      <w:bookmarkEnd w:id="1"/>
    </w:p>
    <w:tbl>
      <w:tblPr>
        <w:tblW w:w="8415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2"/>
        <w:gridCol w:w="3666"/>
        <w:gridCol w:w="3737"/>
      </w:tblGrid>
      <w:tr w:rsidR="00F950FB" w:rsidRPr="00337671" w14:paraId="58D4CA2D" w14:textId="77777777" w:rsidTr="003A3D60">
        <w:trPr>
          <w:trHeight w:val="420"/>
        </w:trPr>
        <w:tc>
          <w:tcPr>
            <w:tcW w:w="1012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67359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3666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3E843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Forward primers(5‘-3’)</w:t>
            </w:r>
          </w:p>
        </w:tc>
        <w:tc>
          <w:tcPr>
            <w:tcW w:w="3737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21E64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Reverse primers(5‘-3’)</w:t>
            </w:r>
          </w:p>
        </w:tc>
      </w:tr>
      <w:tr w:rsidR="00F950FB" w:rsidRPr="00337671" w14:paraId="38148CE2" w14:textId="77777777" w:rsidTr="003A3D60">
        <w:trPr>
          <w:trHeight w:val="508"/>
        </w:trPr>
        <w:tc>
          <w:tcPr>
            <w:tcW w:w="1012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D171B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LAMC2</w:t>
            </w:r>
          </w:p>
        </w:tc>
        <w:tc>
          <w:tcPr>
            <w:tcW w:w="3666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4C6330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5’-GACAAACTGGTAATGGATTCCGC-3′</w:t>
            </w:r>
          </w:p>
        </w:tc>
        <w:tc>
          <w:tcPr>
            <w:tcW w:w="3737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6165B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5’-TTCTCTGTGCCGGTAAAAGCC-3′ </w:t>
            </w:r>
          </w:p>
        </w:tc>
      </w:tr>
      <w:tr w:rsidR="00F950FB" w:rsidRPr="00337671" w14:paraId="3D091708" w14:textId="77777777" w:rsidTr="003A3D60">
        <w:trPr>
          <w:trHeight w:val="326"/>
        </w:trPr>
        <w:tc>
          <w:tcPr>
            <w:tcW w:w="1012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D7C31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3666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421F39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5’-ATGACCCCTTCATTGACCTCA-3’</w:t>
            </w:r>
          </w:p>
        </w:tc>
        <w:tc>
          <w:tcPr>
            <w:tcW w:w="3737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482C2" w14:textId="77777777" w:rsidR="005F2764" w:rsidRPr="003A3D60" w:rsidRDefault="005F2764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5’-GAGATGATCACCCTT TTGGCT-3’ </w:t>
            </w:r>
          </w:p>
        </w:tc>
      </w:tr>
    </w:tbl>
    <w:p w14:paraId="7BEBDFA5" w14:textId="77777777" w:rsidR="00F950FB" w:rsidRDefault="00F950FB" w:rsidP="003A3D60">
      <w:pPr>
        <w:spacing w:line="360" w:lineRule="auto"/>
        <w:ind w:firstLineChars="100" w:firstLine="24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5F7AA5BE" w14:textId="77777777" w:rsidR="00F950FB" w:rsidRDefault="00F950FB" w:rsidP="003A3D6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71D1370E" w14:textId="22EFAADD" w:rsidR="005F2764" w:rsidRPr="003A3D60" w:rsidRDefault="005F2764" w:rsidP="003A3D60">
      <w:pPr>
        <w:spacing w:line="360" w:lineRule="auto"/>
        <w:ind w:firstLineChars="100" w:firstLine="2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3D60"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 w:rsidRPr="003A3D60">
        <w:rPr>
          <w:rFonts w:ascii="Times New Roman" w:hAnsi="Times New Roman" w:cs="Times New Roman" w:hint="eastAsia"/>
          <w:b/>
          <w:bCs/>
          <w:sz w:val="20"/>
          <w:szCs w:val="20"/>
        </w:rPr>
        <w:t>able</w:t>
      </w:r>
      <w:r w:rsidRPr="003A3D6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3D60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3A3D60">
        <w:rPr>
          <w:rFonts w:ascii="Times New Roman" w:hAnsi="Times New Roman" w:cs="Times New Roman"/>
          <w:b/>
          <w:bCs/>
          <w:sz w:val="20"/>
          <w:szCs w:val="20"/>
        </w:rPr>
        <w:t>2 shRNA target sequences of LAMC2</w:t>
      </w:r>
    </w:p>
    <w:tbl>
      <w:tblPr>
        <w:tblStyle w:val="a7"/>
        <w:tblW w:w="82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5F2764" w:rsidRPr="003A3D60" w14:paraId="327B0DB0" w14:textId="77777777" w:rsidTr="00F950FB">
        <w:tc>
          <w:tcPr>
            <w:tcW w:w="4111" w:type="dxa"/>
          </w:tcPr>
          <w:p w14:paraId="6D3E9762" w14:textId="162751E3" w:rsidR="005F2764" w:rsidRPr="003A3D60" w:rsidRDefault="005F2764" w:rsidP="003A3D6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111" w:type="dxa"/>
          </w:tcPr>
          <w:p w14:paraId="15427B26" w14:textId="03A6D653" w:rsidR="005F2764" w:rsidRPr="003A3D60" w:rsidRDefault="005F2764" w:rsidP="003A3D6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</w:tr>
      <w:tr w:rsidR="005F2764" w:rsidRPr="003A3D60" w14:paraId="6F894F29" w14:textId="77777777" w:rsidTr="00F950FB">
        <w:tc>
          <w:tcPr>
            <w:tcW w:w="4111" w:type="dxa"/>
          </w:tcPr>
          <w:p w14:paraId="35C8EB36" w14:textId="6F2E507D" w:rsidR="005F2764" w:rsidRPr="003A3D60" w:rsidRDefault="005F2764" w:rsidP="003A3D6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5’CCGGGCTCACCAAGACTTACACATTCTCG</w:t>
            </w:r>
            <w:r w:rsidR="00F950FB" w:rsidRPr="003A3D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AGAATGTGTAAGTCTTGGTGAGCTTTTTG-3′</w:t>
            </w:r>
          </w:p>
        </w:tc>
        <w:tc>
          <w:tcPr>
            <w:tcW w:w="4111" w:type="dxa"/>
          </w:tcPr>
          <w:p w14:paraId="77F43B06" w14:textId="5ED2C59E" w:rsidR="005F2764" w:rsidRPr="003A3D60" w:rsidRDefault="005F2764" w:rsidP="003A3D6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5’AATTCAAAAAGCTCACCAAGACTTACAC</w:t>
            </w:r>
            <w:r w:rsidR="00F950FB" w:rsidRPr="003A3D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ATTCTCGAGAATGTGTAAGTCTTGGTGAGC-3′</w:t>
            </w:r>
          </w:p>
        </w:tc>
      </w:tr>
    </w:tbl>
    <w:p w14:paraId="21E25990" w14:textId="77777777" w:rsidR="00F950FB" w:rsidRDefault="00F950FB" w:rsidP="003A3D6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E197A94" w14:textId="77777777" w:rsidR="00F950FB" w:rsidRDefault="00F950FB" w:rsidP="003A3D6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27BD73C4" w14:textId="04AAD834" w:rsidR="00F950FB" w:rsidRPr="003A3D60" w:rsidRDefault="00F950FB" w:rsidP="003A3D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A3D60"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 w:rsidRPr="003A3D60">
        <w:rPr>
          <w:rFonts w:ascii="Times New Roman" w:hAnsi="Times New Roman" w:cs="Times New Roman" w:hint="eastAsia"/>
          <w:b/>
          <w:bCs/>
          <w:sz w:val="20"/>
          <w:szCs w:val="20"/>
        </w:rPr>
        <w:t>able</w:t>
      </w:r>
      <w:r w:rsidRPr="003A3D60">
        <w:rPr>
          <w:rFonts w:ascii="Times New Roman" w:hAnsi="Times New Roman" w:cs="Times New Roman"/>
          <w:b/>
          <w:bCs/>
          <w:sz w:val="20"/>
          <w:szCs w:val="20"/>
        </w:rPr>
        <w:t xml:space="preserve"> S3 GO terms for the top 8 hub genes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410"/>
        <w:gridCol w:w="4536"/>
      </w:tblGrid>
      <w:tr w:rsidR="00F950FB" w:rsidRPr="003A3D60" w14:paraId="50397351" w14:textId="77777777" w:rsidTr="00F950FB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0EE24C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80C4B03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Gene Description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AA67DEB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Gene function</w:t>
            </w:r>
          </w:p>
        </w:tc>
      </w:tr>
      <w:tr w:rsidR="00F950FB" w:rsidRPr="003A3D60" w14:paraId="26B19AFD" w14:textId="77777777" w:rsidTr="00F950FB">
        <w:tc>
          <w:tcPr>
            <w:tcW w:w="1418" w:type="dxa"/>
            <w:tcBorders>
              <w:top w:val="single" w:sz="4" w:space="0" w:color="auto"/>
            </w:tcBorders>
          </w:tcPr>
          <w:p w14:paraId="4709C730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MYBL2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D2B5154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MYB proto-oncogene like 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1DBFC00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GO:0003700 DNA-binding transcription factor activity</w:t>
            </w:r>
          </w:p>
          <w:p w14:paraId="4F5F68D6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GO:0090307 mitotic spindle assembly</w:t>
            </w:r>
          </w:p>
          <w:p w14:paraId="1A45B59B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GO:0031523 </w:t>
            </w:r>
            <w:proofErr w:type="spellStart"/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Myb</w:t>
            </w:r>
            <w:proofErr w:type="spellEnd"/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 complex</w:t>
            </w:r>
          </w:p>
          <w:p w14:paraId="7F54C94E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GO:0005654 nucleoplasm</w:t>
            </w:r>
          </w:p>
          <w:p w14:paraId="72BBB8E8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GO:0005654 nucleoplasm</w:t>
            </w:r>
          </w:p>
        </w:tc>
      </w:tr>
      <w:tr w:rsidR="00F950FB" w:rsidRPr="003A3D60" w14:paraId="6EB0875F" w14:textId="77777777" w:rsidTr="00F950FB">
        <w:tc>
          <w:tcPr>
            <w:tcW w:w="1418" w:type="dxa"/>
          </w:tcPr>
          <w:p w14:paraId="06939562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LAMC2</w:t>
            </w:r>
          </w:p>
        </w:tc>
        <w:tc>
          <w:tcPr>
            <w:tcW w:w="2410" w:type="dxa"/>
          </w:tcPr>
          <w:p w14:paraId="66D6904A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Laminin subunit gamma 2</w:t>
            </w:r>
          </w:p>
        </w:tc>
        <w:tc>
          <w:tcPr>
            <w:tcW w:w="4536" w:type="dxa"/>
          </w:tcPr>
          <w:p w14:paraId="506A4FDB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GO:0007155 cell adhesion</w:t>
            </w:r>
          </w:p>
          <w:p w14:paraId="198670C2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GO:0005938 cell cortex</w:t>
            </w:r>
          </w:p>
          <w:p w14:paraId="55A0810A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GO:0008544 epidermis development</w:t>
            </w:r>
          </w:p>
          <w:p w14:paraId="0983502D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GO:0022617 extracellular matrix disassembly</w:t>
            </w:r>
          </w:p>
          <w:p w14:paraId="0DA78546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GO:0030198 extracellular matrix organization</w:t>
            </w:r>
          </w:p>
        </w:tc>
      </w:tr>
      <w:tr w:rsidR="00F950FB" w:rsidRPr="003A3D60" w14:paraId="38F8A023" w14:textId="77777777" w:rsidTr="00F950FB">
        <w:tc>
          <w:tcPr>
            <w:tcW w:w="1418" w:type="dxa"/>
          </w:tcPr>
          <w:p w14:paraId="05464984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TK1</w:t>
            </w:r>
          </w:p>
        </w:tc>
        <w:tc>
          <w:tcPr>
            <w:tcW w:w="2410" w:type="dxa"/>
          </w:tcPr>
          <w:p w14:paraId="747F061F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Thymidine Kinase 1</w:t>
            </w:r>
          </w:p>
        </w:tc>
        <w:tc>
          <w:tcPr>
            <w:tcW w:w="4536" w:type="dxa"/>
          </w:tcPr>
          <w:p w14:paraId="481AC3CE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GO:0000166 nucleotide binding </w:t>
            </w:r>
          </w:p>
          <w:p w14:paraId="45D68915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GO:0004797 thymidine kinase activity GO:0005515 protein binding</w:t>
            </w:r>
          </w:p>
          <w:p w14:paraId="5255BCE6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GO:0005524 ATP binding IEA</w:t>
            </w:r>
          </w:p>
          <w:p w14:paraId="3E3CAE54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GO:0008270 zinc ion binding</w:t>
            </w:r>
          </w:p>
        </w:tc>
      </w:tr>
      <w:tr w:rsidR="00F950FB" w:rsidRPr="003A3D60" w14:paraId="034CAA70" w14:textId="77777777" w:rsidTr="00F950FB">
        <w:tc>
          <w:tcPr>
            <w:tcW w:w="1418" w:type="dxa"/>
          </w:tcPr>
          <w:p w14:paraId="35242D77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MICAL2</w:t>
            </w:r>
          </w:p>
        </w:tc>
        <w:tc>
          <w:tcPr>
            <w:tcW w:w="2410" w:type="dxa"/>
          </w:tcPr>
          <w:p w14:paraId="47F10466" w14:textId="77777777" w:rsidR="00F950FB" w:rsidRPr="003A3D60" w:rsidRDefault="00F950FB" w:rsidP="003A3D6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Microtubule associated monooxygenase, calponin and LIM domain containing 2</w:t>
            </w:r>
          </w:p>
        </w:tc>
        <w:tc>
          <w:tcPr>
            <w:tcW w:w="4536" w:type="dxa"/>
          </w:tcPr>
          <w:p w14:paraId="0442928D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GO:0003779 actin binding</w:t>
            </w:r>
          </w:p>
          <w:p w14:paraId="08FCE85E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GO:0030042 actin filament depolymerization</w:t>
            </w:r>
          </w:p>
          <w:p w14:paraId="696B1A04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GO:0007010 cytoskeleton organization</w:t>
            </w:r>
          </w:p>
          <w:p w14:paraId="4CD1EA50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GO:0071949 FAD binding</w:t>
            </w:r>
          </w:p>
          <w:p w14:paraId="2C16D741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GO:0007507 heart development</w:t>
            </w:r>
          </w:p>
        </w:tc>
      </w:tr>
      <w:tr w:rsidR="00F950FB" w:rsidRPr="003A3D60" w14:paraId="754D1F4E" w14:textId="77777777" w:rsidTr="00F950FB">
        <w:tc>
          <w:tcPr>
            <w:tcW w:w="1418" w:type="dxa"/>
          </w:tcPr>
          <w:p w14:paraId="2F334BA7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FSCN1</w:t>
            </w:r>
          </w:p>
        </w:tc>
        <w:tc>
          <w:tcPr>
            <w:tcW w:w="2410" w:type="dxa"/>
          </w:tcPr>
          <w:p w14:paraId="5DEA0BA7" w14:textId="77777777" w:rsidR="00F950FB" w:rsidRPr="003A3D60" w:rsidRDefault="00F950FB" w:rsidP="003A3D6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Fascin</w:t>
            </w:r>
            <w:proofErr w:type="spellEnd"/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 actin-bundling protein 1</w:t>
            </w:r>
          </w:p>
        </w:tc>
        <w:tc>
          <w:tcPr>
            <w:tcW w:w="4536" w:type="dxa"/>
          </w:tcPr>
          <w:p w14:paraId="76CDE92B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GO:0003779 actin binding</w:t>
            </w:r>
          </w:p>
          <w:p w14:paraId="54771F37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GO:0015629 actin cytoskeleton</w:t>
            </w:r>
          </w:p>
          <w:p w14:paraId="78F55FE9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GO:0030036 actin cytoskeleton organization</w:t>
            </w:r>
          </w:p>
          <w:p w14:paraId="786D732A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GO:0051015 actin filament binding</w:t>
            </w:r>
          </w:p>
          <w:p w14:paraId="19E80679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GO:0051017 actin filament bundle assembly</w:t>
            </w:r>
          </w:p>
        </w:tc>
      </w:tr>
      <w:tr w:rsidR="00F950FB" w:rsidRPr="003A3D60" w14:paraId="2E1E0256" w14:textId="77777777" w:rsidTr="00F950FB">
        <w:tc>
          <w:tcPr>
            <w:tcW w:w="1418" w:type="dxa"/>
          </w:tcPr>
          <w:p w14:paraId="2AB6DAE3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FOXM1</w:t>
            </w:r>
          </w:p>
        </w:tc>
        <w:tc>
          <w:tcPr>
            <w:tcW w:w="2410" w:type="dxa"/>
          </w:tcPr>
          <w:p w14:paraId="43F81181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Forkhead</w:t>
            </w:r>
            <w:proofErr w:type="spellEnd"/>
            <w:r w:rsidRPr="003A3D60">
              <w:rPr>
                <w:rFonts w:ascii="Times New Roman" w:hAnsi="Times New Roman" w:cs="Times New Roman"/>
                <w:sz w:val="20"/>
                <w:szCs w:val="20"/>
              </w:rPr>
              <w:t xml:space="preserve"> box M1</w:t>
            </w:r>
          </w:p>
        </w:tc>
        <w:tc>
          <w:tcPr>
            <w:tcW w:w="4536" w:type="dxa"/>
          </w:tcPr>
          <w:p w14:paraId="1EC44FF1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GO:0007049 cell cycle</w:t>
            </w:r>
          </w:p>
          <w:p w14:paraId="6C3B8E5D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GO:0005737 cytoplasm</w:t>
            </w:r>
          </w:p>
          <w:p w14:paraId="43D1805E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GO:0003677 DNA binding</w:t>
            </w:r>
          </w:p>
          <w:p w14:paraId="57367648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GO:0006978 DNA damage response, signal transduction by p53 class mediator resulting in transcription of p21 class mediator</w:t>
            </w:r>
          </w:p>
          <w:p w14:paraId="5F6483B8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GO:0006281 DNA repair</w:t>
            </w:r>
          </w:p>
        </w:tc>
      </w:tr>
      <w:tr w:rsidR="00F950FB" w:rsidRPr="003A3D60" w14:paraId="045874FF" w14:textId="77777777" w:rsidTr="00F950FB">
        <w:tc>
          <w:tcPr>
            <w:tcW w:w="1418" w:type="dxa"/>
          </w:tcPr>
          <w:p w14:paraId="504C6493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ELF4</w:t>
            </w:r>
          </w:p>
        </w:tc>
        <w:tc>
          <w:tcPr>
            <w:tcW w:w="2410" w:type="dxa"/>
          </w:tcPr>
          <w:p w14:paraId="1DBB323F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E74 like ETS transcription factor 4</w:t>
            </w:r>
          </w:p>
        </w:tc>
        <w:tc>
          <w:tcPr>
            <w:tcW w:w="4536" w:type="dxa"/>
          </w:tcPr>
          <w:p w14:paraId="3183625F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GO:0030154 cell differentiation</w:t>
            </w:r>
          </w:p>
          <w:p w14:paraId="186194EE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GO:0000981 DNA-binding transcription factor activity, RNA polymerase II-specific</w:t>
            </w:r>
          </w:p>
          <w:p w14:paraId="729B2DB3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GO:0005794 Golgi apparatus</w:t>
            </w:r>
          </w:p>
          <w:p w14:paraId="4635118E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GO:0045087 innate immune response</w:t>
            </w:r>
          </w:p>
          <w:p w14:paraId="7CEF5338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GO:0001787 natural killer cell proliferation</w:t>
            </w:r>
          </w:p>
        </w:tc>
      </w:tr>
      <w:tr w:rsidR="00F950FB" w:rsidRPr="003A3D60" w14:paraId="4809D03F" w14:textId="77777777" w:rsidTr="00F950FB">
        <w:trPr>
          <w:trHeight w:val="1420"/>
        </w:trPr>
        <w:tc>
          <w:tcPr>
            <w:tcW w:w="1418" w:type="dxa"/>
            <w:tcBorders>
              <w:bottom w:val="single" w:sz="4" w:space="0" w:color="auto"/>
            </w:tcBorders>
          </w:tcPr>
          <w:p w14:paraId="508D129C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TPX2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0FB872" w14:textId="77777777" w:rsidR="00F950FB" w:rsidRPr="003A3D60" w:rsidRDefault="00F950FB" w:rsidP="003A3D6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TPX2 microtubule nucleation factor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923DC16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GO:0032147 activation of protein kinase activity</w:t>
            </w:r>
          </w:p>
          <w:p w14:paraId="5FBEF655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GO:0006915 apoptotic process</w:t>
            </w:r>
          </w:p>
          <w:p w14:paraId="3BFCF984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GO:0005524 ATP binding</w:t>
            </w:r>
          </w:p>
          <w:p w14:paraId="72FD003C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GO:0043203 axon hillock</w:t>
            </w:r>
          </w:p>
          <w:p w14:paraId="6EFF0258" w14:textId="77777777" w:rsidR="00F950FB" w:rsidRPr="003A3D60" w:rsidRDefault="00F950FB" w:rsidP="003A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D60">
              <w:rPr>
                <w:rFonts w:ascii="Times New Roman" w:hAnsi="Times New Roman" w:cs="Times New Roman"/>
                <w:sz w:val="20"/>
                <w:szCs w:val="20"/>
              </w:rPr>
              <w:t>GO:0051301 cell division</w:t>
            </w:r>
          </w:p>
        </w:tc>
      </w:tr>
    </w:tbl>
    <w:p w14:paraId="3B86D87A" w14:textId="77777777" w:rsidR="00F950FB" w:rsidRPr="00E35D1F" w:rsidRDefault="00F950FB" w:rsidP="003A3D60"/>
    <w:p w14:paraId="1AAC1805" w14:textId="038C5BBA" w:rsidR="00F950FB" w:rsidRDefault="00F950FB" w:rsidP="003A3D60">
      <w:pPr>
        <w:widowControl/>
        <w:jc w:val="left"/>
      </w:pPr>
      <w:r>
        <w:br w:type="page"/>
      </w:r>
    </w:p>
    <w:p w14:paraId="3AA78FA7" w14:textId="77777777" w:rsidR="005F2764" w:rsidRPr="00F950FB" w:rsidRDefault="005F2764" w:rsidP="003A3D60">
      <w:pPr>
        <w:ind w:leftChars="-473" w:left="-991" w:hanging="2"/>
        <w:jc w:val="left"/>
      </w:pPr>
    </w:p>
    <w:p w14:paraId="43380D14" w14:textId="2655849B" w:rsidR="00A84094" w:rsidRDefault="00A84094" w:rsidP="003A3D6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AA9884" wp14:editId="6912CE0F">
            <wp:extent cx="5243546" cy="250436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08" cy="2525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A8D4F" w14:textId="28434BFE" w:rsidR="00F950FB" w:rsidRPr="003A3D60" w:rsidRDefault="00A84094" w:rsidP="003A3D60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3A3D6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C285F" w:rsidRPr="003A3D6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A3D60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Apoptosis markers in HSC3, SCC9, Cal27 and SCC15 cell lines. </w:t>
      </w:r>
      <w:r w:rsidR="008C285F" w:rsidRPr="003A3D60">
        <w:rPr>
          <w:rFonts w:ascii="Times New Roman" w:hAnsi="Times New Roman" w:cs="Times New Roman"/>
          <w:b/>
          <w:sz w:val="20"/>
          <w:szCs w:val="20"/>
        </w:rPr>
        <w:t>A</w:t>
      </w:r>
      <w:r w:rsidR="008C285F" w:rsidRPr="003A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The apoptosis markers in </w:t>
      </w:r>
      <w:r w:rsidRPr="003A3D60">
        <w:rPr>
          <w:rFonts w:ascii="Times New Roman" w:hAnsi="Times New Roman" w:cs="Times New Roman" w:hint="eastAsia"/>
          <w:bCs/>
          <w:sz w:val="20"/>
          <w:szCs w:val="20"/>
        </w:rPr>
        <w:t>LAMC2-overexpressed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A3D60">
        <w:rPr>
          <w:rFonts w:ascii="Times New Roman" w:hAnsi="Times New Roman" w:cs="Times New Roman" w:hint="eastAsia"/>
          <w:bCs/>
          <w:sz w:val="20"/>
          <w:szCs w:val="20"/>
        </w:rPr>
        <w:t>HSC3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A3D60">
        <w:rPr>
          <w:rFonts w:ascii="Times New Roman" w:hAnsi="Times New Roman" w:cs="Times New Roman" w:hint="eastAsia"/>
          <w:bCs/>
          <w:sz w:val="20"/>
          <w:szCs w:val="20"/>
        </w:rPr>
        <w:t>a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nd SCC9 cell lines. </w:t>
      </w:r>
      <w:r w:rsidR="008C285F" w:rsidRPr="003A3D60">
        <w:rPr>
          <w:rFonts w:ascii="Times New Roman" w:hAnsi="Times New Roman" w:cs="Times New Roman"/>
          <w:b/>
          <w:sz w:val="20"/>
          <w:szCs w:val="20"/>
        </w:rPr>
        <w:t>B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The apoptosis markers in LAMC2-overexpressed Cal27 and SCC15 cell lines.</w:t>
      </w:r>
    </w:p>
    <w:p w14:paraId="0883182E" w14:textId="494AC8AF" w:rsidR="00A84094" w:rsidRDefault="00F950FB" w:rsidP="003A3D60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4EBEFC2" w14:textId="77777777" w:rsidR="00A84094" w:rsidRDefault="00A84094" w:rsidP="003A3D6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31A5B19" wp14:editId="41F4A20E">
            <wp:extent cx="4730343" cy="25165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53"/>
                    <a:stretch/>
                  </pic:blipFill>
                  <pic:spPr bwMode="auto">
                    <a:xfrm>
                      <a:off x="0" y="0"/>
                      <a:ext cx="4806115" cy="255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9BA13" w14:textId="6EF4C8A4" w:rsidR="00A84094" w:rsidRPr="003A3D60" w:rsidRDefault="00A84094" w:rsidP="003A3D60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3A3D6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8C285F" w:rsidRPr="003A3D6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A3D60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The impact of LAMC2 deficiency on the migration and invasion abilities of OSCC cells in orthotopic mouse model. </w:t>
      </w:r>
      <w:r w:rsidR="008C285F" w:rsidRPr="003A3D60">
        <w:rPr>
          <w:rFonts w:ascii="Times New Roman" w:hAnsi="Times New Roman" w:cs="Times New Roman"/>
          <w:b/>
          <w:sz w:val="20"/>
          <w:szCs w:val="20"/>
        </w:rPr>
        <w:t>A</w:t>
      </w:r>
      <w:r w:rsidR="008C285F" w:rsidRPr="003A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Control and LAMC2 knockdown luci-Cal27 OSCC cells (1 × 105 cells/mouse) were injected into tail vein of each nude mouse (n = 6 for each group). Representative images showing luciferase expression from lung metastasis of both Cal27 control and shLAMC2 group at the 4th weeks after injection. </w:t>
      </w:r>
      <w:r w:rsidR="008C285F" w:rsidRPr="003A3D60">
        <w:rPr>
          <w:rFonts w:ascii="Times New Roman" w:hAnsi="Times New Roman" w:cs="Times New Roman"/>
          <w:b/>
          <w:sz w:val="20"/>
          <w:szCs w:val="20"/>
        </w:rPr>
        <w:t>B</w:t>
      </w:r>
      <w:r w:rsidRPr="003A3D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3D60">
        <w:rPr>
          <w:rFonts w:ascii="Times New Roman" w:hAnsi="Times New Roman" w:cs="Times New Roman"/>
          <w:bCs/>
          <w:sz w:val="20"/>
          <w:szCs w:val="20"/>
        </w:rPr>
        <w:t>quantification of luciferase expression of lung metastasis also decreased significantly in LAMC2-knockdown group.</w:t>
      </w:r>
      <w:r w:rsidRPr="003A3D60">
        <w:rPr>
          <w:sz w:val="20"/>
          <w:szCs w:val="20"/>
        </w:rPr>
        <w:t xml:space="preserve"> 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Data are presented as mean ± SD. ** </w:t>
      </w:r>
      <w:r w:rsidRPr="003A3D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&lt; 0.01, *** </w:t>
      </w:r>
      <w:r w:rsidRPr="003A3D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&lt; 0.001 compared to NC group, * </w:t>
      </w:r>
      <w:r w:rsidRPr="003A3D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&lt; 0.05, **</w:t>
      </w:r>
      <w:r w:rsidRPr="003A3D6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&lt; 0.01 and *** </w:t>
      </w:r>
      <w:r w:rsidRPr="003A3D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A3D60">
        <w:rPr>
          <w:rFonts w:ascii="Times New Roman" w:hAnsi="Times New Roman" w:cs="Times New Roman"/>
          <w:bCs/>
          <w:sz w:val="20"/>
          <w:szCs w:val="20"/>
        </w:rPr>
        <w:t xml:space="preserve"> &lt; 0.001.</w:t>
      </w:r>
    </w:p>
    <w:p w14:paraId="008D9570" w14:textId="77777777" w:rsidR="001646F0" w:rsidRPr="00A84094" w:rsidRDefault="001646F0" w:rsidP="003A3D60"/>
    <w:sectPr w:rsidR="001646F0" w:rsidRPr="00A84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5DE6" w14:textId="77777777" w:rsidR="001A531F" w:rsidRDefault="001A531F" w:rsidP="00A84094">
      <w:r>
        <w:separator/>
      </w:r>
    </w:p>
  </w:endnote>
  <w:endnote w:type="continuationSeparator" w:id="0">
    <w:p w14:paraId="4D91D688" w14:textId="77777777" w:rsidR="001A531F" w:rsidRDefault="001A531F" w:rsidP="00A8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F963" w14:textId="77777777" w:rsidR="001A531F" w:rsidRDefault="001A531F" w:rsidP="00A84094">
      <w:r>
        <w:separator/>
      </w:r>
    </w:p>
  </w:footnote>
  <w:footnote w:type="continuationSeparator" w:id="0">
    <w:p w14:paraId="6B190BD7" w14:textId="77777777" w:rsidR="001A531F" w:rsidRDefault="001A531F" w:rsidP="00A84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2FE"/>
    <w:rsid w:val="0005227F"/>
    <w:rsid w:val="001646F0"/>
    <w:rsid w:val="001A531F"/>
    <w:rsid w:val="003A3D60"/>
    <w:rsid w:val="005F2764"/>
    <w:rsid w:val="008A32FE"/>
    <w:rsid w:val="008C285F"/>
    <w:rsid w:val="00A82CAD"/>
    <w:rsid w:val="00A82F48"/>
    <w:rsid w:val="00A84094"/>
    <w:rsid w:val="00B85F2A"/>
    <w:rsid w:val="00D1782F"/>
    <w:rsid w:val="00D74A61"/>
    <w:rsid w:val="00E3002C"/>
    <w:rsid w:val="00F9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97BB"/>
  <w15:chartTrackingRefBased/>
  <w15:docId w15:val="{D5CA3323-1C6D-4BA7-9580-FF46D40F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40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4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4094"/>
    <w:rPr>
      <w:sz w:val="18"/>
      <w:szCs w:val="18"/>
    </w:rPr>
  </w:style>
  <w:style w:type="table" w:styleId="a7">
    <w:name w:val="Table Grid"/>
    <w:basedOn w:val="a1"/>
    <w:uiPriority w:val="39"/>
    <w:rsid w:val="005F2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能皓 靳</cp:lastModifiedBy>
  <cp:revision>8</cp:revision>
  <dcterms:created xsi:type="dcterms:W3CDTF">2021-02-12T14:28:00Z</dcterms:created>
  <dcterms:modified xsi:type="dcterms:W3CDTF">2023-11-09T04:52:00Z</dcterms:modified>
</cp:coreProperties>
</file>