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FA43E" w14:textId="12CF5218" w:rsidR="00924E45" w:rsidRDefault="00924E45" w:rsidP="0069356D">
      <w:pPr>
        <w:pStyle w:val="Textbody"/>
        <w:spacing w:after="0"/>
        <w:rPr>
          <w:b/>
          <w:bCs/>
          <w:color w:val="000000"/>
        </w:rPr>
      </w:pPr>
      <w:r>
        <w:rPr>
          <w:b/>
          <w:bCs/>
          <w:color w:val="000000"/>
        </w:rPr>
        <w:t xml:space="preserve">Additional </w:t>
      </w:r>
      <w:r w:rsidR="00777DE0">
        <w:rPr>
          <w:b/>
          <w:bCs/>
          <w:color w:val="000000"/>
        </w:rPr>
        <w:t>f</w:t>
      </w:r>
      <w:r>
        <w:rPr>
          <w:b/>
          <w:bCs/>
          <w:color w:val="000000"/>
        </w:rPr>
        <w:t>ile</w:t>
      </w:r>
      <w:r w:rsidR="007A7682">
        <w:rPr>
          <w:b/>
          <w:bCs/>
          <w:color w:val="000000"/>
        </w:rPr>
        <w:t xml:space="preserve"> </w:t>
      </w:r>
      <w:r w:rsidR="003F5D17">
        <w:rPr>
          <w:b/>
          <w:bCs/>
          <w:color w:val="000000"/>
        </w:rPr>
        <w:t>2</w:t>
      </w:r>
    </w:p>
    <w:p w14:paraId="5A73CF71" w14:textId="77777777" w:rsidR="00777DE0" w:rsidRDefault="00777DE0" w:rsidP="0069356D">
      <w:pPr>
        <w:pStyle w:val="Textbody"/>
        <w:spacing w:after="0"/>
        <w:rPr>
          <w:b/>
          <w:bCs/>
          <w:color w:val="000000"/>
        </w:rPr>
      </w:pPr>
    </w:p>
    <w:tbl>
      <w:tblPr>
        <w:tblStyle w:val="TableGrid"/>
        <w:tblW w:w="5000" w:type="pct"/>
        <w:tblBorders>
          <w:left w:val="none" w:sz="0" w:space="0" w:color="auto"/>
          <w:right w:val="none" w:sz="0" w:space="0" w:color="auto"/>
        </w:tblBorders>
        <w:tblCellMar>
          <w:top w:w="57" w:type="dxa"/>
          <w:bottom w:w="57" w:type="dxa"/>
        </w:tblCellMar>
        <w:tblLook w:val="04A0" w:firstRow="1" w:lastRow="0" w:firstColumn="1" w:lastColumn="0" w:noHBand="0" w:noVBand="1"/>
      </w:tblPr>
      <w:tblGrid>
        <w:gridCol w:w="1805"/>
        <w:gridCol w:w="3680"/>
        <w:gridCol w:w="3710"/>
        <w:gridCol w:w="3765"/>
      </w:tblGrid>
      <w:tr w:rsidR="0069356D" w:rsidRPr="00326F7D" w14:paraId="391BE7A2" w14:textId="77777777" w:rsidTr="00CB10FC">
        <w:tc>
          <w:tcPr>
            <w:tcW w:w="13572" w:type="dxa"/>
            <w:gridSpan w:val="4"/>
            <w:tcBorders>
              <w:bottom w:val="single" w:sz="4" w:space="0" w:color="auto"/>
            </w:tcBorders>
          </w:tcPr>
          <w:p w14:paraId="0955BC0D" w14:textId="597388D7" w:rsidR="0069356D" w:rsidRPr="00326F7D" w:rsidRDefault="0069356D" w:rsidP="00CB10FC">
            <w:pPr>
              <w:pStyle w:val="Textbody"/>
              <w:spacing w:after="0"/>
              <w:rPr>
                <w:b/>
                <w:bCs/>
              </w:rPr>
            </w:pPr>
            <w:r w:rsidRPr="00326F7D">
              <w:rPr>
                <w:b/>
                <w:bCs/>
              </w:rPr>
              <w:t xml:space="preserve">Table </w:t>
            </w:r>
            <w:r>
              <w:rPr>
                <w:b/>
                <w:bCs/>
              </w:rPr>
              <w:t>3</w:t>
            </w:r>
            <w:r w:rsidRPr="00326F7D">
              <w:rPr>
                <w:b/>
                <w:bCs/>
              </w:rPr>
              <w:t xml:space="preserve">. </w:t>
            </w:r>
            <w:bookmarkStart w:id="0" w:name="_Hlk149831216"/>
            <w:r w:rsidRPr="00326F7D">
              <w:rPr>
                <w:b/>
                <w:bCs/>
              </w:rPr>
              <w:t xml:space="preserve">Case </w:t>
            </w:r>
            <w:r w:rsidR="00777DE0">
              <w:rPr>
                <w:b/>
                <w:bCs/>
              </w:rPr>
              <w:t>f</w:t>
            </w:r>
            <w:r w:rsidRPr="00326F7D">
              <w:rPr>
                <w:b/>
                <w:bCs/>
              </w:rPr>
              <w:t>eatures</w:t>
            </w:r>
            <w:bookmarkEnd w:id="0"/>
          </w:p>
        </w:tc>
      </w:tr>
      <w:tr w:rsidR="0069356D" w:rsidRPr="00326F7D" w14:paraId="736FC88F" w14:textId="77777777" w:rsidTr="00CB10FC">
        <w:tc>
          <w:tcPr>
            <w:tcW w:w="1839" w:type="dxa"/>
            <w:tcBorders>
              <w:right w:val="nil"/>
            </w:tcBorders>
            <w:shd w:val="clear" w:color="auto" w:fill="auto"/>
          </w:tcPr>
          <w:p w14:paraId="7E92126E" w14:textId="2B593D65" w:rsidR="0069356D" w:rsidRPr="00326F7D" w:rsidRDefault="0069356D" w:rsidP="00CB10FC">
            <w:pPr>
              <w:pStyle w:val="Textbody"/>
              <w:spacing w:after="0"/>
              <w:rPr>
                <w:rFonts w:cs="Times New Roman"/>
                <w:b/>
                <w:bCs/>
              </w:rPr>
            </w:pPr>
            <w:r w:rsidRPr="00326F7D">
              <w:rPr>
                <w:rFonts w:cs="Times New Roman"/>
                <w:b/>
                <w:bCs/>
              </w:rPr>
              <w:t xml:space="preserve">Case </w:t>
            </w:r>
            <w:r w:rsidR="00777DE0">
              <w:rPr>
                <w:rFonts w:cs="Times New Roman"/>
                <w:b/>
                <w:bCs/>
              </w:rPr>
              <w:t>f</w:t>
            </w:r>
            <w:r w:rsidRPr="00326F7D">
              <w:rPr>
                <w:rFonts w:cs="Times New Roman"/>
                <w:b/>
                <w:bCs/>
              </w:rPr>
              <w:t>eatures</w:t>
            </w:r>
          </w:p>
        </w:tc>
        <w:tc>
          <w:tcPr>
            <w:tcW w:w="3911" w:type="dxa"/>
            <w:tcBorders>
              <w:left w:val="nil"/>
              <w:right w:val="nil"/>
            </w:tcBorders>
            <w:shd w:val="clear" w:color="auto" w:fill="auto"/>
          </w:tcPr>
          <w:p w14:paraId="44DA0B55" w14:textId="77777777" w:rsidR="0069356D" w:rsidRPr="00326F7D" w:rsidRDefault="0069356D" w:rsidP="00CB10FC">
            <w:pPr>
              <w:pStyle w:val="Textbody"/>
              <w:spacing w:after="0"/>
              <w:rPr>
                <w:rFonts w:cs="Times New Roman"/>
                <w:b/>
                <w:bCs/>
              </w:rPr>
            </w:pPr>
            <w:r w:rsidRPr="00326F7D">
              <w:rPr>
                <w:rFonts w:cs="Times New Roman"/>
                <w:b/>
                <w:bCs/>
              </w:rPr>
              <w:t>Case 1 ESTHER</w:t>
            </w:r>
          </w:p>
        </w:tc>
        <w:tc>
          <w:tcPr>
            <w:tcW w:w="3911" w:type="dxa"/>
            <w:tcBorders>
              <w:left w:val="nil"/>
              <w:right w:val="nil"/>
            </w:tcBorders>
            <w:shd w:val="clear" w:color="auto" w:fill="auto"/>
          </w:tcPr>
          <w:p w14:paraId="7BF1A201" w14:textId="77777777" w:rsidR="0069356D" w:rsidRPr="00326F7D" w:rsidRDefault="0069356D" w:rsidP="00CB10FC">
            <w:pPr>
              <w:pStyle w:val="Textbody"/>
              <w:spacing w:after="0"/>
              <w:rPr>
                <w:rFonts w:cs="Times New Roman"/>
                <w:b/>
                <w:bCs/>
              </w:rPr>
            </w:pPr>
            <w:r w:rsidRPr="00326F7D">
              <w:rPr>
                <w:b/>
                <w:bCs/>
              </w:rPr>
              <w:t>Case 2 Making Recovery Real</w:t>
            </w:r>
          </w:p>
        </w:tc>
        <w:tc>
          <w:tcPr>
            <w:tcW w:w="3911" w:type="dxa"/>
            <w:tcBorders>
              <w:left w:val="nil"/>
            </w:tcBorders>
            <w:shd w:val="clear" w:color="auto" w:fill="auto"/>
          </w:tcPr>
          <w:p w14:paraId="7FE0F04D" w14:textId="77777777" w:rsidR="0069356D" w:rsidRPr="00326F7D" w:rsidRDefault="0069356D" w:rsidP="00CB10FC">
            <w:pPr>
              <w:pStyle w:val="Textbody"/>
              <w:spacing w:after="0"/>
              <w:rPr>
                <w:rFonts w:cs="Times New Roman"/>
                <w:b/>
                <w:bCs/>
              </w:rPr>
            </w:pPr>
            <w:r w:rsidRPr="00326F7D">
              <w:rPr>
                <w:rFonts w:cs="Times New Roman"/>
                <w:b/>
                <w:color w:val="000000"/>
              </w:rPr>
              <w:t>Case 3 CMHA Learning Centre</w:t>
            </w:r>
          </w:p>
        </w:tc>
      </w:tr>
      <w:tr w:rsidR="0069356D" w:rsidRPr="00326F7D" w14:paraId="16BF7204" w14:textId="77777777" w:rsidTr="00CB10FC">
        <w:tc>
          <w:tcPr>
            <w:tcW w:w="1839" w:type="dxa"/>
            <w:tcBorders>
              <w:right w:val="nil"/>
            </w:tcBorders>
          </w:tcPr>
          <w:p w14:paraId="226E0944" w14:textId="5F463A80" w:rsidR="0069356D" w:rsidRPr="00777DE0" w:rsidRDefault="0069356D" w:rsidP="00CB10FC">
            <w:pPr>
              <w:pStyle w:val="Textbody"/>
              <w:spacing w:after="0"/>
            </w:pPr>
            <w:r w:rsidRPr="00777DE0">
              <w:rPr>
                <w:rFonts w:cs="Times New Roman"/>
              </w:rPr>
              <w:t xml:space="preserve">Structurally </w:t>
            </w:r>
            <w:r w:rsidR="00777DE0" w:rsidRPr="00777DE0">
              <w:rPr>
                <w:rFonts w:cs="Times New Roman"/>
              </w:rPr>
              <w:t>v</w:t>
            </w:r>
            <w:r w:rsidRPr="00777DE0">
              <w:rPr>
                <w:rFonts w:cs="Times New Roman"/>
              </w:rPr>
              <w:t xml:space="preserve">ulnerable </w:t>
            </w:r>
            <w:r w:rsidR="00777DE0" w:rsidRPr="00777DE0">
              <w:rPr>
                <w:rFonts w:cs="Times New Roman"/>
              </w:rPr>
              <w:t>g</w:t>
            </w:r>
            <w:r w:rsidRPr="00777DE0">
              <w:rPr>
                <w:rFonts w:cs="Times New Roman"/>
              </w:rPr>
              <w:t>roup</w:t>
            </w:r>
          </w:p>
        </w:tc>
        <w:tc>
          <w:tcPr>
            <w:tcW w:w="3911" w:type="dxa"/>
            <w:tcBorders>
              <w:left w:val="nil"/>
              <w:right w:val="nil"/>
            </w:tcBorders>
          </w:tcPr>
          <w:p w14:paraId="72663E28" w14:textId="77777777" w:rsidR="0069356D" w:rsidRPr="00326F7D" w:rsidRDefault="0069356D" w:rsidP="00CB10FC">
            <w:pPr>
              <w:pStyle w:val="Textbody"/>
              <w:spacing w:after="0"/>
              <w:rPr>
                <w:b/>
                <w:bCs/>
              </w:rPr>
            </w:pPr>
            <w:r w:rsidRPr="00326F7D">
              <w:rPr>
                <w:rFonts w:cs="Times New Roman"/>
              </w:rPr>
              <w:t>Initially older patients with complex care needs, then expanded to patients of any age with complex needs</w:t>
            </w:r>
          </w:p>
        </w:tc>
        <w:tc>
          <w:tcPr>
            <w:tcW w:w="3911" w:type="dxa"/>
            <w:tcBorders>
              <w:left w:val="nil"/>
              <w:right w:val="nil"/>
            </w:tcBorders>
          </w:tcPr>
          <w:p w14:paraId="576B772C" w14:textId="77777777" w:rsidR="0069356D" w:rsidRPr="00326F7D" w:rsidRDefault="0069356D" w:rsidP="00CB10FC">
            <w:pPr>
              <w:pStyle w:val="Textbody"/>
              <w:spacing w:after="0"/>
              <w:rPr>
                <w:rFonts w:cs="Times New Roman"/>
              </w:rPr>
            </w:pPr>
            <w:r w:rsidRPr="00326F7D">
              <w:rPr>
                <w:rFonts w:cs="Times New Roman"/>
              </w:rPr>
              <w:t>Initially, people with lived/living experience of serious mental illness</w:t>
            </w:r>
          </w:p>
        </w:tc>
        <w:tc>
          <w:tcPr>
            <w:tcW w:w="3911" w:type="dxa"/>
            <w:tcBorders>
              <w:left w:val="nil"/>
            </w:tcBorders>
          </w:tcPr>
          <w:p w14:paraId="50C7A987" w14:textId="77777777" w:rsidR="0069356D" w:rsidRPr="00326F7D" w:rsidRDefault="0069356D" w:rsidP="00CB10FC">
            <w:pPr>
              <w:pStyle w:val="Textbody"/>
              <w:spacing w:after="0"/>
              <w:rPr>
                <w:rFonts w:cs="Times New Roman"/>
              </w:rPr>
            </w:pPr>
            <w:r w:rsidRPr="00326F7D">
              <w:rPr>
                <w:rFonts w:cs="Times New Roman"/>
              </w:rPr>
              <w:t>Initially, people with lived/living experience of serious mental illness but expanded to whole community with interest in living well.</w:t>
            </w:r>
          </w:p>
        </w:tc>
      </w:tr>
      <w:tr w:rsidR="0069356D" w:rsidRPr="00326F7D" w14:paraId="11CC520F" w14:textId="77777777" w:rsidTr="00CB10FC">
        <w:tc>
          <w:tcPr>
            <w:tcW w:w="1839" w:type="dxa"/>
            <w:tcBorders>
              <w:right w:val="nil"/>
            </w:tcBorders>
          </w:tcPr>
          <w:p w14:paraId="4985D25A" w14:textId="3744616E" w:rsidR="0069356D" w:rsidRPr="00777DE0" w:rsidRDefault="00485568" w:rsidP="00CB10FC">
            <w:pPr>
              <w:pStyle w:val="Textbody"/>
              <w:spacing w:after="0"/>
              <w:rPr>
                <w:rFonts w:cs="Times New Roman"/>
                <w:color w:val="000000"/>
              </w:rPr>
            </w:pPr>
            <w:r>
              <w:rPr>
                <w:rFonts w:cs="Times New Roman"/>
              </w:rPr>
              <w:t>Coproduction</w:t>
            </w:r>
            <w:r w:rsidR="0069356D" w:rsidRPr="00777DE0">
              <w:rPr>
                <w:rFonts w:cs="Times New Roman"/>
              </w:rPr>
              <w:t xml:space="preserve"> </w:t>
            </w:r>
            <w:r w:rsidR="00777DE0" w:rsidRPr="00777DE0">
              <w:rPr>
                <w:rFonts w:cs="Times New Roman"/>
              </w:rPr>
              <w:t>a</w:t>
            </w:r>
            <w:r w:rsidR="0069356D" w:rsidRPr="00777DE0">
              <w:rPr>
                <w:rFonts w:cs="Times New Roman"/>
              </w:rPr>
              <w:t>pproach</w:t>
            </w:r>
          </w:p>
        </w:tc>
        <w:tc>
          <w:tcPr>
            <w:tcW w:w="3911" w:type="dxa"/>
            <w:tcBorders>
              <w:left w:val="nil"/>
              <w:right w:val="nil"/>
            </w:tcBorders>
          </w:tcPr>
          <w:p w14:paraId="2DE3AACD" w14:textId="0B0FBE91" w:rsidR="0069356D" w:rsidRPr="00326F7D" w:rsidRDefault="0069356D" w:rsidP="00CB10FC">
            <w:pPr>
              <w:kinsoku w:val="0"/>
              <w:overflowPunct w:val="0"/>
              <w:autoSpaceDE w:val="0"/>
              <w:adjustRightInd w:val="0"/>
            </w:pPr>
            <w:r w:rsidRPr="00326F7D">
              <w:rPr>
                <w:rFonts w:cs="Times New Roman"/>
                <w:bCs/>
              </w:rPr>
              <w:t xml:space="preserve">Initial focus on radical customization of an Esther’s journey through health, and evolved over time to become </w:t>
            </w:r>
            <w:r w:rsidR="00485568">
              <w:rPr>
                <w:rFonts w:cs="Times New Roman"/>
                <w:bCs/>
              </w:rPr>
              <w:t>coproduction</w:t>
            </w:r>
            <w:r w:rsidRPr="00326F7D">
              <w:rPr>
                <w:rFonts w:cs="Times New Roman"/>
                <w:bCs/>
              </w:rPr>
              <w:t xml:space="preserve"> with patients through the involvement of </w:t>
            </w:r>
            <w:proofErr w:type="spellStart"/>
            <w:r w:rsidRPr="00326F7D">
              <w:rPr>
                <w:rFonts w:cs="Times New Roman"/>
                <w:bCs/>
              </w:rPr>
              <w:t>Esthers</w:t>
            </w:r>
            <w:proofErr w:type="spellEnd"/>
            <w:r w:rsidRPr="00326F7D">
              <w:rPr>
                <w:rFonts w:cs="Times New Roman"/>
                <w:bCs/>
              </w:rPr>
              <w:t xml:space="preserve"> in meetings and projects, to provide feedback based on their experiences</w:t>
            </w:r>
          </w:p>
        </w:tc>
        <w:tc>
          <w:tcPr>
            <w:tcW w:w="3911" w:type="dxa"/>
            <w:tcBorders>
              <w:left w:val="nil"/>
              <w:right w:val="nil"/>
            </w:tcBorders>
          </w:tcPr>
          <w:p w14:paraId="121C47BA" w14:textId="24D27F19" w:rsidR="0069356D" w:rsidRPr="00326F7D" w:rsidRDefault="00485568" w:rsidP="00CB10FC">
            <w:pPr>
              <w:kinsoku w:val="0"/>
              <w:overflowPunct w:val="0"/>
              <w:autoSpaceDE w:val="0"/>
              <w:adjustRightInd w:val="0"/>
              <w:rPr>
                <w:rFonts w:cs="Times New Roman"/>
                <w:bCs/>
              </w:rPr>
            </w:pPr>
            <w:r>
              <w:rPr>
                <w:rFonts w:cs="Times New Roman"/>
                <w:bCs/>
              </w:rPr>
              <w:t>Coproduction</w:t>
            </w:r>
            <w:r w:rsidR="0069356D" w:rsidRPr="00326F7D">
              <w:rPr>
                <w:rFonts w:cs="Times New Roman"/>
                <w:bCs/>
              </w:rPr>
              <w:t xml:space="preserve"> is at the heart of initiative from the start. The intention was to bring people with lived/living experience together with health and social service providers in community of Dundee to determine how to make recovery real in this community. Adopted an asset-based approach that discovers capacity within individuals.</w:t>
            </w:r>
          </w:p>
        </w:tc>
        <w:tc>
          <w:tcPr>
            <w:tcW w:w="3911" w:type="dxa"/>
            <w:tcBorders>
              <w:left w:val="nil"/>
            </w:tcBorders>
          </w:tcPr>
          <w:p w14:paraId="61F86876" w14:textId="7754AF79" w:rsidR="0069356D" w:rsidRPr="00326F7D" w:rsidRDefault="00485568" w:rsidP="00CB10FC">
            <w:pPr>
              <w:kinsoku w:val="0"/>
              <w:overflowPunct w:val="0"/>
              <w:autoSpaceDE w:val="0"/>
              <w:adjustRightInd w:val="0"/>
              <w:rPr>
                <w:rFonts w:cs="Times New Roman"/>
                <w:bCs/>
              </w:rPr>
            </w:pPr>
            <w:r>
              <w:rPr>
                <w:rFonts w:cs="Times New Roman"/>
                <w:bCs/>
              </w:rPr>
              <w:t>Coproduction</w:t>
            </w:r>
            <w:r w:rsidR="0069356D" w:rsidRPr="00326F7D">
              <w:rPr>
                <w:rFonts w:cs="Times New Roman"/>
                <w:bCs/>
              </w:rPr>
              <w:t>, co-development, and co-learning are at the heart of the Recovery College model. The aim is to be peer-centric and peer-led and to foster collaborative and authentic relationships with students, so they have meaningful involvement. Social or co-learning is active and involves</w:t>
            </w:r>
            <w:r w:rsidR="0069356D" w:rsidRPr="00326F7D">
              <w:rPr>
                <w:rFonts w:cs="Times New Roman"/>
                <w:bCs/>
                <w:i/>
                <w:iCs/>
              </w:rPr>
              <w:t xml:space="preserve"> </w:t>
            </w:r>
            <w:r w:rsidR="0069356D" w:rsidRPr="00326F7D">
              <w:rPr>
                <w:rFonts w:cs="Times New Roman"/>
                <w:bCs/>
              </w:rPr>
              <w:t>looking at topics from both the professional and experiential lenses, interaction with others, learning from their experiences, and contributing to the learning of others.</w:t>
            </w:r>
          </w:p>
        </w:tc>
      </w:tr>
      <w:tr w:rsidR="0069356D" w:rsidRPr="00326F7D" w14:paraId="7B34CFDE" w14:textId="77777777" w:rsidTr="00CB10FC">
        <w:tc>
          <w:tcPr>
            <w:tcW w:w="1839" w:type="dxa"/>
            <w:tcBorders>
              <w:right w:val="nil"/>
            </w:tcBorders>
          </w:tcPr>
          <w:p w14:paraId="6674BF19" w14:textId="02CF2FB1" w:rsidR="0069356D" w:rsidRPr="00777DE0" w:rsidRDefault="00777DE0" w:rsidP="00CB10FC">
            <w:pPr>
              <w:pStyle w:val="Textbody"/>
              <w:spacing w:after="0"/>
              <w:rPr>
                <w:rFonts w:cs="Times New Roman"/>
                <w:color w:val="000000"/>
              </w:rPr>
            </w:pPr>
            <w:r w:rsidRPr="00777DE0">
              <w:rPr>
                <w:rFonts w:cs="Times New Roman"/>
              </w:rPr>
              <w:t>G</w:t>
            </w:r>
            <w:r w:rsidR="0069356D" w:rsidRPr="00777DE0">
              <w:rPr>
                <w:rFonts w:cs="Times New Roman"/>
              </w:rPr>
              <w:t xml:space="preserve">uiding </w:t>
            </w:r>
            <w:r w:rsidRPr="00777DE0">
              <w:rPr>
                <w:rFonts w:cs="Times New Roman"/>
              </w:rPr>
              <w:t>q</w:t>
            </w:r>
            <w:r w:rsidR="0069356D" w:rsidRPr="00777DE0">
              <w:rPr>
                <w:rFonts w:cs="Times New Roman"/>
              </w:rPr>
              <w:t>uestion(s)</w:t>
            </w:r>
          </w:p>
        </w:tc>
        <w:tc>
          <w:tcPr>
            <w:tcW w:w="3911" w:type="dxa"/>
            <w:tcBorders>
              <w:left w:val="nil"/>
              <w:right w:val="nil"/>
            </w:tcBorders>
          </w:tcPr>
          <w:p w14:paraId="27D3FE05" w14:textId="77777777" w:rsidR="0069356D" w:rsidRPr="00326F7D" w:rsidRDefault="0069356D" w:rsidP="0069356D">
            <w:pPr>
              <w:pStyle w:val="ListParagraph"/>
              <w:numPr>
                <w:ilvl w:val="0"/>
                <w:numId w:val="3"/>
              </w:numPr>
              <w:kinsoku w:val="0"/>
              <w:overflowPunct w:val="0"/>
              <w:autoSpaceDE w:val="0"/>
              <w:adjustRightInd w:val="0"/>
              <w:ind w:left="360"/>
              <w:rPr>
                <w:rFonts w:cs="Times New Roman"/>
                <w:bCs/>
                <w:szCs w:val="24"/>
                <w:lang w:val="en-US"/>
              </w:rPr>
            </w:pPr>
            <w:r w:rsidRPr="00326F7D">
              <w:rPr>
                <w:rFonts w:cs="Times New Roman"/>
                <w:bCs/>
                <w:szCs w:val="24"/>
              </w:rPr>
              <w:t>What is best for, or important to, Esther?</w:t>
            </w:r>
          </w:p>
          <w:p w14:paraId="0AC4DACA" w14:textId="77777777" w:rsidR="0069356D" w:rsidRPr="00326F7D" w:rsidRDefault="0069356D" w:rsidP="0069356D">
            <w:pPr>
              <w:pStyle w:val="ListParagraph"/>
              <w:numPr>
                <w:ilvl w:val="0"/>
                <w:numId w:val="3"/>
              </w:numPr>
              <w:kinsoku w:val="0"/>
              <w:overflowPunct w:val="0"/>
              <w:autoSpaceDE w:val="0"/>
              <w:adjustRightInd w:val="0"/>
              <w:ind w:left="360"/>
              <w:rPr>
                <w:rFonts w:cs="Times New Roman"/>
                <w:bCs/>
                <w:lang w:val="en-US"/>
              </w:rPr>
            </w:pPr>
            <w:r w:rsidRPr="00326F7D">
              <w:rPr>
                <w:rFonts w:cs="Times New Roman"/>
                <w:bCs/>
                <w:szCs w:val="24"/>
                <w:lang w:val="en-US"/>
              </w:rPr>
              <w:t>Who needs to cooperate to fulfill this?</w:t>
            </w:r>
          </w:p>
          <w:p w14:paraId="3D0A2A1C" w14:textId="77777777" w:rsidR="0069356D" w:rsidRPr="00326F7D" w:rsidRDefault="0069356D" w:rsidP="0069356D">
            <w:pPr>
              <w:pStyle w:val="ListParagraph"/>
              <w:numPr>
                <w:ilvl w:val="0"/>
                <w:numId w:val="3"/>
              </w:numPr>
              <w:kinsoku w:val="0"/>
              <w:overflowPunct w:val="0"/>
              <w:autoSpaceDE w:val="0"/>
              <w:adjustRightInd w:val="0"/>
              <w:ind w:left="360"/>
              <w:rPr>
                <w:rFonts w:cs="Times New Roman"/>
                <w:bCs/>
                <w:lang w:val="en-US"/>
              </w:rPr>
            </w:pPr>
            <w:r w:rsidRPr="00326F7D">
              <w:rPr>
                <w:rFonts w:cs="Times New Roman"/>
                <w:bCs/>
                <w:lang w:val="en-US"/>
              </w:rPr>
              <w:t>What do we need to improve?</w:t>
            </w:r>
          </w:p>
        </w:tc>
        <w:tc>
          <w:tcPr>
            <w:tcW w:w="3911" w:type="dxa"/>
            <w:tcBorders>
              <w:left w:val="nil"/>
              <w:right w:val="nil"/>
            </w:tcBorders>
          </w:tcPr>
          <w:p w14:paraId="49FE4CE3" w14:textId="77777777" w:rsidR="0069356D" w:rsidRPr="00326F7D" w:rsidRDefault="0069356D" w:rsidP="00CB10FC">
            <w:pPr>
              <w:kinsoku w:val="0"/>
              <w:overflowPunct w:val="0"/>
              <w:autoSpaceDE w:val="0"/>
              <w:adjustRightInd w:val="0"/>
              <w:rPr>
                <w:rFonts w:cs="Times New Roman"/>
                <w:bCs/>
              </w:rPr>
            </w:pPr>
            <w:r w:rsidRPr="00326F7D">
              <w:rPr>
                <w:rFonts w:cs="Times New Roman"/>
                <w:bCs/>
              </w:rPr>
              <w:t>What would make recovery real in Dundee?</w:t>
            </w:r>
          </w:p>
        </w:tc>
        <w:tc>
          <w:tcPr>
            <w:tcW w:w="3911" w:type="dxa"/>
            <w:tcBorders>
              <w:left w:val="nil"/>
            </w:tcBorders>
          </w:tcPr>
          <w:p w14:paraId="3BD87CB4" w14:textId="77777777" w:rsidR="0069356D" w:rsidRPr="00326F7D" w:rsidRDefault="0069356D" w:rsidP="00CB10FC">
            <w:pPr>
              <w:kinsoku w:val="0"/>
              <w:overflowPunct w:val="0"/>
              <w:autoSpaceDE w:val="0"/>
              <w:adjustRightInd w:val="0"/>
              <w:rPr>
                <w:rFonts w:cs="Times New Roman"/>
                <w:bCs/>
              </w:rPr>
            </w:pPr>
            <w:r w:rsidRPr="00326F7D">
              <w:rPr>
                <w:rFonts w:cs="Times New Roman"/>
                <w:bCs/>
              </w:rPr>
              <w:t>Provide educational programming to foster recovery and living well</w:t>
            </w:r>
          </w:p>
        </w:tc>
      </w:tr>
      <w:tr w:rsidR="0069356D" w:rsidRPr="00326F7D" w14:paraId="32C7B9A3" w14:textId="77777777" w:rsidTr="00CB10FC">
        <w:tc>
          <w:tcPr>
            <w:tcW w:w="1839" w:type="dxa"/>
            <w:tcBorders>
              <w:right w:val="nil"/>
            </w:tcBorders>
          </w:tcPr>
          <w:p w14:paraId="3417669E" w14:textId="07E2ED17" w:rsidR="0069356D" w:rsidRPr="00777DE0" w:rsidRDefault="0069356D" w:rsidP="00CB10FC">
            <w:pPr>
              <w:pStyle w:val="Textbody"/>
              <w:spacing w:after="0"/>
            </w:pPr>
            <w:r w:rsidRPr="00777DE0">
              <w:rPr>
                <w:rFonts w:cs="Times New Roman"/>
              </w:rPr>
              <w:t xml:space="preserve">Inclusivity </w:t>
            </w:r>
            <w:r w:rsidR="00777DE0" w:rsidRPr="00777DE0">
              <w:rPr>
                <w:rFonts w:cs="Times New Roman"/>
              </w:rPr>
              <w:t>p</w:t>
            </w:r>
            <w:r w:rsidRPr="00777DE0">
              <w:rPr>
                <w:rFonts w:cs="Times New Roman"/>
              </w:rPr>
              <w:t>rinciples</w:t>
            </w:r>
          </w:p>
        </w:tc>
        <w:tc>
          <w:tcPr>
            <w:tcW w:w="3911" w:type="dxa"/>
            <w:tcBorders>
              <w:left w:val="nil"/>
              <w:right w:val="nil"/>
            </w:tcBorders>
          </w:tcPr>
          <w:p w14:paraId="00C895B1" w14:textId="77777777" w:rsidR="0069356D" w:rsidRPr="00326F7D" w:rsidRDefault="0069356D" w:rsidP="00CB10FC">
            <w:pPr>
              <w:numPr>
                <w:ilvl w:val="0"/>
                <w:numId w:val="1"/>
              </w:numPr>
              <w:kinsoku w:val="0"/>
              <w:overflowPunct w:val="0"/>
              <w:autoSpaceDE w:val="0"/>
              <w:adjustRightInd w:val="0"/>
              <w:rPr>
                <w:rFonts w:cs="Times New Roman"/>
                <w:bCs/>
              </w:rPr>
            </w:pPr>
            <w:r w:rsidRPr="00326F7D">
              <w:rPr>
                <w:rFonts w:cs="Times New Roman"/>
                <w:bCs/>
              </w:rPr>
              <w:t>Focus on care coordination in complex needs population</w:t>
            </w:r>
          </w:p>
          <w:p w14:paraId="2A23560F" w14:textId="77777777" w:rsidR="0069356D" w:rsidRPr="00326F7D" w:rsidRDefault="0069356D" w:rsidP="00CB10FC">
            <w:pPr>
              <w:numPr>
                <w:ilvl w:val="0"/>
                <w:numId w:val="1"/>
              </w:numPr>
              <w:kinsoku w:val="0"/>
              <w:overflowPunct w:val="0"/>
              <w:autoSpaceDE w:val="0"/>
              <w:adjustRightInd w:val="0"/>
              <w:rPr>
                <w:rFonts w:cs="Times New Roman"/>
                <w:bCs/>
              </w:rPr>
            </w:pPr>
            <w:r w:rsidRPr="00326F7D">
              <w:rPr>
                <w:rFonts w:cs="Times New Roman"/>
                <w:bCs/>
              </w:rPr>
              <w:t>Openness, transparency</w:t>
            </w:r>
          </w:p>
          <w:p w14:paraId="28A93E1E" w14:textId="77777777" w:rsidR="0069356D" w:rsidRPr="00326F7D" w:rsidRDefault="0069356D" w:rsidP="00CB10FC">
            <w:pPr>
              <w:numPr>
                <w:ilvl w:val="0"/>
                <w:numId w:val="1"/>
              </w:numPr>
              <w:kinsoku w:val="0"/>
              <w:overflowPunct w:val="0"/>
              <w:autoSpaceDE w:val="0"/>
              <w:adjustRightInd w:val="0"/>
              <w:rPr>
                <w:rFonts w:cs="Times New Roman"/>
                <w:bCs/>
              </w:rPr>
            </w:pPr>
            <w:r w:rsidRPr="00326F7D">
              <w:rPr>
                <w:rFonts w:cs="Times New Roman"/>
                <w:bCs/>
              </w:rPr>
              <w:lastRenderedPageBreak/>
              <w:t>Joy, ‘serious fun’</w:t>
            </w:r>
          </w:p>
          <w:p w14:paraId="7FC0BA82" w14:textId="77777777" w:rsidR="0069356D" w:rsidRPr="00326F7D" w:rsidRDefault="0069356D" w:rsidP="00CB10FC">
            <w:pPr>
              <w:numPr>
                <w:ilvl w:val="0"/>
                <w:numId w:val="1"/>
              </w:numPr>
              <w:kinsoku w:val="0"/>
              <w:overflowPunct w:val="0"/>
              <w:autoSpaceDE w:val="0"/>
              <w:adjustRightInd w:val="0"/>
              <w:rPr>
                <w:rFonts w:cs="Times New Roman"/>
                <w:bCs/>
              </w:rPr>
            </w:pPr>
            <w:r w:rsidRPr="00326F7D">
              <w:rPr>
                <w:rFonts w:cs="Times New Roman"/>
                <w:bCs/>
              </w:rPr>
              <w:t>Driven by value (not money)</w:t>
            </w:r>
          </w:p>
          <w:p w14:paraId="1FBFF8DD" w14:textId="77777777" w:rsidR="0069356D" w:rsidRPr="00326F7D" w:rsidRDefault="0069356D" w:rsidP="00CB10FC">
            <w:pPr>
              <w:numPr>
                <w:ilvl w:val="0"/>
                <w:numId w:val="1"/>
              </w:numPr>
              <w:kinsoku w:val="0"/>
              <w:overflowPunct w:val="0"/>
              <w:autoSpaceDE w:val="0"/>
              <w:adjustRightInd w:val="0"/>
              <w:rPr>
                <w:rFonts w:cs="Times New Roman"/>
                <w:bCs/>
              </w:rPr>
            </w:pPr>
            <w:r w:rsidRPr="00326F7D">
              <w:rPr>
                <w:rFonts w:cs="Times New Roman"/>
                <w:bCs/>
              </w:rPr>
              <w:t>Reconnection to original healthcare values</w:t>
            </w:r>
          </w:p>
          <w:p w14:paraId="22BAFA3F" w14:textId="77777777" w:rsidR="0069356D" w:rsidRPr="00326F7D" w:rsidRDefault="0069356D" w:rsidP="00CB10FC">
            <w:pPr>
              <w:numPr>
                <w:ilvl w:val="0"/>
                <w:numId w:val="1"/>
              </w:numPr>
              <w:kinsoku w:val="0"/>
              <w:overflowPunct w:val="0"/>
              <w:autoSpaceDE w:val="0"/>
              <w:adjustRightInd w:val="0"/>
              <w:rPr>
                <w:rFonts w:cs="Times New Roman"/>
                <w:bCs/>
              </w:rPr>
            </w:pPr>
            <w:r w:rsidRPr="00326F7D">
              <w:rPr>
                <w:rFonts w:cs="Times New Roman"/>
                <w:bCs/>
              </w:rPr>
              <w:t>Balancing power</w:t>
            </w:r>
          </w:p>
        </w:tc>
        <w:tc>
          <w:tcPr>
            <w:tcW w:w="3911" w:type="dxa"/>
            <w:tcBorders>
              <w:left w:val="nil"/>
              <w:right w:val="nil"/>
            </w:tcBorders>
          </w:tcPr>
          <w:p w14:paraId="7A1F130F" w14:textId="77777777" w:rsidR="0069356D" w:rsidRPr="00326F7D" w:rsidRDefault="0069356D" w:rsidP="00CB10FC">
            <w:pPr>
              <w:numPr>
                <w:ilvl w:val="0"/>
                <w:numId w:val="1"/>
              </w:numPr>
              <w:kinsoku w:val="0"/>
              <w:overflowPunct w:val="0"/>
              <w:autoSpaceDE w:val="0"/>
              <w:adjustRightInd w:val="0"/>
              <w:rPr>
                <w:rFonts w:cs="Times New Roman"/>
                <w:bCs/>
              </w:rPr>
            </w:pPr>
            <w:r w:rsidRPr="00326F7D">
              <w:rPr>
                <w:rFonts w:cs="Times New Roman"/>
                <w:bCs/>
              </w:rPr>
              <w:lastRenderedPageBreak/>
              <w:t xml:space="preserve">Rooted in mental health recovery principles (connection, hope and optimism, identity, </w:t>
            </w:r>
            <w:r w:rsidRPr="00326F7D">
              <w:rPr>
                <w:rFonts w:cs="Times New Roman"/>
                <w:bCs/>
              </w:rPr>
              <w:lastRenderedPageBreak/>
              <w:t xml:space="preserve">meaning, empowerment) </w:t>
            </w:r>
          </w:p>
          <w:p w14:paraId="152B0DEE" w14:textId="77777777" w:rsidR="0069356D" w:rsidRPr="00326F7D" w:rsidRDefault="0069356D" w:rsidP="00CB10FC">
            <w:pPr>
              <w:numPr>
                <w:ilvl w:val="0"/>
                <w:numId w:val="1"/>
              </w:numPr>
              <w:kinsoku w:val="0"/>
              <w:overflowPunct w:val="0"/>
              <w:autoSpaceDE w:val="0"/>
              <w:adjustRightInd w:val="0"/>
              <w:rPr>
                <w:rFonts w:cs="Times New Roman"/>
                <w:bCs/>
              </w:rPr>
            </w:pPr>
            <w:r w:rsidRPr="00326F7D">
              <w:rPr>
                <w:rFonts w:cs="Times New Roman"/>
                <w:bCs/>
              </w:rPr>
              <w:t>Sharing lived experience through recovery stories</w:t>
            </w:r>
          </w:p>
          <w:p w14:paraId="2FC21118" w14:textId="77777777" w:rsidR="0069356D" w:rsidRPr="00326F7D" w:rsidRDefault="0069356D" w:rsidP="00CB10FC">
            <w:pPr>
              <w:numPr>
                <w:ilvl w:val="0"/>
                <w:numId w:val="1"/>
              </w:numPr>
              <w:kinsoku w:val="0"/>
              <w:overflowPunct w:val="0"/>
              <w:autoSpaceDE w:val="0"/>
              <w:adjustRightInd w:val="0"/>
              <w:rPr>
                <w:rFonts w:cs="Times New Roman"/>
                <w:bCs/>
              </w:rPr>
            </w:pPr>
            <w:r w:rsidRPr="00326F7D">
              <w:rPr>
                <w:rFonts w:cs="Times New Roman"/>
                <w:bCs/>
              </w:rPr>
              <w:t>Aim is transformational system change within and by communities</w:t>
            </w:r>
          </w:p>
          <w:p w14:paraId="431690F2" w14:textId="77777777" w:rsidR="0069356D" w:rsidRPr="00326F7D" w:rsidRDefault="0069356D" w:rsidP="00CB10FC">
            <w:pPr>
              <w:numPr>
                <w:ilvl w:val="0"/>
                <w:numId w:val="1"/>
              </w:numPr>
              <w:kinsoku w:val="0"/>
              <w:overflowPunct w:val="0"/>
              <w:autoSpaceDE w:val="0"/>
              <w:adjustRightInd w:val="0"/>
              <w:rPr>
                <w:rFonts w:cs="Times New Roman"/>
                <w:bCs/>
              </w:rPr>
            </w:pPr>
            <w:r w:rsidRPr="00326F7D">
              <w:rPr>
                <w:rFonts w:cs="Times New Roman"/>
                <w:bCs/>
              </w:rPr>
              <w:t>Moving beyond the medical model of service delivery</w:t>
            </w:r>
          </w:p>
        </w:tc>
        <w:tc>
          <w:tcPr>
            <w:tcW w:w="3911" w:type="dxa"/>
            <w:tcBorders>
              <w:left w:val="nil"/>
            </w:tcBorders>
          </w:tcPr>
          <w:p w14:paraId="53C37BD7" w14:textId="77777777" w:rsidR="0069356D" w:rsidRPr="00326F7D" w:rsidRDefault="0069356D" w:rsidP="00CB10FC">
            <w:pPr>
              <w:numPr>
                <w:ilvl w:val="0"/>
                <w:numId w:val="1"/>
              </w:numPr>
              <w:kinsoku w:val="0"/>
              <w:overflowPunct w:val="0"/>
              <w:autoSpaceDE w:val="0"/>
              <w:adjustRightInd w:val="0"/>
              <w:rPr>
                <w:rFonts w:cs="Times New Roman"/>
                <w:bCs/>
              </w:rPr>
            </w:pPr>
            <w:r w:rsidRPr="00326F7D">
              <w:rPr>
                <w:rFonts w:cs="Times New Roman"/>
                <w:bCs/>
              </w:rPr>
              <w:lastRenderedPageBreak/>
              <w:t xml:space="preserve">Rooted in mental health recovery principles </w:t>
            </w:r>
          </w:p>
          <w:p w14:paraId="0D72BE7A" w14:textId="77777777" w:rsidR="0069356D" w:rsidRPr="00326F7D" w:rsidRDefault="0069356D" w:rsidP="00CB10FC">
            <w:pPr>
              <w:numPr>
                <w:ilvl w:val="0"/>
                <w:numId w:val="1"/>
              </w:numPr>
              <w:kinsoku w:val="0"/>
              <w:overflowPunct w:val="0"/>
              <w:autoSpaceDE w:val="0"/>
              <w:adjustRightInd w:val="0"/>
              <w:rPr>
                <w:rFonts w:cs="Times New Roman"/>
                <w:bCs/>
              </w:rPr>
            </w:pPr>
            <w:r w:rsidRPr="00326F7D">
              <w:rPr>
                <w:rFonts w:cs="Times New Roman"/>
                <w:bCs/>
              </w:rPr>
              <w:t>Living well for all</w:t>
            </w:r>
          </w:p>
          <w:p w14:paraId="0601F9DC" w14:textId="77777777" w:rsidR="0069356D" w:rsidRPr="00326F7D" w:rsidRDefault="0069356D" w:rsidP="00CB10FC">
            <w:pPr>
              <w:numPr>
                <w:ilvl w:val="0"/>
                <w:numId w:val="1"/>
              </w:numPr>
              <w:kinsoku w:val="0"/>
              <w:overflowPunct w:val="0"/>
              <w:autoSpaceDE w:val="0"/>
              <w:adjustRightInd w:val="0"/>
              <w:rPr>
                <w:rFonts w:cs="Times New Roman"/>
                <w:bCs/>
              </w:rPr>
            </w:pPr>
            <w:r w:rsidRPr="00326F7D">
              <w:rPr>
                <w:rFonts w:cs="Times New Roman"/>
                <w:bCs/>
              </w:rPr>
              <w:lastRenderedPageBreak/>
              <w:t>Inclusive educational approach</w:t>
            </w:r>
          </w:p>
          <w:p w14:paraId="14DB0E7E" w14:textId="77777777" w:rsidR="0069356D" w:rsidRPr="00326F7D" w:rsidRDefault="0069356D" w:rsidP="00CB10FC">
            <w:pPr>
              <w:numPr>
                <w:ilvl w:val="0"/>
                <w:numId w:val="1"/>
              </w:numPr>
              <w:kinsoku w:val="0"/>
              <w:overflowPunct w:val="0"/>
              <w:autoSpaceDE w:val="0"/>
              <w:adjustRightInd w:val="0"/>
              <w:rPr>
                <w:rFonts w:cs="Times New Roman"/>
                <w:bCs/>
              </w:rPr>
            </w:pPr>
            <w:r w:rsidRPr="00326F7D">
              <w:rPr>
                <w:rFonts w:cs="Times New Roman"/>
                <w:bCs/>
              </w:rPr>
              <w:t>Courses are open to anyone interested in participating/learning</w:t>
            </w:r>
          </w:p>
        </w:tc>
      </w:tr>
      <w:tr w:rsidR="0069356D" w:rsidRPr="00326F7D" w14:paraId="742AAD5D" w14:textId="77777777" w:rsidTr="00CB10FC">
        <w:tc>
          <w:tcPr>
            <w:tcW w:w="1839" w:type="dxa"/>
            <w:tcBorders>
              <w:right w:val="nil"/>
            </w:tcBorders>
          </w:tcPr>
          <w:p w14:paraId="33296F18" w14:textId="619E83D3" w:rsidR="0069356D" w:rsidRPr="00777DE0" w:rsidRDefault="0069356D" w:rsidP="00CB10FC">
            <w:pPr>
              <w:pStyle w:val="Textbody"/>
              <w:spacing w:after="0"/>
            </w:pPr>
            <w:r w:rsidRPr="00777DE0">
              <w:rPr>
                <w:rFonts w:cs="Times New Roman"/>
              </w:rPr>
              <w:lastRenderedPageBreak/>
              <w:t xml:space="preserve">Addressing </w:t>
            </w:r>
            <w:r w:rsidR="00777DE0" w:rsidRPr="00777DE0">
              <w:rPr>
                <w:rFonts w:cs="Times New Roman"/>
              </w:rPr>
              <w:t>s</w:t>
            </w:r>
            <w:r w:rsidRPr="00777DE0">
              <w:rPr>
                <w:rFonts w:cs="Times New Roman"/>
              </w:rPr>
              <w:t xml:space="preserve">tructural </w:t>
            </w:r>
            <w:r w:rsidR="00777DE0" w:rsidRPr="00777DE0">
              <w:rPr>
                <w:rFonts w:cs="Times New Roman"/>
              </w:rPr>
              <w:t>v</w:t>
            </w:r>
            <w:r w:rsidRPr="00777DE0">
              <w:rPr>
                <w:rFonts w:cs="Times New Roman"/>
              </w:rPr>
              <w:t>ulnerability</w:t>
            </w:r>
          </w:p>
        </w:tc>
        <w:tc>
          <w:tcPr>
            <w:tcW w:w="3911" w:type="dxa"/>
            <w:tcBorders>
              <w:left w:val="nil"/>
              <w:right w:val="nil"/>
            </w:tcBorders>
          </w:tcPr>
          <w:p w14:paraId="5797AD21" w14:textId="77777777" w:rsidR="0069356D" w:rsidRPr="00326F7D" w:rsidRDefault="0069356D" w:rsidP="00CB10FC">
            <w:pPr>
              <w:pStyle w:val="Textbody"/>
              <w:spacing w:after="0"/>
            </w:pPr>
            <w:r w:rsidRPr="00326F7D">
              <w:rPr>
                <w:rFonts w:cs="Times New Roman"/>
              </w:rPr>
              <w:t>The objective of ESTHER is the coordination of those care needs identified as most important to patients themselves. Vulnerable populations, specifically those with chronic diseases, are those expected to benefit most from ESTHER as these groups are more likely to ‘fall through the cracks’ of the system, given their complex care needs across  the health and social care systems.</w:t>
            </w:r>
          </w:p>
        </w:tc>
        <w:tc>
          <w:tcPr>
            <w:tcW w:w="3911" w:type="dxa"/>
            <w:tcBorders>
              <w:left w:val="nil"/>
              <w:right w:val="nil"/>
            </w:tcBorders>
          </w:tcPr>
          <w:p w14:paraId="70D9BAC7" w14:textId="77777777" w:rsidR="0069356D" w:rsidRPr="00326F7D" w:rsidRDefault="0069356D" w:rsidP="00CB10FC">
            <w:pPr>
              <w:pStyle w:val="Textbody"/>
              <w:spacing w:after="0"/>
              <w:rPr>
                <w:rFonts w:cs="Times New Roman"/>
              </w:rPr>
            </w:pPr>
            <w:r w:rsidRPr="00326F7D">
              <w:rPr>
                <w:rFonts w:cs="Times New Roman"/>
              </w:rPr>
              <w:t>Collaborative conversation approach to create an environment through sharing recovery stories in which people with lived and professional experience can work together to identify what’s possible. Focus on encouraging involvement from underrepresented communities.</w:t>
            </w:r>
          </w:p>
        </w:tc>
        <w:tc>
          <w:tcPr>
            <w:tcW w:w="3911" w:type="dxa"/>
            <w:tcBorders>
              <w:left w:val="nil"/>
            </w:tcBorders>
          </w:tcPr>
          <w:p w14:paraId="6BDF64CB" w14:textId="2CB928BB" w:rsidR="0069356D" w:rsidRPr="00326F7D" w:rsidRDefault="0069356D" w:rsidP="00CB10FC">
            <w:pPr>
              <w:pStyle w:val="Textbody"/>
              <w:spacing w:after="0"/>
              <w:rPr>
                <w:rFonts w:cs="Times New Roman"/>
              </w:rPr>
            </w:pPr>
            <w:r w:rsidRPr="00326F7D">
              <w:rPr>
                <w:rFonts w:cs="Times New Roman"/>
              </w:rPr>
              <w:t xml:space="preserve">The </w:t>
            </w:r>
            <w:r w:rsidR="00485568">
              <w:rPr>
                <w:rFonts w:cs="Times New Roman"/>
              </w:rPr>
              <w:t>coproduction</w:t>
            </w:r>
            <w:r w:rsidRPr="00326F7D">
              <w:rPr>
                <w:rFonts w:cs="Times New Roman"/>
              </w:rPr>
              <w:t xml:space="preserve"> approach fosters a fundamental relationship shift between staff and students. The instructional climate creates a sense of community that is absent for many structurally vulnerable individuals. Service providers develop skills in </w:t>
            </w:r>
            <w:r w:rsidR="00485568">
              <w:rPr>
                <w:rFonts w:cs="Times New Roman"/>
              </w:rPr>
              <w:t>coproduction</w:t>
            </w:r>
            <w:r w:rsidRPr="00326F7D">
              <w:rPr>
                <w:rFonts w:cs="Times New Roman"/>
              </w:rPr>
              <w:t>, wellbeing, and recovery, and become more open to innovation.</w:t>
            </w:r>
          </w:p>
        </w:tc>
      </w:tr>
    </w:tbl>
    <w:p w14:paraId="56794AB3" w14:textId="7FB10C44" w:rsidR="0069356D" w:rsidRDefault="0069356D" w:rsidP="0069356D">
      <w:pPr>
        <w:pStyle w:val="Textbody"/>
        <w:spacing w:after="0"/>
        <w:rPr>
          <w:color w:val="000000"/>
        </w:rPr>
      </w:pPr>
    </w:p>
    <w:p w14:paraId="1F8F4F26" w14:textId="77777777" w:rsidR="00314C8F" w:rsidRDefault="00314C8F" w:rsidP="00924E45"/>
    <w:sectPr w:rsidR="00314C8F" w:rsidSect="0069356D">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irmala Text">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78FF"/>
    <w:multiLevelType w:val="multilevel"/>
    <w:tmpl w:val="609EFE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822CF1"/>
    <w:multiLevelType w:val="hybridMultilevel"/>
    <w:tmpl w:val="DB7E0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60235E"/>
    <w:multiLevelType w:val="hybridMultilevel"/>
    <w:tmpl w:val="A976C442"/>
    <w:lvl w:ilvl="0" w:tplc="10090001">
      <w:start w:val="1"/>
      <w:numFmt w:val="bullet"/>
      <w:lvlText w:val=""/>
      <w:lvlJc w:val="left"/>
      <w:pPr>
        <w:ind w:left="720" w:hanging="360"/>
      </w:pPr>
      <w:rPr>
        <w:rFonts w:ascii="Symbol" w:hAnsi="Symbol" w:hint="default"/>
      </w:rPr>
    </w:lvl>
    <w:lvl w:ilvl="1" w:tplc="C554DE90">
      <w:numFmt w:val="bullet"/>
      <w:lvlText w:val="-"/>
      <w:lvlJc w:val="left"/>
      <w:pPr>
        <w:ind w:left="1440" w:hanging="360"/>
      </w:pPr>
      <w:rPr>
        <w:rFonts w:ascii="Century Gothic" w:eastAsiaTheme="minorEastAsia" w:hAnsi="Century Gothic" w:cs="Nirmala Tex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70923"/>
    <w:multiLevelType w:val="hybridMultilevel"/>
    <w:tmpl w:val="7F568E0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D842226"/>
    <w:multiLevelType w:val="hybridMultilevel"/>
    <w:tmpl w:val="A3F8D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DD35DDE"/>
    <w:multiLevelType w:val="hybridMultilevel"/>
    <w:tmpl w:val="D1880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1BF5FEF"/>
    <w:multiLevelType w:val="hybridMultilevel"/>
    <w:tmpl w:val="65B67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C3A4C30"/>
    <w:multiLevelType w:val="hybridMultilevel"/>
    <w:tmpl w:val="49B4CF7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594DAF"/>
    <w:multiLevelType w:val="hybridMultilevel"/>
    <w:tmpl w:val="1092F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2307131">
    <w:abstractNumId w:val="8"/>
  </w:num>
  <w:num w:numId="2" w16cid:durableId="21367042">
    <w:abstractNumId w:val="5"/>
  </w:num>
  <w:num w:numId="3" w16cid:durableId="1846479179">
    <w:abstractNumId w:val="1"/>
  </w:num>
  <w:num w:numId="4" w16cid:durableId="1741292994">
    <w:abstractNumId w:val="0"/>
  </w:num>
  <w:num w:numId="5" w16cid:durableId="659696774">
    <w:abstractNumId w:val="3"/>
  </w:num>
  <w:num w:numId="6" w16cid:durableId="1516384910">
    <w:abstractNumId w:val="2"/>
  </w:num>
  <w:num w:numId="7" w16cid:durableId="614605304">
    <w:abstractNumId w:val="7"/>
  </w:num>
  <w:num w:numId="8" w16cid:durableId="1286695276">
    <w:abstractNumId w:val="6"/>
  </w:num>
  <w:num w:numId="9" w16cid:durableId="403265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6D"/>
    <w:rsid w:val="0009664F"/>
    <w:rsid w:val="00314C8F"/>
    <w:rsid w:val="003F5D17"/>
    <w:rsid w:val="00485568"/>
    <w:rsid w:val="0069356D"/>
    <w:rsid w:val="00777DE0"/>
    <w:rsid w:val="007A7682"/>
    <w:rsid w:val="00924E45"/>
    <w:rsid w:val="00B17813"/>
    <w:rsid w:val="00CE4F35"/>
    <w:rsid w:val="00F83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86A3"/>
  <w15:chartTrackingRefBased/>
  <w15:docId w15:val="{5B84EE63-F963-4EBF-B512-23C9E79D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56D"/>
    <w:pPr>
      <w:widowControl w:val="0"/>
      <w:suppressAutoHyphens/>
      <w:autoSpaceDN w:val="0"/>
      <w:ind w:left="0" w:firstLine="0"/>
      <w:textAlignment w:val="baseline"/>
    </w:pPr>
    <w:rPr>
      <w:rFonts w:ascii="Times New Roman" w:eastAsia="SimSun" w:hAnsi="Times New Roman" w:cs="Ari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link w:val="TextbodyChar"/>
    <w:rsid w:val="0069356D"/>
    <w:pPr>
      <w:spacing w:after="120"/>
    </w:pPr>
  </w:style>
  <w:style w:type="character" w:customStyle="1" w:styleId="TextbodyChar">
    <w:name w:val="Text body Char"/>
    <w:basedOn w:val="DefaultParagraphFont"/>
    <w:link w:val="Textbody"/>
    <w:rsid w:val="0069356D"/>
    <w:rPr>
      <w:rFonts w:ascii="Times New Roman" w:eastAsia="SimSun" w:hAnsi="Times New Roman" w:cs="Arial"/>
      <w:kern w:val="3"/>
      <w:sz w:val="24"/>
      <w:szCs w:val="24"/>
      <w:lang w:eastAsia="zh-CN" w:bidi="hi-IN"/>
    </w:rPr>
  </w:style>
  <w:style w:type="table" w:styleId="TableGrid">
    <w:name w:val="Table Grid"/>
    <w:basedOn w:val="TableNormal"/>
    <w:uiPriority w:val="39"/>
    <w:rsid w:val="0069356D"/>
    <w:pPr>
      <w:widowControl w:val="0"/>
      <w:suppressAutoHyphens/>
      <w:autoSpaceDN w:val="0"/>
      <w:ind w:left="0" w:firstLine="0"/>
      <w:textAlignment w:val="baseline"/>
    </w:pPr>
    <w:rPr>
      <w:rFonts w:ascii="Times New Roman" w:eastAsia="SimSun" w:hAnsi="Times New Roman" w:cs="Ari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56D"/>
    <w:pPr>
      <w:ind w:left="720"/>
      <w:contextualSpacing/>
    </w:pPr>
    <w:rPr>
      <w:rFonts w:cs="Mangal"/>
      <w:szCs w:val="21"/>
    </w:rPr>
  </w:style>
  <w:style w:type="table" w:customStyle="1" w:styleId="TableGrid2">
    <w:name w:val="Table Grid2"/>
    <w:basedOn w:val="TableNormal"/>
    <w:next w:val="TableGrid"/>
    <w:uiPriority w:val="39"/>
    <w:rsid w:val="0069356D"/>
    <w:pPr>
      <w:ind w:left="0" w:firstLine="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Green</dc:creator>
  <cp:keywords/>
  <dc:description/>
  <cp:lastModifiedBy>Jenn Green</cp:lastModifiedBy>
  <cp:revision>9</cp:revision>
  <dcterms:created xsi:type="dcterms:W3CDTF">2023-11-02T18:44:00Z</dcterms:created>
  <dcterms:modified xsi:type="dcterms:W3CDTF">2023-11-09T17:26:00Z</dcterms:modified>
</cp:coreProperties>
</file>