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887C90" w14:textId="77777777" w:rsidR="005359BA" w:rsidRPr="00A62E05" w:rsidRDefault="005359BA" w:rsidP="005359BA">
      <w:pPr>
        <w:spacing w:line="360" w:lineRule="auto"/>
        <w:jc w:val="center"/>
        <w:rPr>
          <w:b/>
          <w:bCs/>
          <w:sz w:val="32"/>
          <w:szCs w:val="32"/>
          <w:u w:val="single"/>
        </w:rPr>
      </w:pPr>
      <w:r w:rsidRPr="00A62E05">
        <w:rPr>
          <w:b/>
          <w:bCs/>
          <w:sz w:val="32"/>
          <w:szCs w:val="32"/>
          <w:u w:val="single"/>
        </w:rPr>
        <w:t>Supplementary material</w:t>
      </w:r>
    </w:p>
    <w:p w14:paraId="6C1F60C0" w14:textId="77777777" w:rsidR="005359BA" w:rsidRPr="00A62E05" w:rsidRDefault="005359BA" w:rsidP="005359BA">
      <w:pPr>
        <w:spacing w:line="360" w:lineRule="auto"/>
        <w:jc w:val="center"/>
      </w:pPr>
    </w:p>
    <w:p w14:paraId="0ACF87B0" w14:textId="77777777" w:rsidR="005359BA" w:rsidRPr="00A62E05" w:rsidRDefault="005359BA" w:rsidP="005359BA">
      <w:pPr>
        <w:spacing w:line="360" w:lineRule="auto"/>
        <w:jc w:val="both"/>
        <w:rPr>
          <w:b/>
          <w:color w:val="000000"/>
        </w:rPr>
      </w:pPr>
      <w:r w:rsidRPr="00A62E05">
        <w:rPr>
          <w:b/>
          <w:color w:val="000000"/>
        </w:rPr>
        <w:t>Real-Time ENSO Forecast Skill Evaluated Over the Last Two Decades: Onset of ENSO Events</w:t>
      </w:r>
    </w:p>
    <w:p w14:paraId="5695132C" w14:textId="77777777" w:rsidR="005359BA" w:rsidRPr="00A62E05" w:rsidRDefault="005359BA" w:rsidP="005359BA">
      <w:pPr>
        <w:spacing w:line="360" w:lineRule="auto"/>
        <w:jc w:val="both"/>
        <w:rPr>
          <w:color w:val="000000"/>
        </w:rPr>
      </w:pPr>
    </w:p>
    <w:p w14:paraId="300D6D94" w14:textId="77777777" w:rsidR="005359BA" w:rsidRPr="00A62E05" w:rsidRDefault="005359BA" w:rsidP="005359BA">
      <w:pPr>
        <w:spacing w:line="360" w:lineRule="auto"/>
        <w:rPr>
          <w:color w:val="000000"/>
        </w:rPr>
      </w:pPr>
      <w:r w:rsidRPr="00A62E05">
        <w:rPr>
          <w:b/>
          <w:color w:val="000000"/>
        </w:rPr>
        <w:t>Authors:</w:t>
      </w:r>
      <w:r w:rsidRPr="00A62E05">
        <w:rPr>
          <w:color w:val="000000"/>
        </w:rPr>
        <w:t xml:space="preserve"> Muhammad Azhar Ehsan</w:t>
      </w:r>
      <w:r w:rsidRPr="00A62E05">
        <w:rPr>
          <w:color w:val="000000"/>
          <w:vertAlign w:val="superscript"/>
        </w:rPr>
        <w:t>1</w:t>
      </w:r>
      <w:r w:rsidRPr="00A62E05">
        <w:rPr>
          <w:color w:val="000000"/>
        </w:rPr>
        <w:t>, Michelle L. L’Heureux</w:t>
      </w:r>
      <w:r w:rsidRPr="00A62E05">
        <w:rPr>
          <w:color w:val="000000"/>
          <w:vertAlign w:val="superscript"/>
        </w:rPr>
        <w:t>2</w:t>
      </w:r>
      <w:r w:rsidRPr="00A62E05">
        <w:rPr>
          <w:color w:val="000000"/>
        </w:rPr>
        <w:t>, Michael K</w:t>
      </w:r>
      <w:r>
        <w:rPr>
          <w:color w:val="000000"/>
        </w:rPr>
        <w:t>.</w:t>
      </w:r>
      <w:r w:rsidRPr="00A62E05">
        <w:rPr>
          <w:color w:val="000000"/>
        </w:rPr>
        <w:t xml:space="preserve"> Tippett</w:t>
      </w:r>
      <w:r w:rsidRPr="00A62E05">
        <w:rPr>
          <w:color w:val="000000"/>
          <w:vertAlign w:val="superscript"/>
        </w:rPr>
        <w:t>3</w:t>
      </w:r>
      <w:r w:rsidRPr="00A62E05">
        <w:rPr>
          <w:color w:val="000000"/>
        </w:rPr>
        <w:t>, Andrew W. Robertson</w:t>
      </w:r>
      <w:r w:rsidRPr="00A62E05">
        <w:rPr>
          <w:color w:val="000000"/>
          <w:vertAlign w:val="superscript"/>
        </w:rPr>
        <w:t>1</w:t>
      </w:r>
      <w:r w:rsidRPr="00A62E05">
        <w:rPr>
          <w:color w:val="000000"/>
        </w:rPr>
        <w:t>, Jeffrey Turmelle</w:t>
      </w:r>
      <w:r w:rsidRPr="00A62E05">
        <w:rPr>
          <w:color w:val="000000"/>
          <w:vertAlign w:val="superscript"/>
        </w:rPr>
        <w:t>1</w:t>
      </w:r>
    </w:p>
    <w:p w14:paraId="0E31A481" w14:textId="77777777" w:rsidR="005359BA" w:rsidRPr="00A62E05" w:rsidRDefault="005359BA" w:rsidP="005359BA">
      <w:pPr>
        <w:spacing w:line="360" w:lineRule="auto"/>
        <w:rPr>
          <w:color w:val="000000"/>
        </w:rPr>
      </w:pPr>
    </w:p>
    <w:p w14:paraId="2180A542" w14:textId="77777777" w:rsidR="005359BA" w:rsidRPr="00A62E05" w:rsidRDefault="005359BA" w:rsidP="005359BA">
      <w:pPr>
        <w:spacing w:line="360" w:lineRule="auto"/>
        <w:rPr>
          <w:color w:val="000000"/>
        </w:rPr>
      </w:pPr>
    </w:p>
    <w:p w14:paraId="5F5097E3" w14:textId="77777777" w:rsidR="005359BA" w:rsidRPr="00A62E05" w:rsidRDefault="005359BA" w:rsidP="005359BA">
      <w:pPr>
        <w:pStyle w:val="ListParagraph"/>
        <w:numPr>
          <w:ilvl w:val="0"/>
          <w:numId w:val="2"/>
        </w:numPr>
        <w:spacing w:line="360" w:lineRule="auto"/>
        <w:jc w:val="both"/>
        <w:rPr>
          <w:color w:val="000000" w:themeColor="text1"/>
        </w:rPr>
      </w:pPr>
      <w:r w:rsidRPr="00A62E05">
        <w:rPr>
          <w:color w:val="000000" w:themeColor="text1"/>
        </w:rPr>
        <w:t>International Research Institute for Climate and Society, Columbia Climate School at Columbia University, Palisades, New York, USA.</w:t>
      </w:r>
    </w:p>
    <w:p w14:paraId="31DFC12C" w14:textId="77777777" w:rsidR="005359BA" w:rsidRPr="00A62E05" w:rsidRDefault="005359BA" w:rsidP="005359BA">
      <w:pPr>
        <w:pStyle w:val="ListParagraph"/>
        <w:numPr>
          <w:ilvl w:val="0"/>
          <w:numId w:val="2"/>
        </w:numPr>
        <w:spacing w:line="360" w:lineRule="auto"/>
        <w:jc w:val="both"/>
        <w:rPr>
          <w:color w:val="000000" w:themeColor="text1"/>
        </w:rPr>
      </w:pPr>
      <w:r w:rsidRPr="00A62E05">
        <w:rPr>
          <w:color w:val="000000" w:themeColor="text1"/>
        </w:rPr>
        <w:t>Climate Prediction Center, National Oceanic and Atmospheric Administration, National Weather Service (NWS), National Centers for Environmental Prediction (NCEP), College Park, MD, United States.</w:t>
      </w:r>
    </w:p>
    <w:p w14:paraId="7002896D" w14:textId="77777777" w:rsidR="005359BA" w:rsidRPr="00A62E05" w:rsidRDefault="005359BA" w:rsidP="005359BA">
      <w:pPr>
        <w:numPr>
          <w:ilvl w:val="0"/>
          <w:numId w:val="2"/>
        </w:numPr>
        <w:jc w:val="both"/>
        <w:rPr>
          <w:color w:val="000000" w:themeColor="text1"/>
        </w:rPr>
      </w:pPr>
      <w:r w:rsidRPr="00A62E05">
        <w:rPr>
          <w:color w:val="000000" w:themeColor="text1"/>
        </w:rPr>
        <w:t>Department of Applied Physics and Applied Mathematics, Columbia University, New York, USA.</w:t>
      </w:r>
    </w:p>
    <w:p w14:paraId="2C5F0FA3" w14:textId="77777777" w:rsidR="005359BA" w:rsidRPr="00A62E05" w:rsidRDefault="005359BA" w:rsidP="005359BA">
      <w:pPr>
        <w:rPr>
          <w:color w:val="000000"/>
        </w:rPr>
      </w:pPr>
    </w:p>
    <w:p w14:paraId="55E7AF90" w14:textId="77777777" w:rsidR="005359BA" w:rsidRPr="00A62E05" w:rsidRDefault="005359BA" w:rsidP="005359BA">
      <w:pPr>
        <w:jc w:val="center"/>
        <w:rPr>
          <w:color w:val="000000"/>
        </w:rPr>
      </w:pPr>
    </w:p>
    <w:p w14:paraId="34470EDD" w14:textId="77777777" w:rsidR="005359BA" w:rsidRPr="00A62E05" w:rsidRDefault="005359BA" w:rsidP="005359BA">
      <w:pPr>
        <w:jc w:val="center"/>
        <w:rPr>
          <w:color w:val="000000"/>
        </w:rPr>
      </w:pPr>
    </w:p>
    <w:p w14:paraId="25120F2D" w14:textId="77777777" w:rsidR="005359BA" w:rsidRPr="00A62E05" w:rsidRDefault="005359BA" w:rsidP="005359BA">
      <w:pPr>
        <w:jc w:val="center"/>
        <w:rPr>
          <w:color w:val="000000"/>
        </w:rPr>
      </w:pPr>
    </w:p>
    <w:p w14:paraId="40DCF17D" w14:textId="77777777" w:rsidR="005359BA" w:rsidRPr="00A62E05" w:rsidRDefault="005359BA" w:rsidP="005359BA">
      <w:pPr>
        <w:jc w:val="center"/>
        <w:rPr>
          <w:color w:val="000000"/>
        </w:rPr>
      </w:pPr>
    </w:p>
    <w:p w14:paraId="77290E77" w14:textId="77777777" w:rsidR="005359BA" w:rsidRPr="00A62E05" w:rsidRDefault="005359BA" w:rsidP="005359BA">
      <w:pPr>
        <w:jc w:val="center"/>
        <w:rPr>
          <w:color w:val="000000"/>
        </w:rPr>
      </w:pPr>
      <w:r>
        <w:rPr>
          <w:color w:val="000000"/>
        </w:rPr>
        <w:t>Nov</w:t>
      </w:r>
      <w:r w:rsidRPr="00A62E05">
        <w:rPr>
          <w:color w:val="000000"/>
        </w:rPr>
        <w:t xml:space="preserve"> 2023</w:t>
      </w:r>
    </w:p>
    <w:p w14:paraId="7D1CE50F" w14:textId="77777777" w:rsidR="005359BA" w:rsidRPr="00A62E05" w:rsidRDefault="005359BA" w:rsidP="005359BA">
      <w:pPr>
        <w:jc w:val="center"/>
        <w:rPr>
          <w:color w:val="000000"/>
        </w:rPr>
      </w:pPr>
      <w:r w:rsidRPr="00A62E05">
        <w:rPr>
          <w:color w:val="000000"/>
        </w:rPr>
        <w:t>Submission to</w:t>
      </w:r>
    </w:p>
    <w:p w14:paraId="588C7E23" w14:textId="77777777" w:rsidR="005359BA" w:rsidRPr="00A62E05" w:rsidRDefault="005359BA" w:rsidP="005359BA">
      <w:pPr>
        <w:jc w:val="center"/>
        <w:rPr>
          <w:color w:val="000000"/>
        </w:rPr>
      </w:pPr>
      <w:r w:rsidRPr="00A62E05">
        <w:rPr>
          <w:color w:val="000000"/>
        </w:rPr>
        <w:t>npj Climate and Atmospheric Science</w:t>
      </w:r>
    </w:p>
    <w:p w14:paraId="20CFF123" w14:textId="77777777" w:rsidR="005359BA" w:rsidRPr="00A62E05" w:rsidRDefault="005359BA" w:rsidP="005359BA">
      <w:pPr>
        <w:rPr>
          <w:color w:val="000000"/>
        </w:rPr>
      </w:pPr>
      <w:r w:rsidRPr="00A62E05">
        <w:rPr>
          <w:color w:val="000000"/>
        </w:rPr>
        <w:t>______________________________________________________________________________</w:t>
      </w:r>
    </w:p>
    <w:p w14:paraId="64629F2F" w14:textId="77777777" w:rsidR="005359BA" w:rsidRPr="00A62E05" w:rsidRDefault="005359BA" w:rsidP="005359BA">
      <w:pPr>
        <w:spacing w:line="360" w:lineRule="auto"/>
        <w:jc w:val="both"/>
        <w:rPr>
          <w:color w:val="0000FF"/>
          <w:u w:val="single"/>
        </w:rPr>
      </w:pPr>
      <w:r w:rsidRPr="00A62E05">
        <w:rPr>
          <w:color w:val="000000"/>
          <w:vertAlign w:val="superscript"/>
        </w:rPr>
        <w:t>*</w:t>
      </w:r>
      <w:r w:rsidRPr="00A62E05">
        <w:rPr>
          <w:color w:val="000000"/>
        </w:rPr>
        <w:t xml:space="preserve">To whom correspondence should be addressed: </w:t>
      </w:r>
      <w:r w:rsidRPr="00A62E05">
        <w:rPr>
          <w:b/>
          <w:color w:val="000000"/>
        </w:rPr>
        <w:t>Muhammad Azhar Ehsan,</w:t>
      </w:r>
      <w:r w:rsidRPr="00A62E05">
        <w:rPr>
          <w:color w:val="000000"/>
        </w:rPr>
        <w:t xml:space="preserve"> International Research Institute for Climate and Society, Earth Institute at Columbia University, Palisades, New York, United States of America. Email: </w:t>
      </w:r>
      <w:hyperlink r:id="rId5">
        <w:r w:rsidRPr="00A62E05">
          <w:rPr>
            <w:color w:val="0000FF"/>
            <w:u w:val="single"/>
          </w:rPr>
          <w:t>azhar@iri.columbia.edu</w:t>
        </w:r>
      </w:hyperlink>
    </w:p>
    <w:p w14:paraId="3681B540" w14:textId="77777777" w:rsidR="005359BA" w:rsidRPr="00A62E05" w:rsidRDefault="005359BA" w:rsidP="005359BA">
      <w:pPr>
        <w:rPr>
          <w:rStyle w:val="Hyperlink"/>
          <w:rFonts w:eastAsia="Calibri"/>
          <w:color w:val="000000" w:themeColor="text1"/>
        </w:rPr>
      </w:pPr>
      <w:r w:rsidRPr="00A62E05">
        <w:rPr>
          <w:rStyle w:val="Hyperlink"/>
          <w:rFonts w:eastAsia="Calibri"/>
          <w:color w:val="000000" w:themeColor="text1"/>
        </w:rPr>
        <w:br w:type="page"/>
      </w:r>
    </w:p>
    <w:p w14:paraId="291336A9" w14:textId="77777777" w:rsidR="005359BA" w:rsidRPr="00A62E05" w:rsidRDefault="005359BA" w:rsidP="005359BA"/>
    <w:p w14:paraId="6124C623" w14:textId="77777777" w:rsidR="005359BA" w:rsidRPr="00A62E05" w:rsidRDefault="005359BA" w:rsidP="005359BA">
      <w:pPr>
        <w:spacing w:line="360" w:lineRule="auto"/>
        <w:rPr>
          <w:b/>
          <w:bCs/>
        </w:rPr>
      </w:pPr>
      <w:r w:rsidRPr="00A62E05">
        <w:rPr>
          <w:b/>
          <w:bCs/>
        </w:rPr>
        <w:t>ABSTRACT</w:t>
      </w:r>
    </w:p>
    <w:p w14:paraId="5AD21743" w14:textId="77777777" w:rsidR="005359BA" w:rsidRPr="00A62E05" w:rsidRDefault="005359BA" w:rsidP="005359BA">
      <w:pPr>
        <w:spacing w:line="360" w:lineRule="auto"/>
      </w:pPr>
      <w:r w:rsidRPr="00A62E05">
        <w:t>Containing supplementary figures for main manuscript.</w:t>
      </w:r>
    </w:p>
    <w:p w14:paraId="48D34A6B" w14:textId="77777777" w:rsidR="005359BA" w:rsidRPr="00A62E05" w:rsidRDefault="005359BA" w:rsidP="005359BA">
      <w:r w:rsidRPr="00A62E05">
        <w:br w:type="page"/>
      </w:r>
    </w:p>
    <w:p w14:paraId="6CDAC5FB" w14:textId="77777777" w:rsidR="005359BA" w:rsidRPr="00A62E05" w:rsidRDefault="005359BA" w:rsidP="005359BA">
      <w:pPr>
        <w:pStyle w:val="ListParagraph"/>
        <w:numPr>
          <w:ilvl w:val="0"/>
          <w:numId w:val="1"/>
        </w:numPr>
        <w:spacing w:line="360" w:lineRule="auto"/>
        <w:jc w:val="both"/>
        <w:rPr>
          <w:b/>
          <w:bCs/>
          <w:color w:val="000000"/>
        </w:rPr>
      </w:pPr>
      <w:r w:rsidRPr="00A62E05">
        <w:rPr>
          <w:rFonts w:eastAsia="SimSun"/>
          <w:b/>
          <w:bCs/>
          <w:lang w:eastAsia="zh-CN"/>
        </w:rPr>
        <w:lastRenderedPageBreak/>
        <w:t>Supplementary Figures</w:t>
      </w:r>
    </w:p>
    <w:p w14:paraId="1FEA2998" w14:textId="77777777" w:rsidR="005359BA" w:rsidRPr="00A62E05" w:rsidRDefault="005359BA" w:rsidP="005359BA">
      <w:pPr>
        <w:rPr>
          <w:color w:val="000000"/>
        </w:rPr>
      </w:pPr>
    </w:p>
    <w:tbl>
      <w:tblPr>
        <w:tblW w:w="10512" w:type="dxa"/>
        <w:tblInd w:w="-365" w:type="dxa"/>
        <w:tblBorders>
          <w:top w:val="nil"/>
          <w:left w:val="nil"/>
          <w:bottom w:val="nil"/>
          <w:right w:val="nil"/>
          <w:insideH w:val="nil"/>
          <w:insideV w:val="nil"/>
        </w:tblBorders>
        <w:tblLayout w:type="fixed"/>
        <w:tblLook w:val="0400" w:firstRow="0" w:lastRow="0" w:firstColumn="0" w:lastColumn="0" w:noHBand="0" w:noVBand="1"/>
      </w:tblPr>
      <w:tblGrid>
        <w:gridCol w:w="5256"/>
        <w:gridCol w:w="5256"/>
      </w:tblGrid>
      <w:tr w:rsidR="005359BA" w:rsidRPr="00A62E05" w14:paraId="64C8D898" w14:textId="77777777" w:rsidTr="001F2FEC">
        <w:tc>
          <w:tcPr>
            <w:tcW w:w="5256" w:type="dxa"/>
          </w:tcPr>
          <w:p w14:paraId="754A65FC" w14:textId="77777777" w:rsidR="005359BA" w:rsidRPr="00A62E05" w:rsidRDefault="005359BA" w:rsidP="001F2FEC">
            <w:pPr>
              <w:spacing w:line="360" w:lineRule="auto"/>
              <w:jc w:val="center"/>
              <w:rPr>
                <w:color w:val="000000"/>
              </w:rPr>
            </w:pPr>
            <w:r w:rsidRPr="00A62E05">
              <w:rPr>
                <w:noProof/>
                <w:color w:val="000000"/>
              </w:rPr>
              <w:drawing>
                <wp:inline distT="0" distB="0" distL="0" distR="0" wp14:anchorId="20459C41" wp14:editId="29881BBE">
                  <wp:extent cx="3200400" cy="2286000"/>
                  <wp:effectExtent l="0" t="0" r="0" b="0"/>
                  <wp:docPr id="54204286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2042866" name="Picture 542042866"/>
                          <pic:cNvPicPr/>
                        </pic:nvPicPr>
                        <pic:blipFill rotWithShape="1">
                          <a:blip r:embed="rId6" cstate="print">
                            <a:extLst>
                              <a:ext uri="{28A0092B-C50C-407E-A947-70E740481C1C}">
                                <a14:useLocalDpi xmlns:a14="http://schemas.microsoft.com/office/drawing/2010/main" val="0"/>
                              </a:ext>
                            </a:extLst>
                          </a:blip>
                          <a:srcRect l="6445" r="9345"/>
                          <a:stretch/>
                        </pic:blipFill>
                        <pic:spPr bwMode="auto">
                          <a:xfrm>
                            <a:off x="0" y="0"/>
                            <a:ext cx="3200400" cy="2286000"/>
                          </a:xfrm>
                          <a:prstGeom prst="rect">
                            <a:avLst/>
                          </a:prstGeom>
                          <a:ln>
                            <a:noFill/>
                          </a:ln>
                          <a:extLst>
                            <a:ext uri="{53640926-AAD7-44D8-BBD7-CCE9431645EC}">
                              <a14:shadowObscured xmlns:a14="http://schemas.microsoft.com/office/drawing/2010/main"/>
                            </a:ext>
                          </a:extLst>
                        </pic:spPr>
                      </pic:pic>
                    </a:graphicData>
                  </a:graphic>
                </wp:inline>
              </w:drawing>
            </w:r>
          </w:p>
        </w:tc>
        <w:tc>
          <w:tcPr>
            <w:tcW w:w="5256" w:type="dxa"/>
          </w:tcPr>
          <w:p w14:paraId="42377679" w14:textId="77777777" w:rsidR="005359BA" w:rsidRPr="00A62E05" w:rsidRDefault="005359BA" w:rsidP="001F2FEC">
            <w:pPr>
              <w:spacing w:line="360" w:lineRule="auto"/>
              <w:jc w:val="center"/>
              <w:rPr>
                <w:color w:val="000000"/>
              </w:rPr>
            </w:pPr>
            <w:r w:rsidRPr="00A62E05">
              <w:rPr>
                <w:noProof/>
                <w:color w:val="000000"/>
              </w:rPr>
              <w:drawing>
                <wp:inline distT="0" distB="0" distL="0" distR="0" wp14:anchorId="659D0F5A" wp14:editId="5562ECE6">
                  <wp:extent cx="3200400" cy="2286000"/>
                  <wp:effectExtent l="0" t="0" r="0" b="0"/>
                  <wp:docPr id="837813917"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7813917" name="Picture 837813917"/>
                          <pic:cNvPicPr/>
                        </pic:nvPicPr>
                        <pic:blipFill rotWithShape="1">
                          <a:blip r:embed="rId7" cstate="print">
                            <a:extLst>
                              <a:ext uri="{28A0092B-C50C-407E-A947-70E740481C1C}">
                                <a14:useLocalDpi xmlns:a14="http://schemas.microsoft.com/office/drawing/2010/main" val="0"/>
                              </a:ext>
                            </a:extLst>
                          </a:blip>
                          <a:srcRect l="6445" r="9342"/>
                          <a:stretch/>
                        </pic:blipFill>
                        <pic:spPr bwMode="auto">
                          <a:xfrm>
                            <a:off x="0" y="0"/>
                            <a:ext cx="3200400" cy="2286000"/>
                          </a:xfrm>
                          <a:prstGeom prst="rect">
                            <a:avLst/>
                          </a:prstGeom>
                          <a:ln>
                            <a:noFill/>
                          </a:ln>
                          <a:extLst>
                            <a:ext uri="{53640926-AAD7-44D8-BBD7-CCE9431645EC}">
                              <a14:shadowObscured xmlns:a14="http://schemas.microsoft.com/office/drawing/2010/main"/>
                            </a:ext>
                          </a:extLst>
                        </pic:spPr>
                      </pic:pic>
                    </a:graphicData>
                  </a:graphic>
                </wp:inline>
              </w:drawing>
            </w:r>
          </w:p>
        </w:tc>
      </w:tr>
      <w:tr w:rsidR="005359BA" w:rsidRPr="00A62E05" w14:paraId="169FD958" w14:textId="77777777" w:rsidTr="001F2FEC">
        <w:tc>
          <w:tcPr>
            <w:tcW w:w="5256" w:type="dxa"/>
          </w:tcPr>
          <w:p w14:paraId="082A3ADB" w14:textId="77777777" w:rsidR="005359BA" w:rsidRPr="00A62E05" w:rsidRDefault="005359BA" w:rsidP="001F2FEC">
            <w:pPr>
              <w:spacing w:line="360" w:lineRule="auto"/>
              <w:jc w:val="center"/>
              <w:rPr>
                <w:color w:val="000000"/>
              </w:rPr>
            </w:pPr>
            <w:r w:rsidRPr="00A62E05">
              <w:rPr>
                <w:noProof/>
                <w:color w:val="000000"/>
              </w:rPr>
              <w:drawing>
                <wp:inline distT="0" distB="0" distL="0" distR="0" wp14:anchorId="4F272166" wp14:editId="2B392AD6">
                  <wp:extent cx="3200400" cy="2286000"/>
                  <wp:effectExtent l="0" t="0" r="0" b="0"/>
                  <wp:docPr id="759035678"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9035678" name="Picture 759035678"/>
                          <pic:cNvPicPr/>
                        </pic:nvPicPr>
                        <pic:blipFill rotWithShape="1">
                          <a:blip r:embed="rId8" cstate="print">
                            <a:extLst>
                              <a:ext uri="{28A0092B-C50C-407E-A947-70E740481C1C}">
                                <a14:useLocalDpi xmlns:a14="http://schemas.microsoft.com/office/drawing/2010/main" val="0"/>
                              </a:ext>
                            </a:extLst>
                          </a:blip>
                          <a:srcRect l="6660" r="9560"/>
                          <a:stretch/>
                        </pic:blipFill>
                        <pic:spPr bwMode="auto">
                          <a:xfrm>
                            <a:off x="0" y="0"/>
                            <a:ext cx="3200400" cy="2286000"/>
                          </a:xfrm>
                          <a:prstGeom prst="rect">
                            <a:avLst/>
                          </a:prstGeom>
                          <a:ln>
                            <a:noFill/>
                          </a:ln>
                          <a:extLst>
                            <a:ext uri="{53640926-AAD7-44D8-BBD7-CCE9431645EC}">
                              <a14:shadowObscured xmlns:a14="http://schemas.microsoft.com/office/drawing/2010/main"/>
                            </a:ext>
                          </a:extLst>
                        </pic:spPr>
                      </pic:pic>
                    </a:graphicData>
                  </a:graphic>
                </wp:inline>
              </w:drawing>
            </w:r>
          </w:p>
        </w:tc>
        <w:tc>
          <w:tcPr>
            <w:tcW w:w="5256" w:type="dxa"/>
          </w:tcPr>
          <w:p w14:paraId="57208BCB" w14:textId="77777777" w:rsidR="005359BA" w:rsidRPr="00A62E05" w:rsidRDefault="005359BA" w:rsidP="001F2FEC">
            <w:pPr>
              <w:spacing w:line="360" w:lineRule="auto"/>
              <w:jc w:val="center"/>
              <w:rPr>
                <w:color w:val="000000"/>
              </w:rPr>
            </w:pPr>
            <w:r w:rsidRPr="00A62E05">
              <w:rPr>
                <w:noProof/>
                <w:color w:val="000000"/>
              </w:rPr>
              <w:drawing>
                <wp:inline distT="0" distB="0" distL="0" distR="0" wp14:anchorId="4B2D12FB" wp14:editId="1B3E0CB7">
                  <wp:extent cx="3200400" cy="2286000"/>
                  <wp:effectExtent l="0" t="0" r="0" b="0"/>
                  <wp:docPr id="1610598303"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0598303" name="Picture 1610598303"/>
                          <pic:cNvPicPr/>
                        </pic:nvPicPr>
                        <pic:blipFill rotWithShape="1">
                          <a:blip r:embed="rId9" cstate="print">
                            <a:extLst>
                              <a:ext uri="{28A0092B-C50C-407E-A947-70E740481C1C}">
                                <a14:useLocalDpi xmlns:a14="http://schemas.microsoft.com/office/drawing/2010/main" val="0"/>
                              </a:ext>
                            </a:extLst>
                          </a:blip>
                          <a:srcRect l="6445" r="9342"/>
                          <a:stretch/>
                        </pic:blipFill>
                        <pic:spPr bwMode="auto">
                          <a:xfrm>
                            <a:off x="0" y="0"/>
                            <a:ext cx="3200400" cy="2286000"/>
                          </a:xfrm>
                          <a:prstGeom prst="rect">
                            <a:avLst/>
                          </a:prstGeom>
                          <a:ln>
                            <a:noFill/>
                          </a:ln>
                          <a:extLst>
                            <a:ext uri="{53640926-AAD7-44D8-BBD7-CCE9431645EC}">
                              <a14:shadowObscured xmlns:a14="http://schemas.microsoft.com/office/drawing/2010/main"/>
                            </a:ext>
                          </a:extLst>
                        </pic:spPr>
                      </pic:pic>
                    </a:graphicData>
                  </a:graphic>
                </wp:inline>
              </w:drawing>
            </w:r>
          </w:p>
        </w:tc>
      </w:tr>
    </w:tbl>
    <w:p w14:paraId="0D61BC58" w14:textId="77777777" w:rsidR="005359BA" w:rsidRPr="00A62E05" w:rsidRDefault="005359BA" w:rsidP="005359BA">
      <w:pPr>
        <w:spacing w:line="360" w:lineRule="auto"/>
        <w:jc w:val="both"/>
        <w:rPr>
          <w:color w:val="000000"/>
        </w:rPr>
      </w:pPr>
      <w:r w:rsidRPr="00A62E05">
        <w:rPr>
          <w:b/>
          <w:color w:val="000000"/>
        </w:rPr>
        <w:t>Figure S1:</w:t>
      </w:r>
      <w:r w:rsidRPr="00A62E05">
        <w:rPr>
          <w:color w:val="000000"/>
        </w:rPr>
        <w:t xml:space="preserve"> Dynamical (DYN: a, b) and statistical (STAT: c, d) forecasts for the Niño3.4 SST anomaly for overlapping 3-month periods from Feb-2002 to Aug-2022 initializations (247 Forecasts) and the corresponding observations. The observations are shown by the black line, while the forecasts are shown by the blue line.</w:t>
      </w:r>
      <w:r>
        <w:rPr>
          <w:color w:val="000000"/>
        </w:rPr>
        <w:t xml:space="preserve"> </w:t>
      </w:r>
      <w:r w:rsidRPr="00A62E05">
        <w:t>The verifying observed data is from the ERSSTv5</w:t>
      </w:r>
      <w:r>
        <w:t>.</w:t>
      </w:r>
    </w:p>
    <w:p w14:paraId="7983385C" w14:textId="77777777" w:rsidR="005359BA" w:rsidRPr="00A62E05" w:rsidRDefault="005359BA" w:rsidP="005359BA">
      <w:pPr>
        <w:rPr>
          <w:color w:val="000000"/>
        </w:rPr>
      </w:pPr>
      <w:r w:rsidRPr="00A62E05">
        <w:rPr>
          <w:color w:val="000000"/>
        </w:rPr>
        <w:br w:type="page"/>
      </w:r>
    </w:p>
    <w:tbl>
      <w:tblPr>
        <w:tblW w:w="9350" w:type="dxa"/>
        <w:tblBorders>
          <w:top w:val="nil"/>
          <w:left w:val="nil"/>
          <w:bottom w:val="nil"/>
          <w:right w:val="nil"/>
          <w:insideH w:val="nil"/>
          <w:insideV w:val="nil"/>
        </w:tblBorders>
        <w:tblLayout w:type="fixed"/>
        <w:tblLook w:val="0400" w:firstRow="0" w:lastRow="0" w:firstColumn="0" w:lastColumn="0" w:noHBand="0" w:noVBand="1"/>
      </w:tblPr>
      <w:tblGrid>
        <w:gridCol w:w="9350"/>
      </w:tblGrid>
      <w:tr w:rsidR="005359BA" w:rsidRPr="00A62E05" w14:paraId="7AA53071" w14:textId="77777777" w:rsidTr="001F2FEC">
        <w:tc>
          <w:tcPr>
            <w:tcW w:w="9350" w:type="dxa"/>
          </w:tcPr>
          <w:p w14:paraId="3A160AB2" w14:textId="77777777" w:rsidR="005359BA" w:rsidRPr="00A62E05" w:rsidRDefault="005359BA" w:rsidP="001F2FEC">
            <w:pPr>
              <w:spacing w:line="360" w:lineRule="auto"/>
              <w:jc w:val="center"/>
              <w:rPr>
                <w:color w:val="000000"/>
              </w:rPr>
            </w:pPr>
            <w:r w:rsidRPr="00A62E05">
              <w:rPr>
                <w:noProof/>
                <w:color w:val="000000"/>
              </w:rPr>
              <w:lastRenderedPageBreak/>
              <w:drawing>
                <wp:inline distT="0" distB="0" distL="0" distR="0" wp14:anchorId="367A80AD" wp14:editId="14A74F88">
                  <wp:extent cx="5486400" cy="3657600"/>
                  <wp:effectExtent l="0" t="0" r="0" b="0"/>
                  <wp:docPr id="1604897089"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4897089" name="Picture 160489708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tc>
      </w:tr>
    </w:tbl>
    <w:p w14:paraId="2E4060D4" w14:textId="77777777" w:rsidR="005359BA" w:rsidRPr="00A62E05" w:rsidRDefault="005359BA" w:rsidP="005359BA">
      <w:pPr>
        <w:spacing w:line="360" w:lineRule="auto"/>
        <w:jc w:val="both"/>
        <w:rPr>
          <w:color w:val="000000"/>
        </w:rPr>
      </w:pPr>
      <w:r w:rsidRPr="00A62E05">
        <w:rPr>
          <w:b/>
          <w:color w:val="000000"/>
        </w:rPr>
        <w:t>Figure S2:</w:t>
      </w:r>
      <w:r w:rsidRPr="00A62E05">
        <w:rPr>
          <w:color w:val="000000"/>
        </w:rPr>
        <w:t xml:space="preserve"> Correlation comparison analysis between the DYN and STAT forecasts, considering different start months and lead times. The z-score values greater than 1.5, indicating statistical significance at the 95% confidence levels. Negative values indicate instances where the STAT forecasts outperform the DYN forecasts. Notably, the figure demonstrates that during the forecasting period initialized in the boreal spring (specifically, February, March, April, and May), the DYN forecasts exhibit an advantage over the STAT forecasts.</w:t>
      </w:r>
    </w:p>
    <w:p w14:paraId="76CF6F91" w14:textId="77777777" w:rsidR="005359BA" w:rsidRPr="00A62E05" w:rsidRDefault="005359BA" w:rsidP="005359BA">
      <w:pPr>
        <w:spacing w:line="360" w:lineRule="auto"/>
        <w:jc w:val="both"/>
        <w:rPr>
          <w:color w:val="000000"/>
        </w:rPr>
      </w:pPr>
      <w:r w:rsidRPr="00A62E05">
        <w:rPr>
          <w:color w:val="000000"/>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5359BA" w:rsidRPr="00A62E05" w14:paraId="5BAF7447" w14:textId="77777777" w:rsidTr="001F2FEC">
        <w:tc>
          <w:tcPr>
            <w:tcW w:w="9350" w:type="dxa"/>
          </w:tcPr>
          <w:p w14:paraId="0EF8039E" w14:textId="77777777" w:rsidR="005359BA" w:rsidRPr="00A62E05" w:rsidRDefault="005359BA" w:rsidP="001F2FEC">
            <w:pPr>
              <w:spacing w:line="360" w:lineRule="auto"/>
              <w:jc w:val="center"/>
              <w:rPr>
                <w:b/>
                <w:color w:val="000000"/>
              </w:rPr>
            </w:pPr>
            <w:r w:rsidRPr="00A62E05">
              <w:rPr>
                <w:b/>
                <w:noProof/>
                <w:color w:val="000000"/>
              </w:rPr>
              <w:lastRenderedPageBreak/>
              <w:drawing>
                <wp:inline distT="0" distB="0" distL="0" distR="0" wp14:anchorId="71A2D059" wp14:editId="0E1FCC2A">
                  <wp:extent cx="5486400" cy="3200400"/>
                  <wp:effectExtent l="0" t="0" r="0" b="0"/>
                  <wp:docPr id="1079927871" name="Picture 10799278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5542216" name="Picture 123554221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3200400"/>
                          </a:xfrm>
                          <a:prstGeom prst="rect">
                            <a:avLst/>
                          </a:prstGeom>
                        </pic:spPr>
                      </pic:pic>
                    </a:graphicData>
                  </a:graphic>
                </wp:inline>
              </w:drawing>
            </w:r>
          </w:p>
        </w:tc>
      </w:tr>
      <w:tr w:rsidR="005359BA" w:rsidRPr="00A62E05" w14:paraId="01063100" w14:textId="77777777" w:rsidTr="001F2FEC">
        <w:tc>
          <w:tcPr>
            <w:tcW w:w="9350" w:type="dxa"/>
          </w:tcPr>
          <w:p w14:paraId="750CA440" w14:textId="77777777" w:rsidR="005359BA" w:rsidRPr="00A62E05" w:rsidRDefault="005359BA" w:rsidP="001F2FEC">
            <w:pPr>
              <w:spacing w:line="360" w:lineRule="auto"/>
              <w:jc w:val="center"/>
              <w:rPr>
                <w:b/>
                <w:color w:val="000000"/>
              </w:rPr>
            </w:pPr>
            <w:r w:rsidRPr="00A62E05">
              <w:rPr>
                <w:b/>
                <w:noProof/>
                <w:color w:val="000000"/>
              </w:rPr>
              <w:drawing>
                <wp:inline distT="0" distB="0" distL="0" distR="0" wp14:anchorId="74E81509" wp14:editId="067BF9CD">
                  <wp:extent cx="5486400" cy="3200400"/>
                  <wp:effectExtent l="0" t="0" r="0" b="0"/>
                  <wp:docPr id="903300178" name="Picture 903300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817810" name="Picture 188178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6400" cy="3200400"/>
                          </a:xfrm>
                          <a:prstGeom prst="rect">
                            <a:avLst/>
                          </a:prstGeom>
                        </pic:spPr>
                      </pic:pic>
                    </a:graphicData>
                  </a:graphic>
                </wp:inline>
              </w:drawing>
            </w:r>
          </w:p>
        </w:tc>
      </w:tr>
    </w:tbl>
    <w:p w14:paraId="65928951" w14:textId="77777777" w:rsidR="005359BA" w:rsidRPr="00A62E05" w:rsidRDefault="005359BA" w:rsidP="005359BA">
      <w:pPr>
        <w:spacing w:line="360" w:lineRule="auto"/>
        <w:jc w:val="both"/>
        <w:rPr>
          <w:color w:val="000000"/>
        </w:rPr>
      </w:pPr>
      <w:r w:rsidRPr="00A62E05">
        <w:rPr>
          <w:b/>
          <w:color w:val="000000"/>
        </w:rPr>
        <w:t>Figure S3:</w:t>
      </w:r>
      <w:r w:rsidRPr="00A62E05">
        <w:rPr>
          <w:color w:val="000000"/>
        </w:rPr>
        <w:t xml:space="preserve"> Mean absolute error for each start month and lead time for (a) DYN, (b) STAT forecasts. The forecast lead time specified in this context refers to the nine consecutive seasons starting from the issue month. It is based on the three-month overlapping seasonal average of the Niño 3.4 index value.</w:t>
      </w:r>
    </w:p>
    <w:p w14:paraId="41AACABC" w14:textId="77777777" w:rsidR="005359BA" w:rsidRPr="00A62E05" w:rsidRDefault="005359BA" w:rsidP="005359BA">
      <w:pPr>
        <w:rPr>
          <w:color w:val="000000"/>
        </w:rPr>
      </w:pPr>
      <w:r w:rsidRPr="00A62E05">
        <w:rPr>
          <w:color w:val="000000"/>
        </w:rPr>
        <w:br w:type="page"/>
      </w:r>
    </w:p>
    <w:tbl>
      <w:tblPr>
        <w:tblStyle w:val="TableGrid"/>
        <w:tblW w:w="9990" w:type="dxa"/>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90"/>
      </w:tblGrid>
      <w:tr w:rsidR="005359BA" w:rsidRPr="00A62E05" w14:paraId="69DBD21F" w14:textId="77777777" w:rsidTr="001F2FEC">
        <w:tc>
          <w:tcPr>
            <w:tcW w:w="9990" w:type="dxa"/>
          </w:tcPr>
          <w:p w14:paraId="50305939" w14:textId="77777777" w:rsidR="005359BA" w:rsidRPr="00A62E05" w:rsidRDefault="005359BA" w:rsidP="001F2FEC">
            <w:pPr>
              <w:spacing w:line="360" w:lineRule="auto"/>
              <w:jc w:val="center"/>
              <w:rPr>
                <w:b/>
                <w:color w:val="000000"/>
              </w:rPr>
            </w:pPr>
            <w:r w:rsidRPr="00A62E05">
              <w:rPr>
                <w:b/>
                <w:noProof/>
                <w:color w:val="000000"/>
              </w:rPr>
              <w:lastRenderedPageBreak/>
              <w:drawing>
                <wp:inline distT="0" distB="0" distL="0" distR="0" wp14:anchorId="5D2AE6F1" wp14:editId="51EA919A">
                  <wp:extent cx="5943600" cy="3657600"/>
                  <wp:effectExtent l="0" t="0" r="0" b="0"/>
                  <wp:docPr id="65433915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4339159" name="Picture 65433915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657600"/>
                          </a:xfrm>
                          <a:prstGeom prst="rect">
                            <a:avLst/>
                          </a:prstGeom>
                        </pic:spPr>
                      </pic:pic>
                    </a:graphicData>
                  </a:graphic>
                </wp:inline>
              </w:drawing>
            </w:r>
          </w:p>
        </w:tc>
      </w:tr>
      <w:tr w:rsidR="005359BA" w:rsidRPr="00A62E05" w14:paraId="210143EF" w14:textId="77777777" w:rsidTr="001F2FEC">
        <w:tc>
          <w:tcPr>
            <w:tcW w:w="9990" w:type="dxa"/>
          </w:tcPr>
          <w:p w14:paraId="3118D71D" w14:textId="77777777" w:rsidR="005359BA" w:rsidRPr="00A62E05" w:rsidRDefault="005359BA" w:rsidP="001F2FEC">
            <w:pPr>
              <w:spacing w:line="360" w:lineRule="auto"/>
              <w:jc w:val="center"/>
              <w:rPr>
                <w:b/>
                <w:color w:val="000000"/>
              </w:rPr>
            </w:pPr>
            <w:r w:rsidRPr="00A62E05">
              <w:rPr>
                <w:b/>
                <w:noProof/>
                <w:color w:val="000000"/>
              </w:rPr>
              <w:drawing>
                <wp:inline distT="0" distB="0" distL="0" distR="0" wp14:anchorId="2EE0A9EC" wp14:editId="7BE38890">
                  <wp:extent cx="5943600" cy="3657600"/>
                  <wp:effectExtent l="0" t="0" r="0" b="0"/>
                  <wp:docPr id="674648765"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4648765" name="Picture 67464876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657600"/>
                          </a:xfrm>
                          <a:prstGeom prst="rect">
                            <a:avLst/>
                          </a:prstGeom>
                        </pic:spPr>
                      </pic:pic>
                    </a:graphicData>
                  </a:graphic>
                </wp:inline>
              </w:drawing>
            </w:r>
          </w:p>
        </w:tc>
      </w:tr>
    </w:tbl>
    <w:p w14:paraId="4897FDD7" w14:textId="77777777" w:rsidR="005359BA" w:rsidRPr="00A62E05" w:rsidRDefault="005359BA" w:rsidP="005359BA">
      <w:pPr>
        <w:spacing w:line="360" w:lineRule="auto"/>
        <w:jc w:val="both"/>
        <w:rPr>
          <w:color w:val="000000"/>
        </w:rPr>
      </w:pPr>
      <w:r w:rsidRPr="00A62E05">
        <w:rPr>
          <w:b/>
          <w:color w:val="000000"/>
        </w:rPr>
        <w:t>Figure S4:</w:t>
      </w:r>
      <w:r w:rsidRPr="00A62E05">
        <w:rPr>
          <w:color w:val="000000"/>
        </w:rPr>
        <w:t xml:space="preserve"> Onset (season and year) of (a) El Niño and (b) La Niñ</w:t>
      </w:r>
      <w:r>
        <w:rPr>
          <w:color w:val="000000"/>
        </w:rPr>
        <w:t>a</w:t>
      </w:r>
      <w:r w:rsidRPr="00A62E05">
        <w:rPr>
          <w:color w:val="000000"/>
        </w:rPr>
        <w:t xml:space="preserve"> in observation (thick red and blue lines) and Forecasts (DYN and STAT). The DYN and STAT forecasts are shown by yellow and green lines for Lead-4, 5, 6, 7, 8, and 9.</w:t>
      </w:r>
      <w:r w:rsidRPr="00A62E05">
        <w:rPr>
          <w:color w:val="000000"/>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5359BA" w:rsidRPr="00A62E05" w14:paraId="263744EE" w14:textId="77777777" w:rsidTr="001F2FEC">
        <w:tc>
          <w:tcPr>
            <w:tcW w:w="9350" w:type="dxa"/>
          </w:tcPr>
          <w:p w14:paraId="09F20F07" w14:textId="77777777" w:rsidR="005359BA" w:rsidRPr="00A62E05" w:rsidRDefault="005359BA" w:rsidP="001F2FEC">
            <w:pPr>
              <w:spacing w:line="360" w:lineRule="auto"/>
              <w:jc w:val="center"/>
              <w:rPr>
                <w:color w:val="000000"/>
              </w:rPr>
            </w:pPr>
            <w:r w:rsidRPr="00A62E05">
              <w:rPr>
                <w:noProof/>
                <w:color w:val="000000"/>
              </w:rPr>
              <w:lastRenderedPageBreak/>
              <w:drawing>
                <wp:inline distT="0" distB="0" distL="0" distR="0" wp14:anchorId="62FB079A" wp14:editId="535F928F">
                  <wp:extent cx="5486400" cy="3200400"/>
                  <wp:effectExtent l="0" t="0" r="0" b="0"/>
                  <wp:docPr id="172784005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7840053" name="Picture 1727840053"/>
                          <pic:cNvPicPr/>
                        </pic:nvPicPr>
                        <pic:blipFill rotWithShape="1">
                          <a:blip r:embed="rId15">
                            <a:extLst>
                              <a:ext uri="{28A0092B-C50C-407E-A947-70E740481C1C}">
                                <a14:useLocalDpi xmlns:a14="http://schemas.microsoft.com/office/drawing/2010/main" val="0"/>
                              </a:ext>
                            </a:extLst>
                          </a:blip>
                          <a:srcRect l="7461" t="10956" r="9432"/>
                          <a:stretch/>
                        </pic:blipFill>
                        <pic:spPr bwMode="auto">
                          <a:xfrm>
                            <a:off x="0" y="0"/>
                            <a:ext cx="5486400" cy="3200400"/>
                          </a:xfrm>
                          <a:prstGeom prst="rect">
                            <a:avLst/>
                          </a:prstGeom>
                          <a:ln>
                            <a:noFill/>
                          </a:ln>
                          <a:extLst>
                            <a:ext uri="{53640926-AAD7-44D8-BBD7-CCE9431645EC}">
                              <a14:shadowObscured xmlns:a14="http://schemas.microsoft.com/office/drawing/2010/main"/>
                            </a:ext>
                          </a:extLst>
                        </pic:spPr>
                      </pic:pic>
                    </a:graphicData>
                  </a:graphic>
                </wp:inline>
              </w:drawing>
            </w:r>
          </w:p>
        </w:tc>
      </w:tr>
    </w:tbl>
    <w:p w14:paraId="315C1995" w14:textId="77777777" w:rsidR="005359BA" w:rsidRDefault="005359BA" w:rsidP="005359BA">
      <w:pPr>
        <w:spacing w:line="360" w:lineRule="auto"/>
        <w:jc w:val="both"/>
        <w:rPr>
          <w:color w:val="000000"/>
        </w:rPr>
      </w:pPr>
      <w:r w:rsidRPr="00A62E05">
        <w:rPr>
          <w:b/>
          <w:color w:val="000000"/>
        </w:rPr>
        <w:t>Figure S5:</w:t>
      </w:r>
      <w:r w:rsidRPr="00A62E05">
        <w:rPr>
          <w:color w:val="000000"/>
        </w:rPr>
        <w:t xml:space="preserve"> The count of dynamical (illustrated by the red curve) and statistical (represented by the blue curve) models that have made contributions to the IRI ENSO Plume since its initiation in February 2002. The combined total of models (dynamical + statistical) that have contributed to the plume is represented by the black curve. The horizontal axis of the graph indicates the forecast year.</w:t>
      </w:r>
    </w:p>
    <w:p w14:paraId="354E28AB" w14:textId="77777777" w:rsidR="005359BA" w:rsidRDefault="005359BA" w:rsidP="005359BA">
      <w:pPr>
        <w:rPr>
          <w:color w:val="000000"/>
        </w:rPr>
      </w:pPr>
      <w:r>
        <w:rPr>
          <w:color w:val="000000"/>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5359BA" w14:paraId="143509F9" w14:textId="77777777" w:rsidTr="001F2FEC">
        <w:tc>
          <w:tcPr>
            <w:tcW w:w="9350" w:type="dxa"/>
          </w:tcPr>
          <w:p w14:paraId="127B0329" w14:textId="77777777" w:rsidR="005359BA" w:rsidRDefault="005359BA" w:rsidP="001F2FEC">
            <w:pPr>
              <w:spacing w:line="360" w:lineRule="auto"/>
              <w:jc w:val="center"/>
              <w:rPr>
                <w:b/>
                <w:color w:val="000000"/>
              </w:rPr>
            </w:pPr>
            <w:r>
              <w:rPr>
                <w:b/>
                <w:noProof/>
                <w:color w:val="000000"/>
              </w:rPr>
              <w:lastRenderedPageBreak/>
              <w:drawing>
                <wp:inline distT="0" distB="0" distL="0" distR="0" wp14:anchorId="14865C35" wp14:editId="018C1215">
                  <wp:extent cx="5029200" cy="2743200"/>
                  <wp:effectExtent l="0" t="0" r="0" b="0"/>
                  <wp:docPr id="496526048"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6526048" name="Picture 49652604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29200" cy="2743200"/>
                          </a:xfrm>
                          <a:prstGeom prst="rect">
                            <a:avLst/>
                          </a:prstGeom>
                        </pic:spPr>
                      </pic:pic>
                    </a:graphicData>
                  </a:graphic>
                </wp:inline>
              </w:drawing>
            </w:r>
          </w:p>
        </w:tc>
      </w:tr>
      <w:tr w:rsidR="005359BA" w14:paraId="26A378A7" w14:textId="77777777" w:rsidTr="001F2FEC">
        <w:tc>
          <w:tcPr>
            <w:tcW w:w="9350" w:type="dxa"/>
          </w:tcPr>
          <w:p w14:paraId="51CC5346" w14:textId="77777777" w:rsidR="005359BA" w:rsidRDefault="005359BA" w:rsidP="001F2FEC">
            <w:pPr>
              <w:spacing w:line="360" w:lineRule="auto"/>
              <w:jc w:val="center"/>
              <w:rPr>
                <w:b/>
                <w:color w:val="000000"/>
              </w:rPr>
            </w:pPr>
            <w:r>
              <w:rPr>
                <w:noProof/>
                <w:color w:val="000000"/>
              </w:rPr>
              <w:drawing>
                <wp:inline distT="0" distB="0" distL="0" distR="0" wp14:anchorId="759E6546" wp14:editId="58A030BB">
                  <wp:extent cx="5029200" cy="2743200"/>
                  <wp:effectExtent l="0" t="0" r="0" b="0"/>
                  <wp:docPr id="54659675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6596753" name="Picture 54659675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29200" cy="2743200"/>
                          </a:xfrm>
                          <a:prstGeom prst="rect">
                            <a:avLst/>
                          </a:prstGeom>
                        </pic:spPr>
                      </pic:pic>
                    </a:graphicData>
                  </a:graphic>
                </wp:inline>
              </w:drawing>
            </w:r>
          </w:p>
        </w:tc>
      </w:tr>
    </w:tbl>
    <w:p w14:paraId="68585870" w14:textId="77777777" w:rsidR="005359BA" w:rsidRDefault="005359BA" w:rsidP="005359BA">
      <w:pPr>
        <w:spacing w:line="360" w:lineRule="auto"/>
        <w:jc w:val="both"/>
        <w:rPr>
          <w:color w:val="000000"/>
        </w:rPr>
      </w:pPr>
      <w:r>
        <w:rPr>
          <w:b/>
          <w:color w:val="000000"/>
        </w:rPr>
        <w:t>Figure S6:</w:t>
      </w:r>
      <w:r>
        <w:rPr>
          <w:color w:val="000000"/>
        </w:rPr>
        <w:t xml:space="preserve"> </w:t>
      </w:r>
      <w:r w:rsidRPr="00E8534E">
        <w:rPr>
          <w:color w:val="000000"/>
        </w:rPr>
        <w:t>Like the</w:t>
      </w:r>
      <w:r>
        <w:rPr>
          <w:color w:val="000000"/>
        </w:rPr>
        <w:t xml:space="preserve"> Figure 3.</w:t>
      </w:r>
      <w:r w:rsidRPr="00E8534E">
        <w:rPr>
          <w:color w:val="000000"/>
        </w:rPr>
        <w:t xml:space="preserve"> The presented figure illustrates correlation coefficients </w:t>
      </w:r>
      <w:r>
        <w:rPr>
          <w:color w:val="000000"/>
        </w:rPr>
        <w:t xml:space="preserve">for (a) DYN, (b) STAT forecasts, </w:t>
      </w:r>
      <w:r w:rsidRPr="00E8534E">
        <w:rPr>
          <w:color w:val="000000"/>
        </w:rPr>
        <w:t>calculated using a variable observed climatology period</w:t>
      </w:r>
      <w:r>
        <w:rPr>
          <w:color w:val="000000"/>
        </w:rPr>
        <w:t>. The forecast lead time specified in this context refers to the nine consecutive seasons starting from the issue month. It is based on the three-month overlapping seasonal average of the Niño 3.4 index value. A value higher than 0.45 shows a statistically significant correlation.</w:t>
      </w:r>
    </w:p>
    <w:p w14:paraId="6B3127F8" w14:textId="77777777" w:rsidR="00CA67E5" w:rsidRDefault="005359BA"/>
    <w:sectPr w:rsidR="00CA67E5" w:rsidSect="00975A2D">
      <w:footerReference w:type="default" r:id="rId18"/>
      <w:pgSz w:w="12240" w:h="15840"/>
      <w:pgMar w:top="1440" w:right="1440" w:bottom="1440" w:left="1440" w:header="706" w:footer="706" w:gutter="0"/>
      <w:lnNumType w:countBy="1" w:restart="continuous"/>
      <w:pgNumType w:start="0"/>
      <w:cols w:space="720"/>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7A5685" w14:textId="77777777" w:rsidR="005125E7" w:rsidRDefault="005359BA">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3455E4F7" w14:textId="77777777" w:rsidR="005125E7" w:rsidRDefault="005359BA">
    <w:pPr>
      <w:pBdr>
        <w:top w:val="nil"/>
        <w:left w:val="nil"/>
        <w:bottom w:val="nil"/>
        <w:right w:val="nil"/>
        <w:between w:val="nil"/>
      </w:pBdr>
      <w:tabs>
        <w:tab w:val="center" w:pos="4680"/>
        <w:tab w:val="right" w:pos="9360"/>
      </w:tabs>
      <w:rPr>
        <w:color w:val="00000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6B78CE"/>
    <w:multiLevelType w:val="hybridMultilevel"/>
    <w:tmpl w:val="5E6CD2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F924D24"/>
    <w:multiLevelType w:val="multilevel"/>
    <w:tmpl w:val="8E306972"/>
    <w:lvl w:ilvl="0">
      <w:start w:val="1"/>
      <w:numFmt w:val="decimal"/>
      <w:lvlText w:val="%1)"/>
      <w:lvlJc w:val="left"/>
      <w:pPr>
        <w:ind w:left="722" w:hanging="362"/>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9BA"/>
    <w:rsid w:val="00342DA6"/>
    <w:rsid w:val="005359BA"/>
    <w:rsid w:val="005868F4"/>
    <w:rsid w:val="00703469"/>
    <w:rsid w:val="00753CA0"/>
    <w:rsid w:val="007D23AF"/>
    <w:rsid w:val="0090563E"/>
    <w:rsid w:val="00AA3094"/>
    <w:rsid w:val="00AC3DA1"/>
    <w:rsid w:val="00AD5955"/>
    <w:rsid w:val="00D07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4D302"/>
  <w15:chartTrackingRefBased/>
  <w15:docId w15:val="{1FEE3095-DDC3-463C-9148-A7626CF52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9B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359BA"/>
    <w:pPr>
      <w:spacing w:after="0" w:line="240" w:lineRule="auto"/>
    </w:pPr>
    <w:rPr>
      <w:rFonts w:ascii="Times New Roman" w:eastAsia="Calibri" w:hAnsi="Times New Roman" w:cs="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5359BA"/>
    <w:rPr>
      <w:color w:val="0000FF"/>
      <w:u w:val="single"/>
    </w:rPr>
  </w:style>
  <w:style w:type="paragraph" w:styleId="ListParagraph">
    <w:name w:val="List Paragraph"/>
    <w:basedOn w:val="Normal"/>
    <w:uiPriority w:val="34"/>
    <w:qFormat/>
    <w:rsid w:val="005359BA"/>
    <w:pPr>
      <w:ind w:left="720"/>
      <w:contextualSpacing/>
    </w:pPr>
  </w:style>
  <w:style w:type="character" w:styleId="LineNumber">
    <w:name w:val="line number"/>
    <w:basedOn w:val="DefaultParagraphFont"/>
    <w:uiPriority w:val="99"/>
    <w:semiHidden/>
    <w:unhideWhenUsed/>
    <w:rsid w:val="005359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hyperlink" Target="http://azhar@iri.columbia.edu" TargetMode="External"/><Relationship Id="rId15" Type="http://schemas.openxmlformats.org/officeDocument/2006/relationships/image" Target="media/image10.emf"/><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525</Words>
  <Characters>2994</Characters>
  <Application>Microsoft Office Word</Application>
  <DocSecurity>0</DocSecurity>
  <Lines>24</Lines>
  <Paragraphs>7</Paragraphs>
  <ScaleCrop>false</ScaleCrop>
  <Company>Springer Nature</Company>
  <LinksUpToDate>false</LinksUpToDate>
  <CharactersWithSpaces>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2023-11-15T09:09:00Z</dcterms:created>
  <dcterms:modified xsi:type="dcterms:W3CDTF">2023-11-15T09:09:00Z</dcterms:modified>
</cp:coreProperties>
</file>