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39146" w14:textId="77777777" w:rsidR="009F3A06" w:rsidRDefault="009F3A06" w:rsidP="009F3A06">
      <w:pPr>
        <w:spacing w:after="0" w:line="360" w:lineRule="auto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</w:t>
      </w:r>
      <w:r w:rsidRPr="000346D4">
        <w:rPr>
          <w:rFonts w:ascii="Times New Roman" w:hAnsi="Times New Roman" w:cs="Times New Roman" w:hint="eastAsia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1</w:t>
      </w:r>
      <w:r w:rsidRPr="000346D4">
        <w:rPr>
          <w:rFonts w:ascii="Times New Roman" w:hAnsi="Times New Roman" w:cs="Times New Roman" w:hint="eastAsia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Univariate</w:t>
      </w:r>
      <w:r w:rsidRPr="000346D4">
        <w:rPr>
          <w:rFonts w:ascii="Times New Roman" w:hAnsi="Times New Roman" w:cs="Times New Roman" w:hint="eastAsia"/>
          <w:b/>
          <w:bCs/>
        </w:rPr>
        <w:t xml:space="preserve"> analyses </w:t>
      </w:r>
      <w:r>
        <w:rPr>
          <w:rFonts w:ascii="Times New Roman" w:hAnsi="Times New Roman" w:cs="Times New Roman"/>
          <w:b/>
          <w:bCs/>
        </w:rPr>
        <w:t xml:space="preserve">for post-HSCT outcomes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35"/>
        <w:gridCol w:w="2855"/>
        <w:gridCol w:w="1027"/>
        <w:gridCol w:w="2173"/>
        <w:gridCol w:w="958"/>
        <w:gridCol w:w="2242"/>
        <w:gridCol w:w="1037"/>
        <w:gridCol w:w="2160"/>
      </w:tblGrid>
      <w:tr w:rsidR="009F3A06" w:rsidRPr="000D7DF6" w14:paraId="5FE54EBC" w14:textId="77777777" w:rsidTr="00235901">
        <w:trPr>
          <w:trHeight w:val="154"/>
        </w:trPr>
        <w:tc>
          <w:tcPr>
            <w:tcW w:w="451" w:type="pct"/>
            <w:vMerge w:val="restart"/>
            <w:shd w:val="clear" w:color="auto" w:fill="auto"/>
            <w:vAlign w:val="center"/>
          </w:tcPr>
          <w:p w14:paraId="5E390FA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11284433"/>
          </w:p>
        </w:tc>
        <w:tc>
          <w:tcPr>
            <w:tcW w:w="1043" w:type="pct"/>
            <w:vMerge w:val="restart"/>
            <w:shd w:val="clear" w:color="auto" w:fill="auto"/>
            <w:vAlign w:val="center"/>
          </w:tcPr>
          <w:p w14:paraId="4E1A891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Variables 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B09B76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Overall patients 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ECED7C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BuCy group 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10386E1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FluBu3 group </w:t>
            </w:r>
          </w:p>
        </w:tc>
      </w:tr>
      <w:tr w:rsidR="009F3A06" w:rsidRPr="000D7DF6" w14:paraId="045692E7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7B0A7A5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vMerge/>
            <w:shd w:val="clear" w:color="auto" w:fill="auto"/>
            <w:vAlign w:val="center"/>
          </w:tcPr>
          <w:p w14:paraId="5C03E84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1CF26D5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1B5A81D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HR (95% CI) 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7A350FD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60AE98E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HR (95% CI) 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252CCD6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42D1C3E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HR (95% CI) </w:t>
            </w:r>
          </w:p>
        </w:tc>
      </w:tr>
      <w:tr w:rsidR="009F3A06" w:rsidRPr="000D7DF6" w14:paraId="0CA04A08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084E4AB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OS</w:t>
            </w:r>
          </w:p>
        </w:tc>
        <w:tc>
          <w:tcPr>
            <w:tcW w:w="1043" w:type="pct"/>
            <w:shd w:val="clear" w:color="auto" w:fill="auto"/>
            <w:vAlign w:val="center"/>
          </w:tcPr>
          <w:p w14:paraId="3E94003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HLA mismatch 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4ED8A28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67E10F5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4016F3D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4B96755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3.604 (1.158-11.22)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6621A2A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NS 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336A35D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397469BB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7C44CEF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76C51DE4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0318A25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0.362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6319072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0.646 (0.252-1.654)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523510D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58D390C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4766BEA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4BACA64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A06" w:rsidRPr="000D7DF6" w14:paraId="2672CBB5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420906A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RFS</w:t>
            </w:r>
          </w:p>
        </w:tc>
        <w:tc>
          <w:tcPr>
            <w:tcW w:w="1043" w:type="pct"/>
            <w:shd w:val="clear" w:color="auto" w:fill="auto"/>
            <w:vAlign w:val="center"/>
          </w:tcPr>
          <w:p w14:paraId="6F50CE5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HCT-CI </w:t>
            </w:r>
            <w:r w:rsidRPr="000D7DF6">
              <w:rPr>
                <w:rFonts w:ascii="Times New Roman" w:eastAsiaTheme="minorHAnsi" w:hAnsi="Times New Roman" w:cs="Times New Roman"/>
                <w:sz w:val="18"/>
                <w:szCs w:val="18"/>
              </w:rPr>
              <w:t>≥</w:t>
            </w: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A09D19B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35BAD8B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2.193 (1.007-4.777)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5C17A65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125424C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2.871 (1.091-7.558)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4112C3D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07F03D7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6017C68F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1CFDB18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4B913D0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HLA mismatch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1DDFD27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2E9B238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10AE161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0192E88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3.092 (1.007-9.495)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7BEF009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1AF5BB1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06DC67BA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0B294E4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4AAD4DC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High-risk cytogenetics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758D2CB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43F98AD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5750985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49F16F4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4E47455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1F3D1F0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4.207 (1.049-16.871)</w:t>
            </w:r>
          </w:p>
        </w:tc>
      </w:tr>
      <w:tr w:rsidR="009F3A06" w:rsidRPr="000D7DF6" w14:paraId="6D3F4511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5083FAA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723489D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FLT3-ITD mutation 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6499433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66B478B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3487AEE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544D335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30B6D07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706852D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6.172 (1.534-24.83)</w:t>
            </w:r>
          </w:p>
        </w:tc>
      </w:tr>
      <w:tr w:rsidR="009F3A06" w:rsidRPr="000D7DF6" w14:paraId="12F6EB41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2F498F4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340AFC4D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47DD77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0.807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0ABF9A4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11306023"/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0.904 (0.402-2.030)</w:t>
            </w:r>
            <w:bookmarkEnd w:id="1"/>
          </w:p>
        </w:tc>
        <w:tc>
          <w:tcPr>
            <w:tcW w:w="350" w:type="pct"/>
            <w:shd w:val="clear" w:color="auto" w:fill="auto"/>
            <w:vAlign w:val="center"/>
          </w:tcPr>
          <w:p w14:paraId="738DF8B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288B98C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shd w:val="clear" w:color="auto" w:fill="auto"/>
            <w:vAlign w:val="center"/>
          </w:tcPr>
          <w:p w14:paraId="0E705CA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079FA7D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A06" w:rsidRPr="000D7DF6" w14:paraId="2BCE12E5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25ABD1A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CIR</w:t>
            </w: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4B97315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High-risk cytogenetics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024B99A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2951D84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43E41D3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2142125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7EC6460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1779841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4.977 (1.186-20.90)</w:t>
            </w:r>
          </w:p>
        </w:tc>
      </w:tr>
      <w:tr w:rsidR="009F3A06" w:rsidRPr="000D7DF6" w14:paraId="5B7465F1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1BB7A42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6F2202A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FLT3-ITD mutation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6CD86C2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pct"/>
            <w:shd w:val="clear" w:color="auto" w:fill="auto"/>
            <w:vAlign w:val="center"/>
          </w:tcPr>
          <w:p w14:paraId="15B7872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shd w:val="clear" w:color="auto" w:fill="auto"/>
            <w:vAlign w:val="center"/>
          </w:tcPr>
          <w:p w14:paraId="3CC8083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60EF9F7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63C5534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2418835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7.396 (1.754-31.12)</w:t>
            </w:r>
          </w:p>
        </w:tc>
      </w:tr>
      <w:tr w:rsidR="009F3A06" w:rsidRPr="000D7DF6" w14:paraId="2029186E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1B77C29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5C71E8BC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18FA5D2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57D34C8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2.325 (0.805-6.719)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602B777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7E93C2D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05A6701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5D2644C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A06" w:rsidRPr="000D7DF6" w14:paraId="33B11250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639AE5C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RM</w:t>
            </w:r>
          </w:p>
        </w:tc>
        <w:tc>
          <w:tcPr>
            <w:tcW w:w="1043" w:type="pct"/>
            <w:shd w:val="clear" w:color="auto" w:fill="auto"/>
            <w:vAlign w:val="center"/>
          </w:tcPr>
          <w:p w14:paraId="486E483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HCT-CI </w:t>
            </w:r>
            <w:r w:rsidRPr="000D7DF6">
              <w:rPr>
                <w:rFonts w:ascii="Times New Roman" w:eastAsiaTheme="minorHAnsi" w:hAnsi="Times New Roman" w:cs="Times New Roman"/>
                <w:sz w:val="18"/>
                <w:szCs w:val="18"/>
              </w:rPr>
              <w:t>≥</w:t>
            </w: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49D4DA3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05C45C5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5916CF0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5B10B7C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3.331 (1.015-10.93)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2B661EC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07B7DD4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6F0239F0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2B1843E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5CF1E1A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HLA mismatch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466A198F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0.010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6F6359A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4.849 (1.460-16.106)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5172C87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3B822A1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5.545 (1.621-18.97)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0B94B30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62A5001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6147B061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4375B17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1526C149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AD1BBD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2B1F713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0.152 (0.020-1.178)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7047CDA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0DA89A9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shd w:val="clear" w:color="auto" w:fill="auto"/>
            <w:vAlign w:val="center"/>
          </w:tcPr>
          <w:p w14:paraId="183F6B8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540BBC6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A06" w:rsidRPr="000D7DF6" w14:paraId="7777615E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164667D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AGVHD2</w:t>
            </w: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260A341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High-risk cytogenetics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707E1F4A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0.017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3183432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2.400 (1.168-4.931)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13B4375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03BAD37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3.195 (1.315-7.762)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314FB9E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5A9A95F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4350948E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39DF480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45DB68E5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HLA mismatch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D53FB0D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0.037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69D2DDB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2.226 (1.049-4.724)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5991887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3F2CC07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3.526 (1.534-8.108)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32DFF4B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54BBCA6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03AC700F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055FDBD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498168D3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049F367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6AF8C4C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0.753 (0.428-1.327)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64A1C87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2D93F2F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1FDCCBF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748A961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0751BF0C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0953AD6B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CGVHDm</w:t>
            </w:r>
            <w:proofErr w:type="spellEnd"/>
          </w:p>
        </w:tc>
        <w:tc>
          <w:tcPr>
            <w:tcW w:w="1043" w:type="pct"/>
            <w:shd w:val="clear" w:color="auto" w:fill="auto"/>
            <w:vAlign w:val="center"/>
          </w:tcPr>
          <w:p w14:paraId="6A309DA9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Donor to Recipient sex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61D5AA6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0F2B6E9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2.082 (1.292-3.355)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103F74D9" w14:textId="77777777" w:rsidR="009F3A06" w:rsidRPr="008D11D4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D11D4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0.001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6D726D5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2.085 (1.33-3.267)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59D8970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65263F2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9F3A06" w:rsidRPr="000D7DF6" w14:paraId="3D3B314A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661AD6D8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2EB1121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 xml:space="preserve">HCT-CI </w:t>
            </w:r>
            <w:r w:rsidRPr="000D7DF6">
              <w:rPr>
                <w:rFonts w:ascii="Times New Roman" w:eastAsiaTheme="minorHAnsi" w:hAnsi="Times New Roman" w:cs="Times New Roman"/>
                <w:sz w:val="18"/>
                <w:szCs w:val="18"/>
              </w:rPr>
              <w:t>≥</w:t>
            </w: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5A107664" w14:textId="77777777" w:rsidR="009F3A06" w:rsidRPr="00B43232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323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0.019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449AB95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0.465 (0.2441-0.8835)</w:t>
            </w: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7EC4FE5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665F4C1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70F6F69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NS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4D5E7F0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9F3A06" w:rsidRPr="000D7DF6" w14:paraId="048B8E73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22DEBB4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55C25825" w14:textId="77777777" w:rsidR="009F3A06" w:rsidRPr="00B24485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44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BBC71BD" w14:textId="77777777" w:rsidR="009F3A06" w:rsidRPr="00B24485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44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0.006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27642186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0.446 (0.252-0.789)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4766DE8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5074D55C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2D2A1A3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433C8A1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A06" w:rsidRPr="000D7DF6" w14:paraId="3F2DCEE7" w14:textId="77777777" w:rsidTr="00235901">
        <w:tc>
          <w:tcPr>
            <w:tcW w:w="451" w:type="pct"/>
            <w:vMerge w:val="restart"/>
            <w:shd w:val="clear" w:color="auto" w:fill="auto"/>
            <w:vAlign w:val="center"/>
          </w:tcPr>
          <w:p w14:paraId="78E47451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GRFS</w:t>
            </w:r>
          </w:p>
        </w:tc>
        <w:tc>
          <w:tcPr>
            <w:tcW w:w="1043" w:type="pct"/>
            <w:shd w:val="clear" w:color="auto" w:fill="F2F2F2" w:themeFill="background1" w:themeFillShade="F2"/>
            <w:vAlign w:val="center"/>
          </w:tcPr>
          <w:p w14:paraId="6F4F3D83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High-risk cytogenetics</w:t>
            </w:r>
          </w:p>
        </w:tc>
        <w:tc>
          <w:tcPr>
            <w:tcW w:w="375" w:type="pct"/>
            <w:shd w:val="clear" w:color="auto" w:fill="F2F2F2" w:themeFill="background1" w:themeFillShade="F2"/>
            <w:vAlign w:val="center"/>
          </w:tcPr>
          <w:p w14:paraId="4DF7AE9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794" w:type="pct"/>
            <w:shd w:val="clear" w:color="auto" w:fill="F2F2F2" w:themeFill="background1" w:themeFillShade="F2"/>
            <w:vAlign w:val="center"/>
          </w:tcPr>
          <w:p w14:paraId="31F2D01F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0" w:type="pct"/>
            <w:shd w:val="clear" w:color="auto" w:fill="F2F2F2" w:themeFill="background1" w:themeFillShade="F2"/>
            <w:vAlign w:val="center"/>
          </w:tcPr>
          <w:p w14:paraId="4B26FE3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19" w:type="pct"/>
            <w:shd w:val="clear" w:color="auto" w:fill="F2F2F2" w:themeFill="background1" w:themeFillShade="F2"/>
            <w:vAlign w:val="center"/>
          </w:tcPr>
          <w:p w14:paraId="31F4673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082888E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90" w:type="pct"/>
            <w:shd w:val="clear" w:color="auto" w:fill="F2F2F2" w:themeFill="background1" w:themeFillShade="F2"/>
            <w:vAlign w:val="center"/>
          </w:tcPr>
          <w:p w14:paraId="1618597D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7.367 (1.481-36.64)</w:t>
            </w:r>
          </w:p>
        </w:tc>
      </w:tr>
      <w:tr w:rsidR="009F3A06" w:rsidRPr="000D7DF6" w14:paraId="2AFD2C67" w14:textId="77777777" w:rsidTr="00235901">
        <w:tc>
          <w:tcPr>
            <w:tcW w:w="451" w:type="pct"/>
            <w:vMerge/>
            <w:shd w:val="clear" w:color="auto" w:fill="auto"/>
            <w:vAlign w:val="center"/>
          </w:tcPr>
          <w:p w14:paraId="5B673A20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3" w:type="pct"/>
            <w:shd w:val="clear" w:color="auto" w:fill="auto"/>
            <w:vAlign w:val="center"/>
          </w:tcPr>
          <w:p w14:paraId="222DBF09" w14:textId="77777777" w:rsidR="009F3A06" w:rsidRPr="004973D0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973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FluBu3 conditioning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500674D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0.174</w:t>
            </w:r>
          </w:p>
        </w:tc>
        <w:tc>
          <w:tcPr>
            <w:tcW w:w="794" w:type="pct"/>
            <w:shd w:val="clear" w:color="auto" w:fill="auto"/>
            <w:vAlign w:val="center"/>
          </w:tcPr>
          <w:p w14:paraId="22BD3B44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0.726 (0.457-1.152)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50976D6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5C4CF01E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79" w:type="pct"/>
            <w:shd w:val="clear" w:color="auto" w:fill="auto"/>
            <w:vAlign w:val="center"/>
          </w:tcPr>
          <w:p w14:paraId="0EA497BA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5B5D7277" w14:textId="77777777" w:rsidR="009F3A06" w:rsidRPr="000D7DF6" w:rsidRDefault="009F3A06" w:rsidP="00235901">
            <w:pPr>
              <w:wordWrap/>
              <w:spacing w:after="0"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0D7DF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bookmarkEnd w:id="0"/>
    </w:tbl>
    <w:p w14:paraId="4D9D37D8" w14:textId="77777777" w:rsidR="009F3A06" w:rsidRDefault="009F3A06" w:rsidP="009F3A06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7D31BBA3" w14:textId="1B60D088" w:rsidR="009B10FF" w:rsidRPr="009F3A06" w:rsidRDefault="009F3A06" w:rsidP="009F3A06">
      <w:pPr>
        <w:spacing w:after="0" w:line="264" w:lineRule="auto"/>
        <w:contextualSpacing/>
        <w:rPr>
          <w:rFonts w:hint="eastAsia"/>
        </w:rPr>
      </w:pPr>
      <w:r w:rsidRPr="007D0049">
        <w:rPr>
          <w:rFonts w:ascii="Times New Roman" w:hAnsi="Times New Roman" w:cs="Times New Roman"/>
          <w:sz w:val="18"/>
          <w:szCs w:val="18"/>
        </w:rPr>
        <w:t xml:space="preserve">Abbreviation: </w:t>
      </w:r>
      <w:r w:rsidRPr="007D0049">
        <w:rPr>
          <w:rFonts w:ascii="Times New Roman" w:hAnsi="Times New Roman" w:cs="Times New Roman" w:hint="eastAsia"/>
          <w:sz w:val="18"/>
          <w:szCs w:val="18"/>
        </w:rPr>
        <w:t>O</w:t>
      </w:r>
      <w:r w:rsidRPr="007D0049">
        <w:rPr>
          <w:rFonts w:ascii="Times New Roman" w:hAnsi="Times New Roman" w:cs="Times New Roman"/>
          <w:sz w:val="18"/>
          <w:szCs w:val="18"/>
        </w:rPr>
        <w:t xml:space="preserve">S, overall survival; RFS, relapse free survival; CIR, cumulative incidence of relapse; NRM, non-relapse mortality; </w:t>
      </w:r>
      <w:proofErr w:type="spellStart"/>
      <w:r w:rsidRPr="007D0049">
        <w:rPr>
          <w:rFonts w:ascii="Times New Roman" w:hAnsi="Times New Roman" w:cs="Times New Roman"/>
          <w:sz w:val="18"/>
          <w:szCs w:val="18"/>
        </w:rPr>
        <w:t>aGVHD</w:t>
      </w:r>
      <w:proofErr w:type="spellEnd"/>
      <w:r w:rsidRPr="007D0049">
        <w:rPr>
          <w:rFonts w:ascii="Times New Roman" w:hAnsi="Times New Roman" w:cs="Times New Roman"/>
          <w:sz w:val="18"/>
          <w:szCs w:val="18"/>
        </w:rPr>
        <w:t xml:space="preserve">, acute graft-versus-host disease; </w:t>
      </w:r>
      <w:proofErr w:type="spellStart"/>
      <w:r w:rsidRPr="007D0049">
        <w:rPr>
          <w:rFonts w:ascii="Times New Roman" w:hAnsi="Times New Roman" w:cs="Times New Roman"/>
          <w:sz w:val="18"/>
          <w:szCs w:val="18"/>
        </w:rPr>
        <w:t>cGVHD</w:t>
      </w:r>
      <w:proofErr w:type="spellEnd"/>
      <w:r w:rsidRPr="007D0049">
        <w:rPr>
          <w:rFonts w:ascii="Times New Roman" w:hAnsi="Times New Roman" w:cs="Times New Roman"/>
          <w:sz w:val="18"/>
          <w:szCs w:val="18"/>
        </w:rPr>
        <w:t xml:space="preserve">, chronic graft-versus-host disease; NIH, national institutes of health; GRFS, Graft-versus-host disease (GVHD) -free, relapse-free survival; CI, confidence interval; CR, complete remission; HCT-CI, hematopoietic cell transplantation comorbidity index; HLA, human leukocyte antigen; NS, not significant; NA, not assessed </w:t>
      </w:r>
    </w:p>
    <w:sectPr w:rsidR="009B10FF" w:rsidRPr="009F3A06" w:rsidSect="004802C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A06"/>
    <w:rsid w:val="009B10FF"/>
    <w:rsid w:val="009F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87653"/>
  <w15:chartTrackingRefBased/>
  <w15:docId w15:val="{4BFAF28E-ABB9-44A3-9073-254FE1EE0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A06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3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실비아 박</dc:creator>
  <cp:keywords/>
  <dc:description/>
  <cp:lastModifiedBy>실비아 박</cp:lastModifiedBy>
  <cp:revision>1</cp:revision>
  <dcterms:created xsi:type="dcterms:W3CDTF">2023-11-08T20:33:00Z</dcterms:created>
  <dcterms:modified xsi:type="dcterms:W3CDTF">2023-11-08T20:34:00Z</dcterms:modified>
</cp:coreProperties>
</file>