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5F9C1F0" w14:textId="77777777" w:rsidR="00622446" w:rsidRDefault="00622446" w:rsidP="00622446">
      <w:pPr>
        <w:pStyle w:val="Ttulo"/>
        <w:pBdr>
          <w:bottom w:val="none" w:sz="0" w:space="0" w:color="auto"/>
        </w:pBdr>
      </w:pPr>
      <w:r>
        <w:t>Intraluminal oxygen can keep small bowel mucosa intact in a segmental ischemia model</w:t>
      </w:r>
    </w:p>
    <w:p w14:paraId="0992125F" w14:textId="77777777" w:rsidR="00622446" w:rsidRDefault="00622446" w:rsidP="00622446">
      <w:pPr>
        <w:pStyle w:val="Subttulo"/>
      </w:pPr>
      <w:r>
        <w:t>A Proof of Principle Study</w:t>
      </w:r>
    </w:p>
    <w:p w14:paraId="469D6196" w14:textId="1E296E28" w:rsidR="00654915" w:rsidRDefault="00622446" w:rsidP="00622446">
      <w:pPr>
        <w:pStyle w:val="Ttulo1"/>
        <w:rPr>
          <w:lang w:val="en-GB"/>
        </w:rPr>
      </w:pPr>
      <w:r w:rsidRPr="00622446">
        <w:rPr>
          <w:lang w:val="en-GB"/>
        </w:rPr>
        <w:t>S</w:t>
      </w:r>
      <w:r>
        <w:rPr>
          <w:lang w:val="en-GB"/>
        </w:rPr>
        <w:t>upplementary Material</w:t>
      </w:r>
    </w:p>
    <w:p w14:paraId="76894087" w14:textId="77777777" w:rsidR="00622446" w:rsidRDefault="00622446" w:rsidP="00622446">
      <w:pPr>
        <w:pStyle w:val="Ttulo2"/>
      </w:pPr>
      <w:r>
        <w:t>Material &amp; Methods</w:t>
      </w:r>
    </w:p>
    <w:p w14:paraId="59EB70C0" w14:textId="29D5C3AB" w:rsidR="00396914" w:rsidRPr="00EA1452" w:rsidRDefault="00396914" w:rsidP="00622446">
      <w:pPr>
        <w:pStyle w:val="Ttulo3"/>
        <w:rPr>
          <w:lang w:val="en-GB"/>
        </w:rPr>
      </w:pPr>
      <w:r w:rsidRPr="00EA1452">
        <w:rPr>
          <w:lang w:val="en-GB"/>
        </w:rPr>
        <w:t>Immunohistochemistry</w:t>
      </w:r>
    </w:p>
    <w:p w14:paraId="08C03923" w14:textId="01FC030B" w:rsidR="00396914" w:rsidRPr="00396914" w:rsidRDefault="00396914" w:rsidP="00396914">
      <w:pPr>
        <w:rPr>
          <w:lang w:val="en-GB"/>
        </w:rPr>
      </w:pPr>
      <w:r w:rsidRPr="00396914">
        <w:rPr>
          <w:lang w:val="en-GB"/>
        </w:rPr>
        <w:t xml:space="preserve">Stained slides were scanned to a </w:t>
      </w:r>
      <w:r>
        <w:rPr>
          <w:lang w:val="en-GB"/>
        </w:rPr>
        <w:t>digital</w:t>
      </w:r>
      <w:r w:rsidRPr="00396914">
        <w:rPr>
          <w:lang w:val="en-GB"/>
        </w:rPr>
        <w:t xml:space="preserve"> file. Five areas per biopsy of the central area (“sham” and “treated”), and of the area outside the ischemic treatment (“untreated”) were selected at random, at 10x, and transferred to a .tiff file for analysis with ImageJ. HIF1-</w:t>
      </w:r>
      <w:r w:rsidRPr="00396914">
        <w:rPr>
          <w:lang w:val="es-AR"/>
        </w:rPr>
        <w:t>α</w:t>
      </w:r>
      <w:r w:rsidRPr="00396914">
        <w:rPr>
          <w:lang w:val="en-GB"/>
        </w:rPr>
        <w:t xml:space="preserve"> staining was measured by first filtering for brown (DAB) and blue (h</w:t>
      </w:r>
      <w:r w:rsidR="00EA1452">
        <w:rPr>
          <w:lang w:val="en-GB"/>
        </w:rPr>
        <w:t>a</w:t>
      </w:r>
      <w:r w:rsidRPr="00396914">
        <w:rPr>
          <w:lang w:val="en-GB"/>
        </w:rPr>
        <w:t>ematoxylin) areas (in mm</w:t>
      </w:r>
      <w:r w:rsidRPr="00396914">
        <w:rPr>
          <w:vertAlign w:val="superscript"/>
          <w:lang w:val="en-GB"/>
        </w:rPr>
        <w:t>2</w:t>
      </w:r>
      <w:r w:rsidRPr="00396914">
        <w:rPr>
          <w:lang w:val="en-GB"/>
        </w:rPr>
        <w:t xml:space="preserve">). The average ratio of brown/(blue + brown) </w:t>
      </w:r>
      <w:r w:rsidR="00852999">
        <w:rPr>
          <w:lang w:val="en-GB"/>
        </w:rPr>
        <w:t>pixels</w:t>
      </w:r>
      <w:r w:rsidR="00FF6D4C">
        <w:rPr>
          <w:lang w:val="en-GB"/>
        </w:rPr>
        <w:t xml:space="preserve"> </w:t>
      </w:r>
      <w:r w:rsidRPr="00396914">
        <w:rPr>
          <w:lang w:val="en-GB"/>
        </w:rPr>
        <w:t>(“Presence of HIF1-</w:t>
      </w:r>
      <w:r w:rsidRPr="00396914">
        <w:rPr>
          <w:lang w:val="es-AR"/>
        </w:rPr>
        <w:t>α</w:t>
      </w:r>
      <w:r w:rsidRPr="00396914">
        <w:rPr>
          <w:lang w:val="en-GB"/>
        </w:rPr>
        <w:t>”) was measured against background (from negative controls, which were measured in the same manner), to subtract the latter. Individual values for each of the biopsies were then pooled per treatment group.</w:t>
      </w:r>
    </w:p>
    <w:p w14:paraId="0A7D7029" w14:textId="285181C0" w:rsidR="00622446" w:rsidRPr="00F13395" w:rsidRDefault="00622446" w:rsidP="00622446">
      <w:pPr>
        <w:pStyle w:val="Ttulo3"/>
      </w:pPr>
      <w:r w:rsidRPr="00F13395">
        <w:t>Gene expression</w:t>
      </w:r>
    </w:p>
    <w:p w14:paraId="094484C7" w14:textId="77777777" w:rsidR="00622446" w:rsidRPr="006022B5" w:rsidRDefault="00622446" w:rsidP="00622446">
      <w:r w:rsidRPr="006022B5">
        <w:t xml:space="preserve">To further understand whether the changes are reflected at RNA level, PCR was performed on central samples. Expression of </w:t>
      </w:r>
      <w:r>
        <w:t xml:space="preserve">occludin (OCLN) and </w:t>
      </w:r>
      <w:r w:rsidRPr="006022B5">
        <w:t>HIF</w:t>
      </w:r>
      <w:r>
        <w:t xml:space="preserve"> </w:t>
      </w:r>
      <w:r w:rsidRPr="006022B5">
        <w:t xml:space="preserve">1-α and its target genes lactate dehydrogenase A (LDHA) and nitric oxide synthase-2 (NOS2) was investigated. </w:t>
      </w:r>
    </w:p>
    <w:p w14:paraId="24A67C65" w14:textId="77777777" w:rsidR="00622446" w:rsidRDefault="00622446" w:rsidP="00622446">
      <w:r w:rsidRPr="006022B5">
        <w:t xml:space="preserve">RNA was isolated from paraffin-embedded blocks to check for gene expression in both experimental groups in the same samples that were studied for histological structure that showed significant results: central and outside the treated segments. Initially, 80 µm were cut from these blocks, and treated with xylene and absolute ethanol for deparaffinization, as per manufacturer instructions. Subsequently, the RNA isolation protocol from the same manufacturer was followed (High Pure FFPE RNA Micro Kit from Roche Applied Science [Basel, Switzerland]), protocol version 07). Complement DNA (cDNA) was produced on total RNA with random nonamers (Thermo Fischer Scientific, Waltham, MA, </w:t>
      </w:r>
      <w:r>
        <w:t>USA</w:t>
      </w:r>
      <w:r w:rsidRPr="006022B5">
        <w:t>), and quantitative PCR (qPCR) was performed on the 7900ht Fast Real-</w:t>
      </w:r>
      <w:r w:rsidRPr="006022B5">
        <w:lastRenderedPageBreak/>
        <w:t xml:space="preserve">Time machine (Applied BioSystems, Waltham, MA, </w:t>
      </w:r>
      <w:r>
        <w:t>USA</w:t>
      </w:r>
      <w:r w:rsidRPr="006022B5">
        <w:t>) using primers and probes available from Thermo Fischer Scientific</w:t>
      </w:r>
      <w:r w:rsidRPr="006022B5">
        <w:fldChar w:fldCharType="begin"/>
      </w:r>
      <w:r w:rsidRPr="006022B5">
        <w:instrText xml:space="preserve"> REF _Ref458433442 \h  \* MERGEFORMAT </w:instrText>
      </w:r>
      <w:r w:rsidRPr="006022B5">
        <w:fldChar w:fldCharType="end"/>
      </w:r>
      <w:r w:rsidRPr="006022B5">
        <w:t xml:space="preserve">). Β-actin was the housekeeping gene on which CT values for all the samples were normalised to. </w:t>
      </w:r>
      <w:r>
        <w:rPr>
          <w:rFonts w:cs="Arial"/>
        </w:rPr>
        <w:t>Data for PCR is presented as -2 ΔCT values. The statistical test used in gene expression analyses was a Kruskal-Wallis one-way analysis of variance. P&lt;0.05 was considered significant.</w:t>
      </w:r>
    </w:p>
    <w:p w14:paraId="21FEE7B7" w14:textId="77777777" w:rsidR="00622446" w:rsidRDefault="00622446" w:rsidP="00622446">
      <w:pPr>
        <w:pStyle w:val="Ttulo2"/>
      </w:pPr>
      <w:r>
        <w:t>Results</w:t>
      </w:r>
    </w:p>
    <w:p w14:paraId="4B0C13B9" w14:textId="77777777" w:rsidR="00622446" w:rsidRDefault="00622446" w:rsidP="00622446">
      <w:pPr>
        <w:pStyle w:val="Ttulo3"/>
      </w:pPr>
      <w:r>
        <w:t>Histopathology</w:t>
      </w:r>
    </w:p>
    <w:p w14:paraId="295D7B8C" w14:textId="77777777" w:rsidR="00622446" w:rsidRDefault="00622446" w:rsidP="00622446">
      <w:pPr>
        <w:pStyle w:val="Ttulo4"/>
      </w:pPr>
      <w:r>
        <w:t>Villous to Crypt Ratio</w:t>
      </w:r>
    </w:p>
    <w:p w14:paraId="02596D73" w14:textId="0E5DFAE7" w:rsidR="00622446" w:rsidRDefault="00622446" w:rsidP="00622446">
      <w:r>
        <w:t>Healthy VCR median value was 1.94 (1.71–2.28). There was a high statistical difference between such samples and all non-treated samples except for the proximal 20 centimetres. On the other hand, oxygen-treated samples were not different from control samples from the centre and proximally up to 20 centimetres (S</w:t>
      </w:r>
      <w:r w:rsidRPr="00B55657">
        <w:t xml:space="preserve">upplementary </w:t>
      </w:r>
      <w:r>
        <w:t>F</w:t>
      </w:r>
      <w:r w:rsidRPr="00B55657">
        <w:t>igure S</w:t>
      </w:r>
      <w:r w:rsidR="008D6614">
        <w:rPr>
          <w:lang w:val="en-GB"/>
        </w:rPr>
        <w:t>8a</w:t>
      </w:r>
      <w:r>
        <w:t>). When stratifying these samples, we saw statistical difference between all groups compared to healthy bowel, however the centre of the treated bowels showed the lowest difference (S</w:t>
      </w:r>
      <w:r w:rsidRPr="00B55657">
        <w:t xml:space="preserve">upplementary </w:t>
      </w:r>
      <w:r>
        <w:t>F</w:t>
      </w:r>
      <w:r w:rsidRPr="00B55657">
        <w:t>igure S</w:t>
      </w:r>
      <w:r w:rsidR="008D6614">
        <w:rPr>
          <w:lang w:val="en-GB"/>
        </w:rPr>
        <w:t>8</w:t>
      </w:r>
      <w:r w:rsidRPr="00B55657">
        <w:t>b</w:t>
      </w:r>
      <w:r>
        <w:t>).</w:t>
      </w:r>
    </w:p>
    <w:p w14:paraId="63C3FDD2" w14:textId="4375260E" w:rsidR="00622446" w:rsidRPr="00EA1452" w:rsidRDefault="00622446" w:rsidP="00622446">
      <w:pPr>
        <w:pStyle w:val="Ttulo2"/>
        <w:rPr>
          <w:lang w:val="en-GB"/>
        </w:rPr>
      </w:pPr>
      <w:r w:rsidRPr="00EA1452">
        <w:rPr>
          <w:lang w:val="en-GB"/>
        </w:rPr>
        <w:t>Immunohistochemistry</w:t>
      </w:r>
    </w:p>
    <w:p w14:paraId="13DDDA32" w14:textId="0D821A02" w:rsidR="00396914" w:rsidRDefault="00396914" w:rsidP="00396914">
      <w:r w:rsidRPr="00396914">
        <w:t>To specify whether the apparent difference in the amount of tissue stained with HIF1-α had a statistical significance in our study, the area stained with DAB was subjected to software-driven measurements. These resulted in no significant p values, but showed a that the treated group with oxygen and the control area, outside the ischemic segment, had similar values. There is much more variability in the amount of stained protein in the ischemic bowel that did not receive any oxygen (</w:t>
      </w:r>
      <w:r w:rsidR="004D4069">
        <w:rPr>
          <w:lang w:val="en-GB"/>
        </w:rPr>
        <w:t xml:space="preserve">Supplementary </w:t>
      </w:r>
      <w:r w:rsidRPr="00396914">
        <w:t>Figure S</w:t>
      </w:r>
      <w:r w:rsidR="003E2276">
        <w:rPr>
          <w:lang w:val="en-GB"/>
        </w:rPr>
        <w:t>9</w:t>
      </w:r>
      <w:r w:rsidRPr="00396914">
        <w:t>).</w:t>
      </w:r>
    </w:p>
    <w:p w14:paraId="3BC8821C" w14:textId="6B255FEC" w:rsidR="00622446" w:rsidRDefault="00622446" w:rsidP="00622446">
      <w:pPr>
        <w:pStyle w:val="Ttulo3"/>
      </w:pPr>
      <w:r>
        <w:t>Gene expression</w:t>
      </w:r>
    </w:p>
    <w:p w14:paraId="3673C036" w14:textId="6E2863E7" w:rsidR="00622446" w:rsidRPr="00F6541A" w:rsidRDefault="00622446" w:rsidP="00622446">
      <w:pPr>
        <w:rPr>
          <w:rFonts w:eastAsia="Times New Roman"/>
          <w:b/>
          <w:bCs/>
          <w:i/>
          <w:szCs w:val="26"/>
        </w:rPr>
      </w:pPr>
      <w:r w:rsidRPr="00F204A8">
        <w:rPr>
          <w:rFonts w:cs="Arial"/>
        </w:rPr>
        <w:t xml:space="preserve">No statistically relevant differences were found when </w:t>
      </w:r>
      <w:r>
        <w:rPr>
          <w:rFonts w:cs="Arial"/>
        </w:rPr>
        <w:t xml:space="preserve">looking at the expression of occludin or HIF 1-α and its target genes LDHA and NOS2 </w:t>
      </w:r>
      <w:r>
        <w:t>(</w:t>
      </w:r>
      <w:r w:rsidR="004D4069">
        <w:rPr>
          <w:lang w:val="en-GB"/>
        </w:rPr>
        <w:t xml:space="preserve">Supplementary </w:t>
      </w:r>
      <w:r>
        <w:t>Figure S</w:t>
      </w:r>
      <w:r w:rsidR="003E2276">
        <w:rPr>
          <w:lang w:val="en-GB"/>
        </w:rPr>
        <w:t>10</w:t>
      </w:r>
      <w:r>
        <w:t>)</w:t>
      </w:r>
      <w:r w:rsidRPr="00F204A8">
        <w:rPr>
          <w:rFonts w:cs="Arial"/>
        </w:rPr>
        <w:t>.</w:t>
      </w:r>
      <w:r>
        <w:t xml:space="preserve"> However, a major variability was present in the expression of NOS2 in the centre of the ischemic segment that received luminal oxygen.</w:t>
      </w:r>
    </w:p>
    <w:sectPr w:rsidR="00622446" w:rsidRPr="00F6541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2446"/>
    <w:rsid w:val="00196117"/>
    <w:rsid w:val="00396914"/>
    <w:rsid w:val="003E2276"/>
    <w:rsid w:val="004A17DB"/>
    <w:rsid w:val="004D4069"/>
    <w:rsid w:val="00622446"/>
    <w:rsid w:val="00791C69"/>
    <w:rsid w:val="008246BE"/>
    <w:rsid w:val="00852999"/>
    <w:rsid w:val="008D6614"/>
    <w:rsid w:val="00EA1452"/>
    <w:rsid w:val="00F6541A"/>
    <w:rsid w:val="00FF6D4C"/>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C364FE"/>
  <w15:chartTrackingRefBased/>
  <w15:docId w15:val="{1A8B7AC9-C908-44A1-905C-DCC2C706FF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2446"/>
    <w:pPr>
      <w:spacing w:line="480" w:lineRule="auto"/>
      <w:jc w:val="both"/>
    </w:pPr>
    <w:rPr>
      <w:rFonts w:ascii="Calibri" w:hAnsi="Calibri"/>
      <w:sz w:val="20"/>
    </w:rPr>
  </w:style>
  <w:style w:type="paragraph" w:styleId="Ttulo1">
    <w:name w:val="heading 1"/>
    <w:basedOn w:val="Normal"/>
    <w:next w:val="Normal"/>
    <w:link w:val="Ttulo1Car"/>
    <w:uiPriority w:val="9"/>
    <w:qFormat/>
    <w:rsid w:val="00622446"/>
    <w:pPr>
      <w:keepNext/>
      <w:keepLines/>
      <w:spacing w:before="240" w:after="0"/>
      <w:outlineLvl w:val="0"/>
    </w:pPr>
    <w:rPr>
      <w:rFonts w:eastAsiaTheme="majorEastAsia" w:cstheme="majorBidi"/>
      <w:b/>
      <w:sz w:val="28"/>
      <w:szCs w:val="32"/>
    </w:rPr>
  </w:style>
  <w:style w:type="paragraph" w:styleId="Ttulo2">
    <w:name w:val="heading 2"/>
    <w:basedOn w:val="Normal"/>
    <w:next w:val="Normal"/>
    <w:link w:val="Ttulo2Car"/>
    <w:uiPriority w:val="9"/>
    <w:unhideWhenUsed/>
    <w:qFormat/>
    <w:rsid w:val="0062244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tulo3">
    <w:name w:val="heading 3"/>
    <w:basedOn w:val="Normal"/>
    <w:next w:val="Normal"/>
    <w:link w:val="Ttulo3Car"/>
    <w:uiPriority w:val="9"/>
    <w:semiHidden/>
    <w:unhideWhenUsed/>
    <w:qFormat/>
    <w:rsid w:val="00622446"/>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Ttulo4">
    <w:name w:val="heading 4"/>
    <w:basedOn w:val="Normal"/>
    <w:next w:val="Normal"/>
    <w:link w:val="Ttulo4Car"/>
    <w:uiPriority w:val="9"/>
    <w:unhideWhenUsed/>
    <w:qFormat/>
    <w:rsid w:val="00622446"/>
    <w:pPr>
      <w:keepNext/>
      <w:keepLines/>
      <w:spacing w:before="40" w:after="0" w:line="360" w:lineRule="auto"/>
      <w:outlineLvl w:val="3"/>
    </w:pPr>
    <w:rPr>
      <w:rFonts w:asciiTheme="majorHAnsi" w:eastAsiaTheme="majorEastAsia" w:hAnsiTheme="majorHAnsi" w:cstheme="majorBidi"/>
      <w:i/>
      <w:iCs/>
      <w:color w:val="2F5496" w:themeColor="accent1" w:themeShade="BF"/>
      <w:lang w:val="en-GB"/>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62244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622446"/>
    <w:rPr>
      <w:rFonts w:ascii="Segoe UI" w:hAnsi="Segoe UI" w:cs="Segoe UI"/>
      <w:sz w:val="18"/>
      <w:szCs w:val="18"/>
    </w:rPr>
  </w:style>
  <w:style w:type="paragraph" w:styleId="Ttulo">
    <w:name w:val="Title"/>
    <w:basedOn w:val="Normal"/>
    <w:next w:val="Normal"/>
    <w:link w:val="TtuloCar"/>
    <w:uiPriority w:val="10"/>
    <w:qFormat/>
    <w:rsid w:val="00622446"/>
    <w:pPr>
      <w:pBdr>
        <w:bottom w:val="single" w:sz="8" w:space="4" w:color="4472C4"/>
      </w:pBdr>
      <w:spacing w:after="300" w:line="240" w:lineRule="auto"/>
      <w:contextualSpacing/>
      <w:jc w:val="center"/>
    </w:pPr>
    <w:rPr>
      <w:rFonts w:eastAsia="Times New Roman" w:cs="Times New Roman"/>
      <w:spacing w:val="5"/>
      <w:kern w:val="28"/>
      <w:sz w:val="52"/>
      <w:szCs w:val="52"/>
      <w:lang w:val="en-GB"/>
    </w:rPr>
  </w:style>
  <w:style w:type="character" w:customStyle="1" w:styleId="TtuloCar">
    <w:name w:val="Título Car"/>
    <w:basedOn w:val="Fuentedeprrafopredeter"/>
    <w:link w:val="Ttulo"/>
    <w:uiPriority w:val="10"/>
    <w:rsid w:val="00622446"/>
    <w:rPr>
      <w:rFonts w:ascii="Calibri" w:eastAsia="Times New Roman" w:hAnsi="Calibri" w:cs="Times New Roman"/>
      <w:spacing w:val="5"/>
      <w:kern w:val="28"/>
      <w:sz w:val="52"/>
      <w:szCs w:val="52"/>
      <w:lang w:val="en-GB"/>
    </w:rPr>
  </w:style>
  <w:style w:type="paragraph" w:styleId="Subttulo">
    <w:name w:val="Subtitle"/>
    <w:basedOn w:val="Normal"/>
    <w:next w:val="Normal"/>
    <w:link w:val="SubttuloCar"/>
    <w:uiPriority w:val="11"/>
    <w:qFormat/>
    <w:rsid w:val="00622446"/>
    <w:pPr>
      <w:spacing w:after="60" w:line="360" w:lineRule="auto"/>
      <w:jc w:val="center"/>
      <w:outlineLvl w:val="1"/>
    </w:pPr>
    <w:rPr>
      <w:rFonts w:eastAsia="Times New Roman" w:cs="Times New Roman"/>
      <w:sz w:val="40"/>
      <w:szCs w:val="24"/>
      <w:lang w:val="en-GB"/>
    </w:rPr>
  </w:style>
  <w:style w:type="character" w:customStyle="1" w:styleId="SubttuloCar">
    <w:name w:val="Subtítulo Car"/>
    <w:basedOn w:val="Fuentedeprrafopredeter"/>
    <w:link w:val="Subttulo"/>
    <w:uiPriority w:val="11"/>
    <w:rsid w:val="00622446"/>
    <w:rPr>
      <w:rFonts w:ascii="Calibri" w:eastAsia="Times New Roman" w:hAnsi="Calibri" w:cs="Times New Roman"/>
      <w:sz w:val="40"/>
      <w:szCs w:val="24"/>
      <w:lang w:val="en-GB"/>
    </w:rPr>
  </w:style>
  <w:style w:type="character" w:customStyle="1" w:styleId="Ttulo1Car">
    <w:name w:val="Título 1 Car"/>
    <w:basedOn w:val="Fuentedeprrafopredeter"/>
    <w:link w:val="Ttulo1"/>
    <w:uiPriority w:val="9"/>
    <w:rsid w:val="00622446"/>
    <w:rPr>
      <w:rFonts w:ascii="Calibri" w:eastAsiaTheme="majorEastAsia" w:hAnsi="Calibri" w:cstheme="majorBidi"/>
      <w:b/>
      <w:sz w:val="28"/>
      <w:szCs w:val="32"/>
    </w:rPr>
  </w:style>
  <w:style w:type="character" w:customStyle="1" w:styleId="Ttulo2Car">
    <w:name w:val="Título 2 Car"/>
    <w:basedOn w:val="Fuentedeprrafopredeter"/>
    <w:link w:val="Ttulo2"/>
    <w:uiPriority w:val="9"/>
    <w:rsid w:val="00622446"/>
    <w:rPr>
      <w:rFonts w:asciiTheme="majorHAnsi" w:eastAsiaTheme="majorEastAsia" w:hAnsiTheme="majorHAnsi" w:cstheme="majorBidi"/>
      <w:color w:val="2F5496" w:themeColor="accent1" w:themeShade="BF"/>
      <w:sz w:val="26"/>
      <w:szCs w:val="26"/>
    </w:rPr>
  </w:style>
  <w:style w:type="character" w:customStyle="1" w:styleId="Ttulo3Car">
    <w:name w:val="Título 3 Car"/>
    <w:basedOn w:val="Fuentedeprrafopredeter"/>
    <w:link w:val="Ttulo3"/>
    <w:uiPriority w:val="9"/>
    <w:semiHidden/>
    <w:rsid w:val="00622446"/>
    <w:rPr>
      <w:rFonts w:asciiTheme="majorHAnsi" w:eastAsiaTheme="majorEastAsia" w:hAnsiTheme="majorHAnsi" w:cstheme="majorBidi"/>
      <w:color w:val="1F3763" w:themeColor="accent1" w:themeShade="7F"/>
      <w:sz w:val="24"/>
      <w:szCs w:val="24"/>
    </w:rPr>
  </w:style>
  <w:style w:type="character" w:customStyle="1" w:styleId="Ttulo4Car">
    <w:name w:val="Título 4 Car"/>
    <w:basedOn w:val="Fuentedeprrafopredeter"/>
    <w:link w:val="Ttulo4"/>
    <w:uiPriority w:val="9"/>
    <w:rsid w:val="00622446"/>
    <w:rPr>
      <w:rFonts w:asciiTheme="majorHAnsi" w:eastAsiaTheme="majorEastAsia" w:hAnsiTheme="majorHAnsi" w:cstheme="majorBidi"/>
      <w:i/>
      <w:iCs/>
      <w:color w:val="2F5496" w:themeColor="accent1" w:themeShade="BF"/>
      <w:sz w:val="20"/>
      <w:lang w:val="en-GB"/>
    </w:rPr>
  </w:style>
  <w:style w:type="character" w:styleId="Refdecomentario">
    <w:name w:val="annotation reference"/>
    <w:basedOn w:val="Fuentedeprrafopredeter"/>
    <w:uiPriority w:val="99"/>
    <w:semiHidden/>
    <w:unhideWhenUsed/>
    <w:rsid w:val="00622446"/>
    <w:rPr>
      <w:sz w:val="16"/>
      <w:szCs w:val="16"/>
    </w:rPr>
  </w:style>
  <w:style w:type="paragraph" w:styleId="Textocomentario">
    <w:name w:val="annotation text"/>
    <w:basedOn w:val="Normal"/>
    <w:link w:val="TextocomentarioCar"/>
    <w:uiPriority w:val="99"/>
    <w:semiHidden/>
    <w:unhideWhenUsed/>
    <w:rsid w:val="00622446"/>
    <w:pPr>
      <w:spacing w:line="240" w:lineRule="auto"/>
    </w:pPr>
    <w:rPr>
      <w:rFonts w:eastAsia="Calibri" w:cs="Times New Roman"/>
      <w:szCs w:val="20"/>
      <w:lang w:val="en-GB"/>
    </w:rPr>
  </w:style>
  <w:style w:type="character" w:customStyle="1" w:styleId="TextocomentarioCar">
    <w:name w:val="Texto comentario Car"/>
    <w:basedOn w:val="Fuentedeprrafopredeter"/>
    <w:link w:val="Textocomentario"/>
    <w:uiPriority w:val="99"/>
    <w:semiHidden/>
    <w:rsid w:val="00622446"/>
    <w:rPr>
      <w:rFonts w:ascii="Calibri" w:eastAsia="Calibri" w:hAnsi="Calibri" w:cs="Times New Roman"/>
      <w:sz w:val="20"/>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TotalTime>
  <Pages>2</Pages>
  <Words>556</Words>
  <Characters>3170</Characters>
  <Application>Microsoft Office Word</Application>
  <DocSecurity>0</DocSecurity>
  <Lines>26</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Trentadue, G (mdl)</dc:creator>
  <cp:keywords/>
  <dc:description/>
  <cp:lastModifiedBy>Trentadue, G (mdl)</cp:lastModifiedBy>
  <cp:revision>8</cp:revision>
  <dcterms:created xsi:type="dcterms:W3CDTF">2020-09-07T14:19:00Z</dcterms:created>
  <dcterms:modified xsi:type="dcterms:W3CDTF">2020-09-09T16:21:00Z</dcterms:modified>
</cp:coreProperties>
</file>