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880D0" w14:textId="77777777" w:rsidR="00A8714E" w:rsidRPr="00725BA7" w:rsidRDefault="00A8714E" w:rsidP="00A8714E">
      <w:pPr>
        <w:spacing w:after="0" w:line="240" w:lineRule="auto"/>
        <w:jc w:val="both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725BA7">
        <w:rPr>
          <w:rFonts w:ascii="Calibri" w:hAnsi="Calibri" w:cs="Calibri"/>
          <w:b/>
          <w:color w:val="000000" w:themeColor="text1"/>
          <w:sz w:val="24"/>
          <w:szCs w:val="24"/>
        </w:rPr>
        <w:t>SUPPLEMENTAL MATERIALS</w:t>
      </w:r>
    </w:p>
    <w:p w14:paraId="78E26D92" w14:textId="77777777" w:rsidR="00A8714E" w:rsidRPr="00725BA7" w:rsidRDefault="00A8714E" w:rsidP="00A8714E">
      <w:pPr>
        <w:pStyle w:val="Caption"/>
        <w:spacing w:after="0"/>
        <w:jc w:val="both"/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</w:pPr>
      <w:r w:rsidRPr="00725BA7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t>RESULTS</w:t>
      </w:r>
    </w:p>
    <w:p w14:paraId="21927B38" w14:textId="77777777" w:rsidR="00A8714E" w:rsidRPr="00725BA7" w:rsidRDefault="00A8714E" w:rsidP="00A8714E">
      <w:pPr>
        <w:pStyle w:val="Caption"/>
        <w:spacing w:after="0"/>
        <w:jc w:val="both"/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</w:pPr>
      <w:r w:rsidRPr="00725BA7">
        <w:rPr>
          <w:rFonts w:ascii="Calibri" w:hAnsi="Calibri" w:cs="Calibri"/>
          <w:b/>
          <w:bCs/>
          <w:i w:val="0"/>
          <w:iCs w:val="0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71996F" wp14:editId="501829D0">
                <wp:simplePos x="0" y="0"/>
                <wp:positionH relativeFrom="column">
                  <wp:posOffset>-39077</wp:posOffset>
                </wp:positionH>
                <wp:positionV relativeFrom="paragraph">
                  <wp:posOffset>448993</wp:posOffset>
                </wp:positionV>
                <wp:extent cx="312615" cy="265723"/>
                <wp:effectExtent l="0" t="0" r="0" b="1270"/>
                <wp:wrapNone/>
                <wp:docPr id="151363274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615" cy="265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A8DA80" w14:textId="77777777" w:rsidR="00A8714E" w:rsidRPr="00EB79E4" w:rsidRDefault="00A8714E" w:rsidP="00A8714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B79E4">
                              <w:rPr>
                                <w:b/>
                                <w:bCs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71996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.1pt;margin-top:35.35pt;width:24.6pt;height:2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" fillcolor="white [3201]" stroked="f" strokeweight=".5pt">
                <v:textbox>
                  <w:txbxContent>
                    <w:p w14:paraId="33A8DA80" w14:textId="77777777" w:rsidR="00A8714E" w:rsidRPr="00EB79E4" w:rsidRDefault="00A8714E" w:rsidP="00A8714E">
                      <w:pPr>
                        <w:rPr>
                          <w:b/>
                          <w:bCs/>
                        </w:rPr>
                      </w:pPr>
                      <w:r w:rsidRPr="00EB79E4">
                        <w:rPr>
                          <w:b/>
                          <w:bCs/>
                        </w:rPr>
                        <w:t>A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725BA7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t xml:space="preserve">Hoechst dye accumulation in </w:t>
      </w: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</w:rPr>
        <w:t>E. coli</w:t>
      </w:r>
      <w:r w:rsidRPr="00725BA7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t xml:space="preserve"> clones harbouring MATE putative genes.</w:t>
      </w:r>
      <w:r w:rsidRPr="00693355">
        <w:rPr>
          <w:rFonts w:ascii="Calibri" w:hAnsi="Calibri" w:cs="Calibri"/>
          <w:noProof/>
        </w:rPr>
        <w:object w:dxaOrig="8388" w:dyaOrig="4248" w14:anchorId="087E17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84.75pt;height:193.5pt;mso-width-percent:0;mso-height-percent:0;mso-width-percent:0;mso-height-percent:0" o:ole="">
            <v:imagedata r:id="rId4" o:title=""/>
          </v:shape>
          <o:OLEObject Type="Embed" ProgID="Prism9.Document" ShapeID="_x0000_i1025" DrawAspect="Content" ObjectID="_1761774502" r:id="rId5"/>
        </w:object>
      </w:r>
    </w:p>
    <w:p w14:paraId="0B8DCC84" w14:textId="77777777" w:rsidR="00A8714E" w:rsidRPr="00725BA7" w:rsidRDefault="00A8714E" w:rsidP="00A8714E">
      <w:pPr>
        <w:spacing w:after="0" w:line="240" w:lineRule="auto"/>
        <w:jc w:val="both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725BA7">
        <w:rPr>
          <w:rFonts w:ascii="Calibri" w:hAnsi="Calibri" w:cs="Calibri"/>
          <w:b/>
          <w:bCs/>
          <w:i/>
          <w:iCs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08FF62" wp14:editId="563A1EE1">
                <wp:simplePos x="0" y="0"/>
                <wp:positionH relativeFrom="margin">
                  <wp:posOffset>-30675</wp:posOffset>
                </wp:positionH>
                <wp:positionV relativeFrom="paragraph">
                  <wp:posOffset>304800</wp:posOffset>
                </wp:positionV>
                <wp:extent cx="312615" cy="265723"/>
                <wp:effectExtent l="0" t="0" r="0" b="1270"/>
                <wp:wrapNone/>
                <wp:docPr id="166713356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615" cy="265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8C7A28" w14:textId="77777777" w:rsidR="00A8714E" w:rsidRPr="00EB79E4" w:rsidRDefault="00A8714E" w:rsidP="00A8714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8FF62" id="_x0000_s1027" type="#_x0000_t202" style="position:absolute;left:0;text-align:left;margin-left:-2.4pt;margin-top:24pt;width:24.6pt;height:20.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" fillcolor="white [3201]" stroked="f" strokeweight=".5pt">
                <v:textbox>
                  <w:txbxContent>
                    <w:p w14:paraId="118C7A28" w14:textId="77777777" w:rsidR="00A8714E" w:rsidRPr="00EB79E4" w:rsidRDefault="00A8714E" w:rsidP="00A8714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93355">
        <w:rPr>
          <w:rFonts w:ascii="Calibri" w:hAnsi="Calibri" w:cs="Calibri"/>
          <w:noProof/>
        </w:rPr>
        <w:object w:dxaOrig="9931" w:dyaOrig="6981" w14:anchorId="68698890">
          <v:shape id="_x0000_i1026" type="#_x0000_t75" alt="" style="width:408pt;height:4in;mso-width-percent:0;mso-height-percent:0;mso-width-percent:0;mso-height-percent:0" o:ole="">
            <v:imagedata r:id="rId6" o:title=""/>
          </v:shape>
          <o:OLEObject Type="Embed" ProgID="Prism9.Document" ShapeID="_x0000_i1026" DrawAspect="Content" ObjectID="_1761774503" r:id="rId7"/>
        </w:object>
      </w:r>
    </w:p>
    <w:p w14:paraId="59EBAE22" w14:textId="77777777" w:rsidR="00A8714E" w:rsidRPr="00725BA7" w:rsidRDefault="00A8714E" w:rsidP="00A8714E">
      <w:pPr>
        <w:spacing w:after="0" w:line="240" w:lineRule="auto"/>
        <w:jc w:val="both"/>
        <w:rPr>
          <w:rFonts w:ascii="Calibri" w:hAnsi="Calibri" w:cs="Calibri"/>
          <w:color w:val="000000" w:themeColor="text1"/>
          <w:sz w:val="24"/>
          <w:szCs w:val="24"/>
          <w:lang w:val="en-US"/>
        </w:rPr>
      </w:pP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</w:rPr>
        <w:t>FIG. S-1</w:t>
      </w: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  <w:lang w:val="en-US"/>
        </w:rPr>
        <w:t xml:space="preserve"> A. </w:t>
      </w:r>
      <w:r w:rsidRPr="00725BA7">
        <w:rPr>
          <w:rFonts w:ascii="Calibri" w:hAnsi="Calibri" w:cs="Calibri"/>
          <w:color w:val="000000" w:themeColor="text1"/>
          <w:sz w:val="24"/>
          <w:szCs w:val="24"/>
          <w:lang w:val="en-US"/>
        </w:rPr>
        <w:t xml:space="preserve">Low accumulation of Hoechst dye in </w:t>
      </w:r>
      <w:r w:rsidRPr="00725BA7">
        <w:rPr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  <w:t>E. coli</w:t>
      </w:r>
      <w:r w:rsidRPr="00725BA7">
        <w:rPr>
          <w:rFonts w:ascii="Calibri" w:hAnsi="Calibri" w:cs="Calibri"/>
          <w:color w:val="000000" w:themeColor="text1"/>
          <w:sz w:val="24"/>
          <w:szCs w:val="24"/>
          <w:lang w:val="en-US"/>
        </w:rPr>
        <w:t xml:space="preserve"> clones harboring MATE pump genes compared to BL21DE3 (control) over the 3 hours incubation time. </w:t>
      </w: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  <w:lang w:val="en-US"/>
        </w:rPr>
        <w:t>B.</w:t>
      </w:r>
      <w:r w:rsidRPr="00725BA7">
        <w:rPr>
          <w:rFonts w:ascii="Calibri" w:hAnsi="Calibri" w:cs="Calibri"/>
          <w:color w:val="000000" w:themeColor="text1"/>
          <w:sz w:val="24"/>
          <w:szCs w:val="24"/>
          <w:lang w:val="en-US"/>
        </w:rPr>
        <w:t xml:space="preserve"> The significant decrease in Hoechst dye accumulation in both MATE pump clones compared to BL21DE3 at 12, 60, 120 and 174 min.</w:t>
      </w:r>
    </w:p>
    <w:p w14:paraId="41842173" w14:textId="77777777" w:rsidR="00A8714E" w:rsidRPr="00725BA7" w:rsidRDefault="00A8714E" w:rsidP="00A8714E">
      <w:pPr>
        <w:spacing w:after="0" w:line="240" w:lineRule="auto"/>
        <w:jc w:val="both"/>
        <w:rPr>
          <w:rFonts w:ascii="Calibri" w:hAnsi="Calibri" w:cs="Calibri"/>
          <w:color w:val="000000" w:themeColor="text1"/>
          <w:sz w:val="24"/>
          <w:szCs w:val="24"/>
          <w:lang w:val="en-US"/>
        </w:rPr>
      </w:pPr>
      <w:r w:rsidRPr="00725BA7">
        <w:rPr>
          <w:rFonts w:ascii="Calibri" w:hAnsi="Calibri" w:cs="Calibri"/>
          <w:noProof/>
        </w:rPr>
        <w:lastRenderedPageBreak/>
        <w:drawing>
          <wp:inline distT="0" distB="0" distL="0" distR="0" wp14:anchorId="0EBF7422" wp14:editId="61D70062">
            <wp:extent cx="5731510" cy="2815389"/>
            <wp:effectExtent l="0" t="0" r="2540" b="4445"/>
            <wp:docPr id="1890311422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311422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723"/>
                    <a:stretch/>
                  </pic:blipFill>
                  <pic:spPr bwMode="auto">
                    <a:xfrm>
                      <a:off x="0" y="0"/>
                      <a:ext cx="5731510" cy="281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03FD1E" w14:textId="77777777" w:rsidR="00A8714E" w:rsidRDefault="00A8714E" w:rsidP="00A8714E">
      <w:pPr>
        <w:spacing w:after="0" w:line="24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</w:rPr>
        <w:t>FIG. S-2</w:t>
      </w:r>
      <w:r w:rsidRPr="00725BA7">
        <w:rPr>
          <w:rFonts w:ascii="Calibri" w:hAnsi="Calibri" w:cs="Calibri"/>
          <w:color w:val="000000" w:themeColor="text1"/>
          <w:sz w:val="24"/>
          <w:szCs w:val="24"/>
        </w:rPr>
        <w:t xml:space="preserve"> 2D interactions map of ciprofloxacin with </w:t>
      </w: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</w:rPr>
        <w:t>A</w:t>
      </w:r>
      <w:r w:rsidRPr="00725BA7">
        <w:rPr>
          <w:rFonts w:ascii="Calibri" w:hAnsi="Calibri" w:cs="Calibri"/>
          <w:color w:val="000000" w:themeColor="text1"/>
          <w:sz w:val="24"/>
          <w:szCs w:val="24"/>
        </w:rPr>
        <w:t xml:space="preserve">) MATE996 and </w:t>
      </w: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</w:rPr>
        <w:t>B</w:t>
      </w:r>
      <w:r w:rsidRPr="00725BA7">
        <w:rPr>
          <w:rFonts w:ascii="Calibri" w:hAnsi="Calibri" w:cs="Calibri"/>
          <w:color w:val="000000" w:themeColor="text1"/>
          <w:sz w:val="24"/>
          <w:szCs w:val="24"/>
        </w:rPr>
        <w:t>) MATE2898 transporter.</w:t>
      </w:r>
    </w:p>
    <w:p w14:paraId="05120E31" w14:textId="77777777" w:rsidR="00A8714E" w:rsidRPr="00725BA7" w:rsidRDefault="00A8714E" w:rsidP="00A8714E">
      <w:pPr>
        <w:spacing w:after="0" w:line="240" w:lineRule="auto"/>
        <w:jc w:val="both"/>
        <w:rPr>
          <w:rFonts w:ascii="Calibri" w:hAnsi="Calibri" w:cs="Calibri"/>
          <w:color w:val="000000" w:themeColor="text1"/>
          <w:sz w:val="24"/>
          <w:szCs w:val="24"/>
          <w:lang w:val="en-US"/>
        </w:rPr>
      </w:pPr>
    </w:p>
    <w:p w14:paraId="20B71A4F" w14:textId="77777777" w:rsidR="00A8714E" w:rsidRPr="00725BA7" w:rsidRDefault="00A8714E" w:rsidP="00A8714E">
      <w:pPr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  <w:lang w:val="en-US"/>
        </w:rPr>
      </w:pPr>
      <w:r w:rsidRPr="00725BA7">
        <w:rPr>
          <w:rFonts w:ascii="Calibri" w:hAnsi="Calibri" w:cs="Calibri"/>
          <w:b/>
          <w:bCs/>
          <w:color w:val="000000" w:themeColor="text1"/>
          <w:sz w:val="24"/>
          <w:szCs w:val="24"/>
          <w:lang w:val="en-US"/>
        </w:rPr>
        <w:t>MATERIALS AND METHODS</w:t>
      </w:r>
    </w:p>
    <w:p w14:paraId="2B791E7E" w14:textId="77777777" w:rsidR="00A8714E" w:rsidRDefault="00A8714E" w:rsidP="00A8714E">
      <w:pPr>
        <w:spacing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en-GB"/>
        </w:rPr>
      </w:pPr>
      <w:r w:rsidRPr="00725BA7">
        <w:rPr>
          <w:rFonts w:ascii="Calibri" w:hAnsi="Calibri" w:cs="Calibri"/>
          <w:b/>
          <w:bCs/>
          <w:sz w:val="24"/>
          <w:szCs w:val="24"/>
        </w:rPr>
        <w:t xml:space="preserve">MATE gene cloning in </w:t>
      </w:r>
      <w:r w:rsidRPr="00725BA7">
        <w:rPr>
          <w:rFonts w:ascii="Calibri" w:hAnsi="Calibri" w:cs="Calibri"/>
          <w:b/>
          <w:bCs/>
          <w:i/>
          <w:iCs/>
          <w:sz w:val="24"/>
          <w:szCs w:val="24"/>
        </w:rPr>
        <w:t xml:space="preserve">E. coli </w:t>
      </w:r>
      <w:r w:rsidRPr="00725BA7">
        <w:rPr>
          <w:rFonts w:ascii="Calibri" w:eastAsia="Times New Roman" w:hAnsi="Calibri" w:cs="Calibri"/>
          <w:b/>
          <w:bCs/>
          <w:sz w:val="24"/>
          <w:szCs w:val="24"/>
          <w:lang w:eastAsia="en-GB"/>
        </w:rPr>
        <w:t xml:space="preserve">BL21DE3 and culturing </w:t>
      </w:r>
    </w:p>
    <w:p w14:paraId="6093A0C9" w14:textId="77777777" w:rsidR="00A8714E" w:rsidRPr="00597EEF" w:rsidRDefault="00A8714E" w:rsidP="00A8714E">
      <w:pPr>
        <w:spacing w:line="240" w:lineRule="auto"/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725BA7">
        <w:rPr>
          <w:rFonts w:ascii="Calibri" w:eastAsia="Times New Roman" w:hAnsi="Calibri" w:cs="Calibri"/>
          <w:sz w:val="24"/>
          <w:szCs w:val="24"/>
          <w:lang w:eastAsia="en-GB"/>
        </w:rPr>
        <w:t xml:space="preserve">The gene construct containing putative MATE genes were synthesised by GenScript (Netherlands). </w:t>
      </w:r>
      <w:bookmarkStart w:id="0" w:name="_Hlk95684189"/>
      <w:r w:rsidRPr="00725BA7">
        <w:rPr>
          <w:rFonts w:ascii="Calibri" w:eastAsia="Times New Roman" w:hAnsi="Calibri" w:cs="Calibri"/>
          <w:sz w:val="24"/>
          <w:szCs w:val="24"/>
          <w:lang w:eastAsia="en-GB"/>
        </w:rPr>
        <w:t>Synthesised pET28a(+) plasmid containing each gene of the MATE efflux pumps was cloned using BamHI and HindIII restriction sites</w:t>
      </w:r>
      <w:bookmarkEnd w:id="0"/>
      <w:r w:rsidRPr="00725BA7">
        <w:rPr>
          <w:rFonts w:ascii="Calibri" w:eastAsia="Times New Roman" w:hAnsi="Calibri" w:cs="Calibri"/>
          <w:sz w:val="24"/>
          <w:szCs w:val="24"/>
          <w:lang w:eastAsia="en-GB"/>
        </w:rPr>
        <w:t xml:space="preserve">, which was used to transform BL21DE3 cells. </w:t>
      </w:r>
      <w:r w:rsidRPr="00725BA7">
        <w:rPr>
          <w:rFonts w:ascii="Calibri" w:hAnsi="Calibri" w:cs="Calibri"/>
          <w:sz w:val="24"/>
          <w:szCs w:val="24"/>
          <w:shd w:val="clear" w:color="auto" w:fill="FFFFFF"/>
        </w:rPr>
        <w:t>The transformation of BL</w:t>
      </w:r>
      <w:r w:rsidRPr="00725BA7">
        <w:rPr>
          <w:rFonts w:ascii="Calibri" w:eastAsia="Times New Roman" w:hAnsi="Calibri" w:cs="Calibri"/>
          <w:sz w:val="24"/>
          <w:szCs w:val="24"/>
          <w:lang w:eastAsia="en-GB"/>
        </w:rPr>
        <w:t>21DE3 was also performed by GenScript (Netherlands).</w:t>
      </w:r>
    </w:p>
    <w:p w14:paraId="1A8C3722" w14:textId="77777777" w:rsidR="00A8714E" w:rsidRDefault="00A8714E" w:rsidP="00A8714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Calibri" w:hAnsi="Calibri" w:cs="Calibri"/>
          <w:color w:val="000000"/>
          <w:sz w:val="24"/>
          <w:szCs w:val="24"/>
        </w:rPr>
      </w:pPr>
      <w:r w:rsidRPr="00725BA7">
        <w:rPr>
          <w:rFonts w:ascii="Calibri" w:hAnsi="Calibri" w:cs="Calibri"/>
          <w:color w:val="000000"/>
          <w:sz w:val="24"/>
          <w:szCs w:val="24"/>
        </w:rPr>
        <w:t xml:space="preserve">The two </w:t>
      </w:r>
      <w:r w:rsidRPr="00725BA7">
        <w:rPr>
          <w:rFonts w:ascii="Calibri" w:hAnsi="Calibri" w:cs="Calibri"/>
          <w:i/>
          <w:iCs/>
          <w:color w:val="000000"/>
          <w:sz w:val="24"/>
          <w:szCs w:val="24"/>
        </w:rPr>
        <w:t>E. coli</w:t>
      </w:r>
      <w:r w:rsidRPr="00725BA7">
        <w:rPr>
          <w:rFonts w:ascii="Calibri" w:hAnsi="Calibri" w:cs="Calibri"/>
          <w:color w:val="000000"/>
          <w:sz w:val="24"/>
          <w:szCs w:val="24"/>
        </w:rPr>
        <w:t xml:space="preserve"> clones and the control (</w:t>
      </w:r>
      <w:r>
        <w:rPr>
          <w:rFonts w:ascii="Calibri" w:hAnsi="Calibri" w:cs="Calibri"/>
          <w:color w:val="000000"/>
          <w:sz w:val="24"/>
          <w:szCs w:val="24"/>
        </w:rPr>
        <w:t>untransformed</w:t>
      </w:r>
      <w:r w:rsidRPr="00725BA7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725BA7">
        <w:rPr>
          <w:rFonts w:ascii="Calibri" w:hAnsi="Calibri" w:cs="Calibri"/>
          <w:i/>
          <w:iCs/>
          <w:sz w:val="24"/>
          <w:szCs w:val="24"/>
        </w:rPr>
        <w:t xml:space="preserve">E. coli </w:t>
      </w:r>
      <w:r w:rsidRPr="00725BA7">
        <w:rPr>
          <w:rFonts w:ascii="Calibri" w:eastAsia="Times New Roman" w:hAnsi="Calibri" w:cs="Calibri"/>
          <w:sz w:val="24"/>
          <w:szCs w:val="24"/>
          <w:lang w:eastAsia="en-GB"/>
        </w:rPr>
        <w:t xml:space="preserve">BL21DE3) </w:t>
      </w:r>
      <w:r w:rsidRPr="00725BA7">
        <w:rPr>
          <w:rFonts w:ascii="Calibri" w:hAnsi="Calibri" w:cs="Calibri"/>
          <w:color w:val="000000"/>
          <w:sz w:val="24"/>
          <w:szCs w:val="24"/>
        </w:rPr>
        <w:t>were cultured from frozen stock in lysogeny broth (LB) medium containing 50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725BA7">
        <w:rPr>
          <w:rFonts w:ascii="Calibri" w:hAnsi="Calibri" w:cs="Calibri"/>
          <w:color w:val="000000"/>
          <w:sz w:val="24"/>
          <w:szCs w:val="24"/>
        </w:rPr>
        <w:t xml:space="preserve">µg/mL kanamycin and incubated at </w:t>
      </w:r>
      <w:r w:rsidRPr="00725BA7">
        <w:rPr>
          <w:rFonts w:ascii="Calibri" w:hAnsi="Calibri" w:cs="Calibri"/>
          <w:sz w:val="24"/>
          <w:szCs w:val="24"/>
        </w:rPr>
        <w:t>37°</w:t>
      </w:r>
      <w:r w:rsidRPr="00725BA7">
        <w:rPr>
          <w:rFonts w:ascii="Calibri" w:hAnsi="Calibri" w:cs="Calibri"/>
          <w:color w:val="000000"/>
          <w:sz w:val="24"/>
          <w:szCs w:val="24"/>
        </w:rPr>
        <w:t>C overnight. 1 mL of each culture was re-inoculated in 100 mL kanamycin-supplemented LB medium to mid-exponential phase (OD</w:t>
      </w:r>
      <w:r w:rsidRPr="00725BA7">
        <w:rPr>
          <w:rFonts w:ascii="Calibri" w:hAnsi="Calibri" w:cs="Calibri"/>
          <w:color w:val="000000"/>
          <w:sz w:val="24"/>
          <w:szCs w:val="24"/>
          <w:vertAlign w:val="subscript"/>
        </w:rPr>
        <w:t>580</w:t>
      </w:r>
      <w:r w:rsidRPr="00725BA7">
        <w:rPr>
          <w:rFonts w:ascii="Calibri" w:hAnsi="Calibri" w:cs="Calibri"/>
          <w:color w:val="000000"/>
          <w:sz w:val="24"/>
          <w:szCs w:val="24"/>
        </w:rPr>
        <w:t xml:space="preserve"> of 0.4-0.6). Gene expression was induced with 0.8 mM</w:t>
      </w:r>
      <w:r w:rsidRPr="00725BA7">
        <w:rPr>
          <w:rFonts w:ascii="Calibri" w:hAnsi="Calibri" w:cs="Calibri"/>
          <w:color w:val="202124"/>
          <w:sz w:val="24"/>
          <w:szCs w:val="24"/>
          <w:shd w:val="clear" w:color="auto" w:fill="FFFFFF"/>
        </w:rPr>
        <w:t xml:space="preserve"> Isopropyl β-D-1-thiogalactopyranoside</w:t>
      </w:r>
      <w:r w:rsidRPr="00725BA7">
        <w:rPr>
          <w:rFonts w:ascii="Calibri" w:hAnsi="Calibri" w:cs="Calibri"/>
          <w:color w:val="000000"/>
          <w:sz w:val="24"/>
          <w:szCs w:val="24"/>
        </w:rPr>
        <w:t xml:space="preserve"> at room temperature overnight.</w:t>
      </w:r>
    </w:p>
    <w:p w14:paraId="102BCD59" w14:textId="77777777" w:rsidR="00A8714E" w:rsidRPr="00FB5956" w:rsidRDefault="00A8714E" w:rsidP="00A8714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699F53E1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14E"/>
    <w:rsid w:val="003F1652"/>
    <w:rsid w:val="00A8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F242B"/>
  <w15:chartTrackingRefBased/>
  <w15:docId w15:val="{C724D937-BDB7-4D32-8F4D-33BD969C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14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8714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1184</Characters>
  <Application>Microsoft Office Word</Application>
  <DocSecurity>0</DocSecurity>
  <Lines>9</Lines>
  <Paragraphs>2</Paragraphs>
  <ScaleCrop>false</ScaleCrop>
  <Company>Springer Nature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2023-11-17T19:32:00Z</dcterms:created>
  <dcterms:modified xsi:type="dcterms:W3CDTF">2023-11-17T19:32:00Z</dcterms:modified>
</cp:coreProperties>
</file>