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Times New Roman"/>
          <w:b/>
          <w:sz w:val="20"/>
          <w:szCs w:val="20"/>
          <w:lang w:eastAsia="en-GB"/>
        </w:rPr>
      </w:pPr>
      <w:bookmarkStart w:id="5" w:name="_GoBack"/>
      <w:bookmarkEnd w:id="5"/>
      <w:r>
        <w:rPr>
          <w:rFonts w:eastAsia="Times New Roman"/>
          <w:b/>
          <w:sz w:val="20"/>
          <w:szCs w:val="20"/>
          <w:lang w:eastAsia="en-GB"/>
        </w:rPr>
        <w:t>STROBE-MR checklist of recommended items to address in reports of Mendelian randomization studies</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1</w:t>
      </w:r>
      <w:r>
        <w:rPr>
          <w:rFonts w:eastAsia="Times New Roman"/>
          <w:b/>
          <w:sz w:val="20"/>
          <w:szCs w:val="20"/>
          <w:lang w:eastAsia="en-GB"/>
        </w:rPr>
        <w:fldChar w:fldCharType="end"/>
      </w:r>
      <w:r>
        <w:rPr>
          <w:rFonts w:eastAsia="Times New Roman"/>
          <w:b/>
          <w:sz w:val="20"/>
          <w:szCs w:val="20"/>
          <w:lang w:eastAsia="en-GB"/>
        </w:rPr>
        <w:t xml:space="preserve"> </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2</w:t>
      </w:r>
      <w:r>
        <w:rPr>
          <w:rFonts w:eastAsia="Times New Roman"/>
          <w:b/>
          <w:sz w:val="20"/>
          <w:szCs w:val="20"/>
          <w:lang w:eastAsia="en-GB"/>
        </w:rPr>
        <w:fldChar w:fldCharType="end"/>
      </w:r>
      <w:r>
        <w:rPr>
          <w:rFonts w:eastAsia="Times New Roman"/>
          <w:b/>
          <w:sz w:val="20"/>
          <w:szCs w:val="20"/>
          <w:lang w:eastAsia="en-GB"/>
        </w:rPr>
        <w:t> </w:t>
      </w:r>
    </w:p>
    <w:p>
      <w:pPr>
        <w:rPr>
          <w:rFonts w:eastAsia="Times New Roman"/>
          <w:b/>
          <w:sz w:val="20"/>
          <w:szCs w:val="20"/>
          <w:lang w:eastAsia="en-GB"/>
        </w:rPr>
      </w:pPr>
    </w:p>
    <w:tbl>
      <w:tblPr>
        <w:tblStyle w:val="3"/>
        <w:tblW w:w="14490" w:type="dxa"/>
        <w:tblInd w:w="0" w:type="dxa"/>
        <w:tblLayout w:type="autofit"/>
        <w:tblCellMar>
          <w:top w:w="0" w:type="dxa"/>
          <w:left w:w="108" w:type="dxa"/>
          <w:bottom w:w="0" w:type="dxa"/>
          <w:right w:w="108" w:type="dxa"/>
        </w:tblCellMar>
      </w:tblPr>
      <w:tblGrid>
        <w:gridCol w:w="587"/>
        <w:gridCol w:w="1814"/>
        <w:gridCol w:w="6676"/>
        <w:gridCol w:w="1167"/>
        <w:gridCol w:w="4246"/>
      </w:tblGrid>
      <w:tr>
        <w:tblPrEx>
          <w:tblCellMar>
            <w:top w:w="0" w:type="dxa"/>
            <w:left w:w="108" w:type="dxa"/>
            <w:bottom w:w="0" w:type="dxa"/>
            <w:right w:w="108" w:type="dxa"/>
          </w:tblCellMar>
        </w:tblPrEx>
        <w:tc>
          <w:tcPr>
            <w:tcW w:w="587"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Item No.</w:t>
            </w:r>
          </w:p>
        </w:tc>
        <w:tc>
          <w:tcPr>
            <w:tcW w:w="1822"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Section</w:t>
            </w:r>
          </w:p>
        </w:tc>
        <w:tc>
          <w:tcPr>
            <w:tcW w:w="7041"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 xml:space="preserve">Checklist item </w:t>
            </w:r>
          </w:p>
        </w:tc>
        <w:tc>
          <w:tcPr>
            <w:tcW w:w="720" w:type="dxa"/>
            <w:tcBorders>
              <w:top w:val="single" w:color="auto" w:sz="4" w:space="0"/>
              <w:bottom w:val="single" w:color="7F7F7F" w:sz="6" w:space="0"/>
            </w:tcBorders>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color="auto" w:sz="4" w:space="0"/>
              <w:bottom w:val="single" w:color="7F7F7F" w:sz="6" w:space="0"/>
            </w:tcBorders>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Relevant text from manuscript</w:t>
            </w:r>
          </w:p>
        </w:tc>
      </w:tr>
      <w:tr>
        <w:tblPrEx>
          <w:tblCellMar>
            <w:top w:w="0" w:type="dxa"/>
            <w:left w:w="108" w:type="dxa"/>
            <w:bottom w:w="0" w:type="dxa"/>
            <w:right w:w="108" w:type="dxa"/>
          </w:tblCellMar>
        </w:tblPrEx>
        <w:tc>
          <w:tcPr>
            <w:tcW w:w="587" w:type="dxa"/>
            <w:tcBorders>
              <w:top w:val="single" w:color="7F7F7F" w:sz="6" w:space="0"/>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w:t>
            </w:r>
          </w:p>
        </w:tc>
        <w:tc>
          <w:tcPr>
            <w:tcW w:w="1822" w:type="dxa"/>
            <w:tcBorders>
              <w:top w:val="single" w:color="7F7F7F" w:sz="6" w:space="0"/>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TITLE and ABSTRACT</w:t>
            </w:r>
          </w:p>
        </w:tc>
        <w:tc>
          <w:tcPr>
            <w:tcW w:w="7041" w:type="dxa"/>
            <w:tcBorders>
              <w:top w:val="single" w:color="7F7F7F" w:sz="6" w:space="0"/>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Indicate Mendelian randomization (MR) as the study’s design in the title and/or the abstract if that is a main purpose of the study</w:t>
            </w:r>
          </w:p>
        </w:tc>
        <w:tc>
          <w:tcPr>
            <w:tcW w:w="720" w:type="dxa"/>
            <w:tcBorders>
              <w:top w:val="single" w:color="7F7F7F" w:sz="6" w:space="0"/>
              <w:bottom w:val="single" w:color="7F7F7F" w:sz="6" w:space="0"/>
            </w:tcBorders>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2,3,4</w:t>
            </w:r>
          </w:p>
        </w:tc>
        <w:tc>
          <w:tcPr>
            <w:tcW w:w="4320" w:type="dxa"/>
            <w:tcBorders>
              <w:top w:val="single" w:color="7F7F7F" w:sz="6" w:space="0"/>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Telomere length and the risk of infertility: A Mendelian randomization study</w:t>
            </w: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INTRODUCTION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5 - 8</w:t>
            </w:r>
          </w:p>
        </w:tc>
        <w:tc>
          <w:tcPr>
            <w:tcW w:w="432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Background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the scientific background and rationale for the reported study. What is the exposure? Is a potential causal relationship between exposure and outcome plausible? Justify why MR is a helpful method to address the study question</w:t>
            </w:r>
          </w:p>
        </w:tc>
        <w:tc>
          <w:tcPr>
            <w:tcW w:w="72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5,6,7</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Therefore, telomere shortening is associated with various age-related diseases and conditions, while the intricate interrelation between telomeres and infertility has been a hot topic of scientific research in recent years</w:t>
            </w:r>
          </w:p>
        </w:tc>
      </w:tr>
      <w:tr>
        <w:tblPrEx>
          <w:tblCellMar>
            <w:top w:w="0" w:type="dxa"/>
            <w:left w:w="108" w:type="dxa"/>
            <w:bottom w:w="0" w:type="dxa"/>
            <w:right w:w="108" w:type="dxa"/>
          </w:tblCellMar>
        </w:tblPrEx>
        <w:tc>
          <w:tcPr>
            <w:tcW w:w="587" w:type="dxa"/>
            <w:tcBorders>
              <w:bottom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3</w:t>
            </w:r>
          </w:p>
        </w:tc>
        <w:tc>
          <w:tcPr>
            <w:tcW w:w="1822" w:type="dxa"/>
            <w:tcBorders>
              <w:bottom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Objectives</w:t>
            </w:r>
          </w:p>
        </w:tc>
        <w:tc>
          <w:tcPr>
            <w:tcW w:w="7041" w:type="dxa"/>
            <w:tcBorders>
              <w:bottom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color="7F7F7F" w:sz="6" w:space="0"/>
            </w:tcBorders>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7,8</w:t>
            </w:r>
          </w:p>
        </w:tc>
        <w:tc>
          <w:tcPr>
            <w:tcW w:w="4320" w:type="dxa"/>
            <w:tcBorders>
              <w:bottom w:val="single" w:color="7F7F7F" w:sz="6" w:space="0"/>
            </w:tcBorders>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 Mendelian randomization (MR) analysis is an instrumental variable method that uses the single-nucleotide polymorphisms (SNPs) as an instrument variables (IV) to deduce the underlying interconnection between two traits and has the advantage of minimizing bias due to confounders </w:t>
            </w:r>
          </w:p>
        </w:tc>
      </w:tr>
      <w:tr>
        <w:tblPrEx>
          <w:tblCellMar>
            <w:top w:w="0" w:type="dxa"/>
            <w:left w:w="108" w:type="dxa"/>
            <w:bottom w:w="0" w:type="dxa"/>
            <w:right w:w="108" w:type="dxa"/>
          </w:tblCellMar>
        </w:tblPrEx>
        <w:tc>
          <w:tcPr>
            <w:tcW w:w="587" w:type="dxa"/>
            <w:tcBorders>
              <w:top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METHODS</w:t>
            </w:r>
          </w:p>
        </w:tc>
        <w:tc>
          <w:tcPr>
            <w:tcW w:w="7041"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9</w:t>
            </w:r>
            <w:bookmarkStart w:id="0" w:name="OLE_LINK1"/>
            <w:r>
              <w:rPr>
                <w:rFonts w:hint="eastAsia" w:eastAsia="宋体"/>
                <w:sz w:val="18"/>
                <w:szCs w:val="18"/>
                <w:lang w:val="en-US" w:eastAsia="zh-CN"/>
              </w:rPr>
              <w:t xml:space="preserve"> - </w:t>
            </w:r>
            <w:bookmarkEnd w:id="0"/>
            <w:r>
              <w:rPr>
                <w:rFonts w:hint="eastAsia" w:eastAsia="宋体"/>
                <w:sz w:val="18"/>
                <w:szCs w:val="18"/>
                <w:lang w:val="en-US" w:eastAsia="zh-CN"/>
              </w:rPr>
              <w:t>13</w:t>
            </w:r>
          </w:p>
        </w:tc>
        <w:tc>
          <w:tcPr>
            <w:tcW w:w="4320"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4</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Study design and data sources</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9</w:t>
            </w:r>
          </w:p>
        </w:tc>
        <w:tc>
          <w:tcPr>
            <w:tcW w:w="4320"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shd w:val="clear" w:color="auto" w:fill="FFFFFF"/>
                <w:lang w:val="en-GB" w:eastAsia="en-GB"/>
              </w:rPr>
              <w:t xml:space="preserve">Setting: </w:t>
            </w:r>
            <w:r>
              <w:rPr>
                <w:rFonts w:eastAsia="Times New Roman"/>
                <w:sz w:val="18"/>
                <w:szCs w:val="18"/>
                <w:lang w:val="en-GB" w:eastAsia="en-GB"/>
              </w:rPr>
              <w:t xml:space="preserve">Describe the study design and the underlying population, if possible. </w:t>
            </w:r>
            <w:r>
              <w:rPr>
                <w:rFonts w:eastAsia="Times New Roman"/>
                <w:sz w:val="18"/>
                <w:szCs w:val="18"/>
                <w:shd w:val="clear" w:color="auto" w:fill="FFFFFF"/>
                <w:lang w:val="en-GB" w:eastAsia="en-GB"/>
              </w:rPr>
              <w:t xml:space="preserve">Describe the setting, locations, and relevant dates, including periods </w:t>
            </w:r>
            <w:r>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pPr>
              <w:spacing w:before="96" w:beforeLines="40" w:after="96" w:afterLines="40" w:line="24" w:lineRule="atLeast"/>
              <w:rPr>
                <w:rFonts w:eastAsia="Times New Roman"/>
                <w:sz w:val="18"/>
                <w:szCs w:val="18"/>
                <w:shd w:val="clear" w:color="auto" w:fill="FFFFFF"/>
                <w:lang w:val="en-GB" w:eastAsia="en-GB"/>
              </w:rPr>
            </w:pPr>
          </w:p>
        </w:tc>
        <w:tc>
          <w:tcPr>
            <w:tcW w:w="4320" w:type="dxa"/>
            <w:shd w:val="clear" w:color="auto" w:fill="EEEEEE"/>
          </w:tcPr>
          <w:p>
            <w:pPr>
              <w:spacing w:before="96" w:beforeLines="40" w:after="96" w:afterLines="40" w:line="24" w:lineRule="atLeast"/>
              <w:rPr>
                <w:rFonts w:eastAsia="Times New Roman"/>
                <w:sz w:val="18"/>
                <w:szCs w:val="18"/>
                <w:shd w:val="clear" w:color="auto" w:fill="FFFFFF"/>
                <w:lang w:val="en-GB" w:eastAsia="en-GB"/>
              </w:rPr>
            </w:pPr>
            <w:r>
              <w:rPr>
                <w:rFonts w:hint="eastAsia" w:eastAsia="Times New Roman"/>
                <w:sz w:val="18"/>
                <w:szCs w:val="18"/>
                <w:lang w:val="en-GB" w:eastAsia="en-GB"/>
              </w:rPr>
              <w:t>Our research considered TL as the exposure and infertility as the outcome. Subsequently, this study categorized infertility type into four subgroups based on gender and etiology</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 xml:space="preserve">Participants: Give the eligibility criteria, and the sources and methods of selection of participants. </w:t>
            </w:r>
            <w:r>
              <w:rPr>
                <w:rFonts w:eastAsia="Times New Roman"/>
                <w:color w:val="000000"/>
                <w:sz w:val="18"/>
                <w:szCs w:val="18"/>
              </w:rPr>
              <w:t>Report the sample size, and whether any power or sample size calculations were carried out prior to the main analysis</w:t>
            </w:r>
            <w:r>
              <w:rPr>
                <w:rFonts w:eastAsia="Times New Roman"/>
                <w:sz w:val="18"/>
                <w:szCs w:val="18"/>
                <w:lang w:val="en-GB" w:eastAsia="en-GB"/>
              </w:rPr>
              <w:t> </w:t>
            </w:r>
          </w:p>
        </w:tc>
        <w:tc>
          <w:tcPr>
            <w:tcW w:w="720" w:type="dxa"/>
          </w:tcPr>
          <w:p>
            <w:pPr>
              <w:spacing w:before="96" w:beforeLines="40" w:after="96" w:afterLines="40" w:line="24" w:lineRule="atLeast"/>
              <w:textAlignment w:val="baseline"/>
              <w:rPr>
                <w:rFonts w:hint="default" w:eastAsia="宋体"/>
                <w:sz w:val="18"/>
                <w:szCs w:val="18"/>
                <w:shd w:val="clear" w:color="auto" w:fill="FFFFFF"/>
                <w:lang w:val="en-US" w:eastAsia="zh-CN"/>
              </w:rPr>
            </w:pPr>
            <w:r>
              <w:rPr>
                <w:rFonts w:hint="eastAsia" w:eastAsia="宋体"/>
                <w:sz w:val="18"/>
                <w:szCs w:val="18"/>
                <w:shd w:val="clear" w:color="auto" w:fill="FFFFFF"/>
                <w:lang w:val="en-US" w:eastAsia="zh-CN"/>
              </w:rPr>
              <w:t>9,10</w:t>
            </w:r>
          </w:p>
        </w:tc>
        <w:tc>
          <w:tcPr>
            <w:tcW w:w="4320" w:type="dxa"/>
          </w:tcPr>
          <w:p>
            <w:pPr>
              <w:spacing w:before="96" w:beforeLines="40" w:after="96" w:afterLines="40" w:line="24" w:lineRule="atLeast"/>
              <w:textAlignment w:val="baseline"/>
              <w:rPr>
                <w:rFonts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The exposure dataset for TL was obtained from the Open GWAS repository (https://gwas.mrcieu.ac.uk/datasets/), involving 472,174 participants (216,187 males and 255,987 females, age 56.1±7.9).</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measurement, quality control and selection of genetic variants</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pPr>
              <w:spacing w:before="96" w:beforeLines="40" w:after="96" w:afterLines="40" w:line="24" w:lineRule="atLeast"/>
              <w:textAlignment w:val="baseline"/>
              <w:rPr>
                <w:rFonts w:hint="default" w:eastAsia="宋体"/>
                <w:sz w:val="18"/>
                <w:szCs w:val="18"/>
                <w:shd w:val="clear" w:color="auto" w:fill="FFFFFF"/>
                <w:lang w:val="en-US" w:eastAsia="zh-CN"/>
              </w:rPr>
            </w:pPr>
            <w:r>
              <w:rPr>
                <w:rFonts w:hint="eastAsia" w:eastAsia="宋体"/>
                <w:sz w:val="18"/>
                <w:szCs w:val="18"/>
                <w:shd w:val="clear" w:color="auto" w:fill="FFFFFF"/>
                <w:lang w:val="en-US" w:eastAsia="zh-CN"/>
              </w:rPr>
              <w:t>10</w:t>
            </w:r>
          </w:p>
        </w:tc>
        <w:tc>
          <w:tcPr>
            <w:tcW w:w="4320" w:type="dxa"/>
          </w:tcPr>
          <w:p>
            <w:pPr>
              <w:spacing w:before="96" w:beforeLines="40" w:after="96" w:afterLines="40" w:line="24" w:lineRule="atLeast"/>
              <w:textAlignment w:val="baseline"/>
              <w:rPr>
                <w:rFonts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 xml:space="preserve">SNPs exhibiting significant genome-wide correlation with exposures or outcome (P-value &lt; 5×10–8) were chosen as IVs. These SNPs were pruned (linkage disequilibrium R2 = 0.01, &gt;10,000kb) to ensure statistical independence. </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EEEEEE"/>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pPr>
              <w:spacing w:before="96" w:beforeLines="40" w:after="96" w:afterLines="40" w:line="24" w:lineRule="atLeast"/>
              <w:textAlignment w:val="baseline"/>
              <w:rPr>
                <w:rFonts w:hint="default" w:eastAsia="宋体"/>
                <w:sz w:val="18"/>
                <w:szCs w:val="18"/>
                <w:shd w:val="clear" w:color="auto" w:fill="FFFFFF"/>
                <w:lang w:val="en-US" w:eastAsia="zh-CN"/>
              </w:rPr>
            </w:pPr>
            <w:r>
              <w:rPr>
                <w:rFonts w:hint="eastAsia" w:eastAsia="宋体"/>
                <w:sz w:val="18"/>
                <w:szCs w:val="18"/>
                <w:shd w:val="clear" w:color="auto" w:fill="FFFFFF"/>
                <w:lang w:val="en-US" w:eastAsia="zh-CN"/>
              </w:rPr>
              <w:t>10</w:t>
            </w:r>
          </w:p>
        </w:tc>
        <w:tc>
          <w:tcPr>
            <w:tcW w:w="4320" w:type="dxa"/>
            <w:shd w:val="clear" w:color="auto" w:fill="EEEEEE"/>
          </w:tcPr>
          <w:p>
            <w:pPr>
              <w:spacing w:before="96" w:beforeLines="40" w:after="96" w:afterLines="40" w:line="24" w:lineRule="atLeast"/>
              <w:textAlignment w:val="baseline"/>
              <w:rPr>
                <w:rFonts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The relevant ethics board authorized the initial GWAS, and all data from participants adhered to the principle of informed consent.</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5</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Assumptions</w:t>
            </w:r>
          </w:p>
          <w:p>
            <w:pPr>
              <w:spacing w:before="96" w:beforeLines="40" w:after="96" w:afterLines="40" w:line="24" w:lineRule="atLeast"/>
              <w:jc w:val="center"/>
              <w:rPr>
                <w:rFonts w:eastAsia="Cambria"/>
                <w:sz w:val="18"/>
                <w:szCs w:val="18"/>
                <w:lang w:val="en-GB" w:eastAsia="en-US"/>
              </w:rPr>
            </w:pP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9</w:t>
            </w:r>
          </w:p>
        </w:tc>
        <w:tc>
          <w:tcPr>
            <w:tcW w:w="4320"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IVs should satisfy three assumptions : (1) Assumption 1:IVs are significantly associated with exposure; (2) Assumption 2:There is no connection between IVs and confounding factors; (3) Assumption 3:IVs exert effects on the outcomes only through the exposure </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6</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Statistical methods: main analysis</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statistical methods and statistics used</w:t>
            </w:r>
          </w:p>
        </w:tc>
        <w:tc>
          <w:tcPr>
            <w:tcW w:w="72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10 - 13</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quantitative variables were handled in the analyses (i.e., scale, units, model)</w:t>
            </w:r>
          </w:p>
        </w:tc>
        <w:tc>
          <w:tcPr>
            <w:tcW w:w="720"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10</w:t>
            </w:r>
          </w:p>
        </w:tc>
        <w:tc>
          <w:tcPr>
            <w:tcW w:w="4320"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SNPs exhibiting significant genome-wide correlation with exposures or outcome (P-value &lt; 5×10–8) were chosen as IVs. </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10</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Moreover, we used mean F-statistic to estimate the strength of instrument and excluded SNPs with F-statistic &lt; 10. </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w:t>
            </w:r>
          </w:p>
        </w:tc>
        <w:tc>
          <w:tcPr>
            <w:tcW w:w="4320" w:type="dxa"/>
          </w:tcPr>
          <w:p>
            <w:pPr>
              <w:spacing w:before="96" w:beforeLines="40" w:after="96" w:afterLines="40" w:line="24" w:lineRule="atLeast"/>
              <w:rPr>
                <w:rFonts w:eastAsia="Times New Roman"/>
                <w:sz w:val="18"/>
                <w:szCs w:val="18"/>
                <w:lang w:val="en-GB" w:eastAsia="en-GB"/>
              </w:rPr>
            </w:pPr>
            <w:bookmarkStart w:id="1" w:name="OLE_LINK2"/>
            <w:r>
              <w:rPr>
                <w:rFonts w:hint="eastAsia" w:eastAsia="Times New Roman"/>
                <w:sz w:val="18"/>
                <w:szCs w:val="18"/>
                <w:lang w:val="en-GB" w:eastAsia="en-GB"/>
              </w:rPr>
              <w:t>Unrelated to this article.</w:t>
            </w:r>
            <w:bookmarkEnd w:id="1"/>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how missing data were addressed</w:t>
            </w:r>
          </w:p>
        </w:tc>
        <w:tc>
          <w:tcPr>
            <w:tcW w:w="72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10</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Unavailable SNPs were replaced by surrogates at linkage disequilibrium R2 &gt; 0.80 in LDlink (https://ldlink.nih.gov/).</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applicable, indicate how multiple testing was addressed</w:t>
            </w:r>
          </w:p>
        </w:tc>
        <w:tc>
          <w:tcPr>
            <w:tcW w:w="720"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11</w:t>
            </w:r>
          </w:p>
        </w:tc>
        <w:tc>
          <w:tcPr>
            <w:tcW w:w="4320"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Our study conducted MR analysis of exposure data and outcome variables by using a variety of statistical methods, including inverse variance weighted (IVW), MR-Egger, and weighted median (WM) to estimate causal relationships between TL and different infertility groups. </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7</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pPr>
              <w:tabs>
                <w:tab w:val="left" w:pos="162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methods or prior knowledge used to assess the assumptions or justify their validity</w:t>
            </w:r>
            <w:r>
              <w:rPr>
                <w:rFonts w:eastAsia="Cambria"/>
                <w:sz w:val="18"/>
                <w:szCs w:val="18"/>
                <w:lang w:val="en-GB" w:eastAsia="en-US"/>
              </w:rPr>
              <w:tab/>
            </w:r>
          </w:p>
        </w:tc>
        <w:tc>
          <w:tcPr>
            <w:tcW w:w="720" w:type="dxa"/>
            <w:shd w:val="clear" w:color="auto" w:fill="EEEEEE"/>
          </w:tcPr>
          <w:p>
            <w:pPr>
              <w:tabs>
                <w:tab w:val="left" w:pos="1620"/>
              </w:tabs>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11</w:t>
            </w:r>
          </w:p>
        </w:tc>
        <w:tc>
          <w:tcPr>
            <w:tcW w:w="4320" w:type="dxa"/>
            <w:shd w:val="clear" w:color="auto" w:fill="EEEEEE"/>
          </w:tcPr>
          <w:p>
            <w:pPr>
              <w:tabs>
                <w:tab w:val="left" w:pos="1620"/>
              </w:tabs>
              <w:spacing w:before="96" w:beforeLines="40" w:after="96" w:afterLines="40" w:line="24" w:lineRule="atLeast"/>
              <w:rPr>
                <w:rFonts w:eastAsia="Times New Roman"/>
                <w:sz w:val="18"/>
                <w:szCs w:val="18"/>
                <w:lang w:val="en-GB" w:eastAsia="en-GB"/>
              </w:rPr>
            </w:pPr>
            <w:r>
              <w:rPr>
                <w:rFonts w:hint="eastAsia" w:ascii="Times New Roman" w:hAnsi="Times New Roman" w:cs="Times New Roman"/>
                <w:sz w:val="32"/>
                <w:szCs w:val="32"/>
                <w:highlight w:val="none"/>
              </w:rPr>
              <w:t xml:space="preserve"> </w:t>
            </w:r>
            <w:r>
              <w:rPr>
                <w:rFonts w:hint="eastAsia" w:ascii="Arial" w:hAnsi="Arial" w:eastAsia="Times New Roman" w:cs="Arial"/>
                <w:sz w:val="18"/>
                <w:szCs w:val="18"/>
                <w:lang w:val="en-GB" w:eastAsia="en-GB"/>
              </w:rPr>
              <w:t xml:space="preserve">We used inverse variance weighted (IVW) analysis as our primary mode of statistical method to estimate the potential associations between TL and infertility. </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8</w:t>
            </w:r>
          </w:p>
        </w:tc>
        <w:tc>
          <w:tcPr>
            <w:tcW w:w="1822" w:type="dxa"/>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Sensitivity analyses and additional analyses</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12</w:t>
            </w:r>
          </w:p>
        </w:tc>
        <w:tc>
          <w:tcPr>
            <w:tcW w:w="4320"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We employed a series of methods for sensitivity analysis to assess the reliability of the results, including heterogeneity test, horizontal multiplicity test, single mode analysis, and leave-one-out analysis. </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9</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Software and pre-registration</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12</w:t>
            </w:r>
          </w:p>
        </w:tc>
        <w:tc>
          <w:tcPr>
            <w:tcW w:w="4320"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Name statistical software and package(s), including version and settings used </w:t>
            </w:r>
          </w:p>
        </w:tc>
        <w:tc>
          <w:tcPr>
            <w:tcW w:w="720"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12</w:t>
            </w:r>
          </w:p>
        </w:tc>
        <w:tc>
          <w:tcPr>
            <w:tcW w:w="4320"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 </w:t>
            </w:r>
            <w:r>
              <w:rPr>
                <w:rFonts w:hint="eastAsia" w:eastAsia="宋体"/>
                <w:sz w:val="18"/>
                <w:szCs w:val="18"/>
                <w:lang w:val="en-US" w:eastAsia="zh-CN"/>
              </w:rPr>
              <w:t xml:space="preserve">R </w:t>
            </w:r>
            <w:r>
              <w:rPr>
                <w:rFonts w:hint="eastAsia" w:eastAsia="Times New Roman"/>
                <w:sz w:val="18"/>
                <w:szCs w:val="18"/>
                <w:lang w:val="en-GB" w:eastAsia="en-GB"/>
              </w:rPr>
              <w:t>software(version 4.2.2)</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tcBorders>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whether the study protocol and details were pre-registered (as well as when and where)</w:t>
            </w:r>
          </w:p>
        </w:tc>
        <w:tc>
          <w:tcPr>
            <w:tcW w:w="720" w:type="dxa"/>
            <w:tcBorders>
              <w:bottom w:val="single" w:color="7F7F7F" w:sz="6" w:space="0"/>
            </w:tcBorders>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10</w:t>
            </w:r>
          </w:p>
        </w:tc>
        <w:tc>
          <w:tcPr>
            <w:tcW w:w="43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The summary outcome data on infertility were gained from FinnGen Consortium R6 release</w:t>
            </w: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RESULTS</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14 - 16</w:t>
            </w:r>
          </w:p>
        </w:tc>
        <w:tc>
          <w:tcPr>
            <w:tcW w:w="432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10</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Descriptive data</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sz w:val="18"/>
                <w:szCs w:val="18"/>
                <w:lang w:val="en-GB" w:eastAsia="en-US"/>
              </w:rPr>
            </w:pPr>
          </w:p>
        </w:tc>
        <w:tc>
          <w:tcPr>
            <w:tcW w:w="4320"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numbers of individuals at each stage of included studies and reasons for exclusion. Consider use of a flow diagram</w:t>
            </w:r>
          </w:p>
        </w:tc>
        <w:tc>
          <w:tcPr>
            <w:tcW w:w="720"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14</w:t>
            </w:r>
          </w:p>
        </w:tc>
        <w:tc>
          <w:tcPr>
            <w:tcW w:w="4320"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We removed SNPs associated with confounding factors and outcomes, as well as SNPs with incompatible alleles and repeating intermediate allele frequencies. </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summary statistics for phenotypic exposure(s), outcome(s), and other relevant variables (e.g. means, SDs, proportions)</w:t>
            </w:r>
          </w:p>
        </w:tc>
        <w:tc>
          <w:tcPr>
            <w:tcW w:w="72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14</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β and 95% CI: 0.0087, 0.66 to 1.29; p = 0.66)</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the data sources include meta-analyses of previous studies, provide the assessments of heterogeneity across these studies</w:t>
            </w:r>
          </w:p>
        </w:tc>
        <w:tc>
          <w:tcPr>
            <w:tcW w:w="720"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w:t>
            </w:r>
          </w:p>
        </w:tc>
        <w:tc>
          <w:tcPr>
            <w:tcW w:w="4320" w:type="dxa"/>
          </w:tcPr>
          <w:p>
            <w:pPr>
              <w:spacing w:before="96" w:beforeLines="40" w:after="96" w:afterLines="40" w:line="24" w:lineRule="atLeast"/>
              <w:rPr>
                <w:rFonts w:eastAsia="Times New Roman"/>
                <w:sz w:val="18"/>
                <w:szCs w:val="18"/>
                <w:lang w:val="en-GB" w:eastAsia="en-GB"/>
              </w:rPr>
            </w:pPr>
            <w:bookmarkStart w:id="2" w:name="OLE_LINK3"/>
            <w:r>
              <w:rPr>
                <w:rFonts w:hint="eastAsia" w:eastAsia="Times New Roman"/>
                <w:sz w:val="18"/>
                <w:szCs w:val="18"/>
                <w:lang w:val="en-GB" w:eastAsia="en-GB"/>
              </w:rPr>
              <w:t>Unrelated to this article.</w:t>
            </w:r>
            <w:bookmarkEnd w:id="2"/>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highlight w:val="none"/>
                <w:lang w:val="en-GB" w:eastAsia="en-US"/>
              </w:rPr>
              <w:t>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For </w:t>
            </w:r>
            <w:r>
              <w:rPr>
                <w:rFonts w:eastAsia="Times New Roman"/>
                <w:iCs/>
                <w:sz w:val="18"/>
                <w:szCs w:val="18"/>
                <w:lang w:val="en-GB" w:eastAsia="en-GB"/>
              </w:rPr>
              <w:t>two-sample</w:t>
            </w:r>
            <w:r>
              <w:rPr>
                <w:rFonts w:eastAsia="Times New Roman"/>
                <w:sz w:val="18"/>
                <w:szCs w:val="18"/>
                <w:lang w:val="en-GB" w:eastAsia="en-GB"/>
              </w:rPr>
              <w:t xml:space="preserve"> MR:</w:t>
            </w:r>
          </w:p>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   i.  Provide justification of the similarity of the genetic variant-exposure associations between the exposure and outcome samples</w:t>
            </w:r>
          </w:p>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pPr>
              <w:spacing w:before="96" w:beforeLines="40" w:after="96" w:afterLines="40" w:line="24" w:lineRule="atLeast"/>
              <w:rPr>
                <w:rFonts w:hint="default" w:eastAsia="宋体"/>
                <w:sz w:val="18"/>
                <w:szCs w:val="18"/>
                <w:lang w:val="en-US" w:eastAsia="zh-CN"/>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11</w:t>
            </w:r>
          </w:p>
        </w:tc>
        <w:tc>
          <w:tcPr>
            <w:tcW w:w="1822" w:type="dxa"/>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Main results</w:t>
            </w:r>
          </w:p>
        </w:tc>
        <w:tc>
          <w:tcPr>
            <w:tcW w:w="7041" w:type="dxa"/>
            <w:shd w:val="clear" w:color="auto" w:fill="auto"/>
          </w:tcPr>
          <w:p>
            <w:pPr>
              <w:spacing w:before="96" w:beforeLines="40" w:after="96" w:afterLines="40" w:line="24" w:lineRule="atLeast"/>
              <w:rPr>
                <w:rFonts w:eastAsia="Cambria"/>
                <w:sz w:val="18"/>
                <w:szCs w:val="18"/>
                <w:lang w:val="en-GB" w:eastAsia="en-US"/>
              </w:rPr>
            </w:pPr>
          </w:p>
        </w:tc>
        <w:tc>
          <w:tcPr>
            <w:tcW w:w="720" w:type="dxa"/>
          </w:tcPr>
          <w:p>
            <w:pPr>
              <w:spacing w:before="96" w:beforeLines="40" w:after="96" w:afterLines="40" w:line="24" w:lineRule="atLeast"/>
              <w:rPr>
                <w:rFonts w:eastAsia="Cambria"/>
                <w:sz w:val="18"/>
                <w:szCs w:val="18"/>
                <w:lang w:val="en-GB" w:eastAsia="en-US"/>
              </w:rPr>
            </w:pPr>
          </w:p>
        </w:tc>
        <w:tc>
          <w:tcPr>
            <w:tcW w:w="4320" w:type="dxa"/>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14，15，16</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In female infertility group 2,  the main MR analysis (by IVW method) showed the length changes in telomere and an increased risk of tubal origin female infertility are not causally related (β and 95% CI: 0.0087, 0.66 to 1.29; p = 0.66). MR-Egger model, weighted median mode, simple mode analysis, and weighted mode analysis also exhibited results similar to IVW analysis (Table 2, Fig 2, Fig3B).</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MR estimates of the relationship between exposure and outcome, and the measures of uncertainty from the MR analysis, on an interpretable scale, such as odds ratio or relative risk per SD difference</w:t>
            </w:r>
          </w:p>
        </w:tc>
        <w:tc>
          <w:tcPr>
            <w:tcW w:w="720"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14，15，16</w:t>
            </w:r>
          </w:p>
        </w:tc>
        <w:tc>
          <w:tcPr>
            <w:tcW w:w="4320"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 [IVW, Q (df) 105.19 (136) p = 0.98; MR–Egger, Q (df) 105.13 (135), p = 0.97].</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bookmarkStart w:id="3" w:name="OLE_LINK5"/>
            <w:r>
              <w:rPr>
                <w:rFonts w:hint="eastAsia" w:eastAsia="Times New Roman"/>
                <w:sz w:val="18"/>
                <w:szCs w:val="18"/>
                <w:lang w:val="en-GB" w:eastAsia="en-GB"/>
              </w:rPr>
              <w:t>Unrelated to this article.</w:t>
            </w:r>
            <w:bookmarkEnd w:id="3"/>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32,34,35,36</w:t>
            </w:r>
          </w:p>
        </w:tc>
        <w:tc>
          <w:tcPr>
            <w:tcW w:w="4320"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Figure 2,3,4,5</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12</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sz w:val="18"/>
                <w:szCs w:val="18"/>
                <w:lang w:val="en-GB" w:eastAsia="en-US"/>
              </w:rPr>
            </w:pPr>
          </w:p>
        </w:tc>
        <w:tc>
          <w:tcPr>
            <w:tcW w:w="4320"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assessment of the validity of the assumptions</w:t>
            </w:r>
          </w:p>
        </w:tc>
        <w:tc>
          <w:tcPr>
            <w:tcW w:w="720" w:type="dxa"/>
          </w:tcPr>
          <w:p>
            <w:pPr>
              <w:spacing w:before="96" w:beforeLines="40" w:after="96" w:afterLines="40" w:line="24" w:lineRule="atLeast"/>
              <w:rPr>
                <w:rFonts w:hint="default" w:eastAsia="宋体"/>
                <w:sz w:val="18"/>
                <w:szCs w:val="18"/>
                <w:lang w:val="en-US" w:eastAsia="zh-CN"/>
              </w:rPr>
            </w:pPr>
            <w:bookmarkStart w:id="4" w:name="OLE_LINK4"/>
            <w:r>
              <w:rPr>
                <w:rFonts w:hint="eastAsia" w:eastAsia="宋体"/>
                <w:sz w:val="18"/>
                <w:szCs w:val="18"/>
                <w:lang w:val="en-US" w:eastAsia="zh-CN"/>
              </w:rPr>
              <w:t>14,15,16</w:t>
            </w:r>
            <w:bookmarkEnd w:id="4"/>
          </w:p>
        </w:tc>
        <w:tc>
          <w:tcPr>
            <w:tcW w:w="4320"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In female infertility group 1, as shown in Table 2, forest plot (Fig.2), and scatter plot (Fig.3A) , the IVW results indicated that genetically predicted TL was not significantly associated with female anovulation origin infertility (β and 95% CI: 0.0087, 0.66 to 1.29; p = 0.66).</w:t>
            </w:r>
          </w:p>
        </w:tc>
      </w:tr>
      <w:tr>
        <w:tblPrEx>
          <w:tblCellMar>
            <w:top w:w="0" w:type="dxa"/>
            <w:left w:w="108" w:type="dxa"/>
            <w:bottom w:w="0" w:type="dxa"/>
            <w:right w:w="108" w:type="dxa"/>
          </w:tblCellMar>
        </w:tblPrEx>
        <w:trPr>
          <w:trHeight w:val="642" w:hRule="atLeast"/>
        </w:trP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Report any additional statistics (e.g., assessments of heterogeneity </w:t>
            </w:r>
            <w:r>
              <w:rPr>
                <w:rFonts w:eastAsia="Times New Roman"/>
                <w:sz w:val="18"/>
                <w:szCs w:val="18"/>
                <w:lang w:eastAsia="en-GB"/>
              </w:rPr>
              <w:t>across genetic variants</w:t>
            </w:r>
            <w:r>
              <w:rPr>
                <w:rFonts w:eastAsia="Times New Roman"/>
                <w:sz w:val="18"/>
                <w:szCs w:val="18"/>
                <w:lang w:val="en-GB" w:eastAsia="en-GB"/>
              </w:rPr>
              <w:t xml:space="preserve">, such as </w:t>
            </w:r>
            <w:r>
              <w:rPr>
                <w:rFonts w:eastAsia="Times New Roman"/>
                <w:i/>
                <w:sz w:val="18"/>
                <w:szCs w:val="18"/>
                <w:lang w:val="en-GB" w:eastAsia="en-GB"/>
              </w:rPr>
              <w:t>I</w:t>
            </w:r>
            <w:r>
              <w:rPr>
                <w:rFonts w:eastAsia="Times New Roman"/>
                <w:i/>
                <w:sz w:val="18"/>
                <w:szCs w:val="18"/>
                <w:vertAlign w:val="superscript"/>
                <w:lang w:val="en-GB" w:eastAsia="en-GB"/>
              </w:rPr>
              <w:t>2</w:t>
            </w:r>
            <w:r>
              <w:rPr>
                <w:rFonts w:eastAsia="Times New Roman"/>
                <w:sz w:val="18"/>
                <w:szCs w:val="18"/>
                <w:lang w:val="en-GB" w:eastAsia="en-GB"/>
              </w:rPr>
              <w:t>, Q statistic or E-value)</w:t>
            </w:r>
          </w:p>
        </w:tc>
        <w:tc>
          <w:tcPr>
            <w:tcW w:w="7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14,15,16</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T</w:t>
            </w:r>
            <w:r>
              <w:rPr>
                <w:rFonts w:hint="eastAsia" w:eastAsia="Times New Roman"/>
                <w:sz w:val="18"/>
                <w:szCs w:val="18"/>
                <w:lang w:val="en-GB" w:eastAsia="en-GB"/>
              </w:rPr>
              <w:t>he heterogeneity tests did not yield significant information of heterogeneity: IVW, Q (df) 156.71 (136), p = 0.11; MR–Egger, Q (df) 156.59 (135), p = 0.10 (Table 3).</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13</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Sensitivity analyses and additional analyses</w:t>
            </w:r>
          </w:p>
        </w:tc>
        <w:tc>
          <w:tcPr>
            <w:tcW w:w="7041" w:type="dxa"/>
            <w:shd w:val="clear" w:color="auto" w:fill="auto"/>
          </w:tcPr>
          <w:p>
            <w:pPr>
              <w:spacing w:before="96" w:beforeLines="40" w:after="96" w:afterLines="40" w:line="24" w:lineRule="atLeast"/>
              <w:rPr>
                <w:rFonts w:eastAsia="Cambria"/>
                <w:sz w:val="18"/>
                <w:szCs w:val="18"/>
                <w:lang w:val="en-GB" w:eastAsia="en-US"/>
              </w:rPr>
            </w:pPr>
          </w:p>
        </w:tc>
        <w:tc>
          <w:tcPr>
            <w:tcW w:w="720" w:type="dxa"/>
          </w:tcPr>
          <w:p>
            <w:pPr>
              <w:spacing w:before="96" w:beforeLines="40" w:after="96" w:afterLines="40" w:line="24" w:lineRule="atLeast"/>
              <w:rPr>
                <w:rFonts w:eastAsia="Cambria"/>
                <w:sz w:val="18"/>
                <w:szCs w:val="18"/>
                <w:lang w:val="en-GB" w:eastAsia="en-US"/>
              </w:rPr>
            </w:pPr>
            <w:r>
              <w:rPr>
                <w:rFonts w:hint="eastAsia" w:eastAsia="宋体"/>
                <w:sz w:val="18"/>
                <w:szCs w:val="18"/>
                <w:lang w:val="en-US" w:eastAsia="zh-CN"/>
              </w:rPr>
              <w:t>14,15,16</w:t>
            </w:r>
          </w:p>
        </w:tc>
        <w:tc>
          <w:tcPr>
            <w:tcW w:w="4320" w:type="dxa"/>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14,</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Furthermore, there is no directional pleiotropy (p-Egger intercept = 0.16; RSSobs = 140.46, and p-global test = 0.53) or reverse causality </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results from other sensitivity analyses or additional analyses</w:t>
            </w:r>
          </w:p>
        </w:tc>
        <w:tc>
          <w:tcPr>
            <w:tcW w:w="720" w:type="dxa"/>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15,16</w:t>
            </w:r>
          </w:p>
        </w:tc>
        <w:tc>
          <w:tcPr>
            <w:tcW w:w="4320"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 xml:space="preserve">Table 2 </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any assessment of direction of causal relationship (e.g., bidirectional MR)</w:t>
            </w:r>
          </w:p>
        </w:tc>
        <w:tc>
          <w:tcPr>
            <w:tcW w:w="72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15,16</w:t>
            </w:r>
          </w:p>
        </w:tc>
        <w:tc>
          <w:tcPr>
            <w:tcW w:w="432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Table 3, 4</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When relevant, report and compare with estimates from non-MR analyses</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w:t>
            </w:r>
          </w:p>
        </w:tc>
        <w:tc>
          <w:tcPr>
            <w:tcW w:w="4320"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Unrelated to this article.</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Consider additional plots to visualize results (e.g., leave-one-out analyses)</w:t>
            </w:r>
          </w:p>
        </w:tc>
        <w:tc>
          <w:tcPr>
            <w:tcW w:w="720" w:type="dxa"/>
            <w:tcBorders>
              <w:bottom w:val="single" w:color="7F7F7F" w:sz="6" w:space="0"/>
            </w:tcBorders>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16</w:t>
            </w:r>
          </w:p>
        </w:tc>
        <w:tc>
          <w:tcPr>
            <w:tcW w:w="4320" w:type="dxa"/>
            <w:tcBorders>
              <w:bottom w:val="single" w:color="7F7F7F" w:sz="6" w:space="0"/>
            </w:tcBorders>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Figure 5</w:t>
            </w: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DISCUSSION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14</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Key results </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Summarize key results with reference to study objectives</w:t>
            </w:r>
          </w:p>
        </w:tc>
        <w:tc>
          <w:tcPr>
            <w:tcW w:w="72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18</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The data from this study indicated that there is no association between TL and the three types of female infertility. </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15</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Limitations</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Pr>
                <w:rFonts w:eastAsia="Times New Roman"/>
                <w:sz w:val="18"/>
                <w:szCs w:val="18"/>
                <w:shd w:val="clear" w:color="auto" w:fill="FFFFFF"/>
                <w:lang w:val="en-GB" w:eastAsia="en-GB"/>
              </w:rPr>
              <w:t> </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16</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Interpretation</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sz w:val="18"/>
                <w:szCs w:val="18"/>
                <w:lang w:val="en-GB" w:eastAsia="en-US"/>
              </w:rPr>
            </w:pPr>
          </w:p>
        </w:tc>
        <w:tc>
          <w:tcPr>
            <w:tcW w:w="4320"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Meaning: Give a cautious overall interpretation of results in the context of their limitations and in comparison with other studies</w:t>
            </w:r>
          </w:p>
        </w:tc>
        <w:tc>
          <w:tcPr>
            <w:tcW w:w="720"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23</w:t>
            </w:r>
          </w:p>
        </w:tc>
        <w:tc>
          <w:tcPr>
            <w:tcW w:w="4320"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However, our research still has some shortcomings. </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2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22</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This heterogeneity might be attributed to factors such as small sample sizes, inadequate variable selection, random biases, and experimental confounding. </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tabs>
                <w:tab w:val="left" w:pos="135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Clinical relevance: Discuss whether the results have clinical or public policy relevance, and </w:t>
            </w:r>
            <w:r>
              <w:rPr>
                <w:rFonts w:eastAsia="Times New Roman"/>
                <w:color w:val="000000"/>
                <w:sz w:val="18"/>
                <w:szCs w:val="18"/>
                <w:lang w:eastAsia="en-GB"/>
              </w:rPr>
              <w:t>to what extent they inform effect sizes of possible interventions</w:t>
            </w:r>
          </w:p>
        </w:tc>
        <w:tc>
          <w:tcPr>
            <w:tcW w:w="720" w:type="dxa"/>
          </w:tcPr>
          <w:p>
            <w:pPr>
              <w:tabs>
                <w:tab w:val="left" w:pos="1350"/>
              </w:tabs>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22</w:t>
            </w:r>
          </w:p>
        </w:tc>
        <w:tc>
          <w:tcPr>
            <w:tcW w:w="4320" w:type="dxa"/>
          </w:tcPr>
          <w:p>
            <w:pPr>
              <w:tabs>
                <w:tab w:val="left" w:pos="1350"/>
              </w:tabs>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MR analysis is a powerful method in human genetics research that allows for exploration of the associations between exposures and complex disease outcomes</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17</w:t>
            </w:r>
          </w:p>
        </w:tc>
        <w:tc>
          <w:tcPr>
            <w:tcW w:w="182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 xml:space="preserve">Generalizability  </w:t>
            </w:r>
            <w:r>
              <w:rPr>
                <w:rFonts w:eastAsia="Times New Roman"/>
                <w:sz w:val="18"/>
                <w:szCs w:val="18"/>
                <w:lang w:val="en-GB" w:eastAsia="en-GB"/>
              </w:rPr>
              <w:t> </w:t>
            </w:r>
          </w:p>
        </w:tc>
        <w:tc>
          <w:tcPr>
            <w:tcW w:w="7041" w:type="dxa"/>
            <w:tcBorders>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color="7F7F7F" w:sz="6" w:space="0"/>
            </w:tcBorders>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23</w:t>
            </w:r>
          </w:p>
        </w:tc>
        <w:tc>
          <w:tcPr>
            <w:tcW w:w="43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Furthermore, the GWAS datasets under analysis were derived from European ancestry, thereby mitigating the potential influence of population stratification. </w:t>
            </w: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OTHER INFORMATION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18</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Funding</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2</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This work was supported by the Zhejiang Provincial Natural Science Foundation of China （LBD23H040001）</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19</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Data and data sharing </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720"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10</w:t>
            </w:r>
          </w:p>
        </w:tc>
        <w:tc>
          <w:tcPr>
            <w:tcW w:w="4320"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The exposure dataset for TL was obtained from the Open GWAS repository (https://gwas.mrcieu.ac.uk/datasets/)</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20</w:t>
            </w:r>
          </w:p>
        </w:tc>
        <w:tc>
          <w:tcPr>
            <w:tcW w:w="182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Conflicts of Interest  </w:t>
            </w:r>
          </w:p>
        </w:tc>
        <w:tc>
          <w:tcPr>
            <w:tcW w:w="7041"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All authors should declare all potential conflicts of interest</w:t>
            </w:r>
          </w:p>
        </w:tc>
        <w:tc>
          <w:tcPr>
            <w:tcW w:w="720" w:type="dxa"/>
            <w:tcBorders>
              <w:bottom w:val="single" w:color="7F7F7F" w:sz="6" w:space="0"/>
            </w:tcBorders>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2</w:t>
            </w:r>
          </w:p>
        </w:tc>
        <w:tc>
          <w:tcPr>
            <w:tcW w:w="43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This article does not involve any conflicts of interest.</w:t>
            </w:r>
          </w:p>
        </w:tc>
      </w:tr>
    </w:tbl>
    <w:p>
      <w:pPr>
        <w:spacing w:before="240" w:after="240"/>
        <w:rPr>
          <w:sz w:val="19"/>
          <w:szCs w:val="19"/>
        </w:rPr>
      </w:pPr>
      <w:r>
        <w:rPr>
          <w:sz w:val="19"/>
          <w:szCs w:val="19"/>
        </w:rPr>
        <w:t>This checklist is copyrighted by the Equator Network under the Creative Commons Attribution 3.0 Unported (CC BY 3.0) license.</w:t>
      </w:r>
    </w:p>
    <w:p>
      <w:pPr>
        <w:widowControl w:val="0"/>
        <w:autoSpaceDE w:val="0"/>
        <w:autoSpaceDN w:val="0"/>
        <w:adjustRightInd w:val="0"/>
        <w:spacing w:before="240" w:after="240" w:line="240" w:lineRule="auto"/>
        <w:ind w:left="640" w:hanging="640"/>
        <w:rPr>
          <w:sz w:val="19"/>
          <w:szCs w:val="19"/>
        </w:rPr>
      </w:pPr>
      <w:r>
        <w:rPr>
          <w:sz w:val="19"/>
          <w:szCs w:val="19"/>
        </w:rPr>
        <w:fldChar w:fldCharType="begin" w:fldLock="1"/>
      </w:r>
      <w:r>
        <w:rPr>
          <w:sz w:val="19"/>
          <w:szCs w:val="19"/>
        </w:rPr>
        <w:instrText xml:space="preserve">ADDIN Mendeley Bibliography CSL_BIBLIOGRAPHY </w:instrText>
      </w:r>
      <w:r>
        <w:rPr>
          <w:sz w:val="19"/>
          <w:szCs w:val="19"/>
        </w:rPr>
        <w:fldChar w:fldCharType="separate"/>
      </w:r>
      <w:r>
        <w:rPr>
          <w:sz w:val="19"/>
          <w:szCs w:val="19"/>
        </w:rPr>
        <w:t xml:space="preserve">1. </w:t>
      </w:r>
      <w:r>
        <w:rPr>
          <w:sz w:val="19"/>
          <w:szCs w:val="19"/>
        </w:rPr>
        <w:tab/>
      </w:r>
      <w:r>
        <w:rPr>
          <w:sz w:val="19"/>
          <w:szCs w:val="19"/>
        </w:rPr>
        <w:t xml:space="preserve">Skrivankova VW, Richmond RC, Woolf BAR, Yarmolinsky J, Davies NM, Swanson SA, et al. Strengthening the Reporting of Observational Studies in Epidemiology using Mendelian Randomization (STROBE-MR) Statement. JAMA. 2021;under review. </w:t>
      </w:r>
    </w:p>
    <w:p>
      <w:pPr>
        <w:widowControl w:val="0"/>
        <w:autoSpaceDE w:val="0"/>
        <w:autoSpaceDN w:val="0"/>
        <w:adjustRightInd w:val="0"/>
        <w:spacing w:before="240" w:after="240" w:line="240" w:lineRule="auto"/>
        <w:ind w:left="640" w:hanging="640"/>
        <w:rPr>
          <w:sz w:val="19"/>
          <w:szCs w:val="19"/>
        </w:rPr>
      </w:pPr>
      <w:r>
        <w:rPr>
          <w:sz w:val="19"/>
          <w:szCs w:val="19"/>
        </w:rPr>
        <w:t xml:space="preserve">2. </w:t>
      </w:r>
      <w:r>
        <w:rPr>
          <w:sz w:val="19"/>
          <w:szCs w:val="19"/>
        </w:rPr>
        <w:tab/>
      </w:r>
      <w:r>
        <w:rPr>
          <w:sz w:val="19"/>
          <w:szCs w:val="19"/>
        </w:rPr>
        <w:t xml:space="preserve">Skrivankova VW, Richmond RC, Woolf BAR, Davies NM, Swanson SA, VanderWeele TJ, et al. Strengthening the Reporting of Observational Studies in Epidemiology using Mendelian Randomisation (STROBE-MR): Explanation and Elaboration. BMJ. 2021;375:n2233. </w:t>
      </w:r>
    </w:p>
    <w:p>
      <w:pPr>
        <w:spacing w:before="240" w:after="240"/>
      </w:pPr>
      <w:r>
        <w:rPr>
          <w:sz w:val="19"/>
          <w:szCs w:val="19"/>
        </w:rPr>
        <w:fldChar w:fldCharType="end"/>
      </w:r>
    </w:p>
    <w:sectPr>
      <w:footerReference r:id="rId5" w:type="default"/>
      <w:footerReference r:id="rId6" w:type="even"/>
      <w:pgSz w:w="15840" w:h="12240" w:orient="landscape"/>
      <w:pgMar w:top="1008" w:right="720" w:bottom="1008" w:left="720" w:header="720" w:footer="720" w:gutter="0"/>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fldChar w:fldCharType="begin"/>
    </w:r>
    <w:r>
      <w:instrText xml:space="preserve"> PAGE   \* MERGEFORMAT </w:instrText>
    </w:r>
    <w:r>
      <w:fldChar w:fldCharType="separate"/>
    </w:r>
    <w:r>
      <w:t>1</w:t>
    </w:r>
    <w: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uto" w:vAnchor="text" w:hAnchor="margin" w:xAlign="right" w:y="1"/>
      <w:rPr>
        <w:rStyle w:val="5"/>
      </w:rPr>
    </w:pPr>
  </w:p>
  <w:p>
    <w:pPr>
      <w:pStyle w:val="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hmODFiYTk3N2FlM2M1ZjBjZTdmZWM1Y2NiOTJjMGEifQ=="/>
  </w:docVars>
  <w:rsids>
    <w:rsidRoot w:val="00914C56"/>
    <w:rsid w:val="000A4CE8"/>
    <w:rsid w:val="002663E6"/>
    <w:rsid w:val="003D447D"/>
    <w:rsid w:val="003D47DD"/>
    <w:rsid w:val="004B5CBB"/>
    <w:rsid w:val="004E11D4"/>
    <w:rsid w:val="00514462"/>
    <w:rsid w:val="005520ED"/>
    <w:rsid w:val="005A0D0D"/>
    <w:rsid w:val="00685D31"/>
    <w:rsid w:val="006912BF"/>
    <w:rsid w:val="006A41D0"/>
    <w:rsid w:val="006B08D5"/>
    <w:rsid w:val="00804498"/>
    <w:rsid w:val="00914C56"/>
    <w:rsid w:val="00950729"/>
    <w:rsid w:val="009854A9"/>
    <w:rsid w:val="009E033F"/>
    <w:rsid w:val="00BB6328"/>
    <w:rsid w:val="00D65199"/>
    <w:rsid w:val="00D8098C"/>
    <w:rsid w:val="00ED48A3"/>
    <w:rsid w:val="00EF4B94"/>
    <w:rsid w:val="29F94792"/>
    <w:rsid w:val="5AC314B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76" w:lineRule="auto"/>
    </w:pPr>
    <w:rPr>
      <w:rFonts w:ascii="Arial" w:hAnsi="Arial" w:eastAsia="Arial" w:cs="Arial"/>
      <w:sz w:val="22"/>
      <w:szCs w:val="22"/>
      <w:lang w:val="en" w:eastAsia="de-CH"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680"/>
        <w:tab w:val="right" w:pos="9360"/>
      </w:tabs>
      <w:spacing w:line="240" w:lineRule="auto"/>
    </w:pPr>
  </w:style>
  <w:style w:type="character" w:styleId="5">
    <w:name w:val="page number"/>
    <w:basedOn w:val="4"/>
    <w:semiHidden/>
    <w:unhideWhenUsed/>
    <w:qFormat/>
    <w:uiPriority w:val="99"/>
  </w:style>
  <w:style w:type="character" w:styleId="6">
    <w:name w:val="line number"/>
    <w:basedOn w:val="4"/>
    <w:semiHidden/>
    <w:unhideWhenUsed/>
    <w:qFormat/>
    <w:uiPriority w:val="99"/>
  </w:style>
  <w:style w:type="character" w:customStyle="1" w:styleId="7">
    <w:name w:val="Footer Char"/>
    <w:basedOn w:val="4"/>
    <w:link w:val="2"/>
    <w:qFormat/>
    <w:uiPriority w:val="99"/>
    <w:rPr>
      <w:rFonts w:ascii="Arial" w:hAnsi="Arial" w:eastAsia="Arial" w:cs="Arial"/>
      <w:lang w:val="en" w:eastAsia="de-CH"/>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B0931C-FCE2-4CC4-80DE-15614B41F1F9}">
  <ds:schemaRefs/>
</ds:datastoreItem>
</file>

<file path=customXml/itemProps2.xml><?xml version="1.0" encoding="utf-8"?>
<ds:datastoreItem xmlns:ds="http://schemas.openxmlformats.org/officeDocument/2006/customXml" ds:itemID="{B7DA32DB-E5B8-4E32-AD11-08F2E668867B}">
  <ds:schemaRefs/>
</ds:datastoreItem>
</file>

<file path=customXml/itemProps3.xml><?xml version="1.0" encoding="utf-8"?>
<ds:datastoreItem xmlns:ds="http://schemas.openxmlformats.org/officeDocument/2006/customXml" ds:itemID="{A9898B61-61B7-44F1-9388-8B27875B1EDA}">
  <ds:schemaRefs/>
</ds:datastoreItem>
</file>

<file path=customXml/itemProps4.xml><?xml version="1.0" encoding="utf-8"?>
<ds:datastoreItem xmlns:ds="http://schemas.openxmlformats.org/officeDocument/2006/customXml" ds:itemID="{5DF20111-77FD-4F18-8E31-D737874646AB}">
  <ds:schemaRefs/>
</ds:datastoreItem>
</file>

<file path=docProps/app.xml><?xml version="1.0" encoding="utf-8"?>
<Properties xmlns="http://schemas.openxmlformats.org/officeDocument/2006/extended-properties" xmlns:vt="http://schemas.openxmlformats.org/officeDocument/2006/docPropsVTypes">
  <Template>Normal.dotm</Template>
  <Company>University of Bern</Company>
  <Pages>4</Pages>
  <Words>1130</Words>
  <Characters>6591</Characters>
  <Lines>286</Lines>
  <Paragraphs>146</Paragraphs>
  <TotalTime>0</TotalTime>
  <ScaleCrop>false</ScaleCrop>
  <LinksUpToDate>false</LinksUpToDate>
  <CharactersWithSpaces>7622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2022-04-07T08:09:00Z</dcterms:created>
  <dc:creator>Whitesell, Veronika (ISPM)</dc:creator>
  <cp:lastModifiedBy>曲花花在忙</cp:lastModifiedBy>
  <cp:lastPrinted>2021-09-28T07:08:00Z</cp:lastPrinted>
  <dcterms:modified xsi:type="dcterms:W3CDTF">2023-10-03T06:30:22Z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KSOProductBuildVer">
    <vt:lpwstr>2052-12.1.0.15374</vt:lpwstr>
  </property>
  <property fmtid="{D5CDD505-2E9C-101B-9397-08002B2CF9AE}" pid="27" name="ICV">
    <vt:lpwstr>D5DF44CA00FF46BAB842306FADEA8766_13</vt:lpwstr>
  </property>
</Properties>
</file>