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23754" w14:textId="77777777" w:rsidR="00B9425C" w:rsidRPr="00EA461A" w:rsidRDefault="00B9425C" w:rsidP="00B9425C">
      <w:pPr>
        <w:pStyle w:val="berschriftPaper"/>
        <w:numPr>
          <w:ilvl w:val="0"/>
          <w:numId w:val="0"/>
        </w:numPr>
        <w:ind w:left="357" w:hanging="357"/>
      </w:pPr>
      <w:r w:rsidRPr="005A7BB0">
        <w:t>Appendix</w:t>
      </w:r>
    </w:p>
    <w:p w14:paraId="08A160A5" w14:textId="77777777" w:rsidR="00B9425C" w:rsidRPr="005A7BB0" w:rsidRDefault="00B9425C" w:rsidP="00B9425C">
      <w:pPr>
        <w:pStyle w:val="Caption"/>
      </w:pPr>
      <w:bookmarkStart w:id="0" w:name="_Toc129624645"/>
      <w:bookmarkStart w:id="1" w:name="_Toc129625961"/>
      <w:bookmarkStart w:id="2" w:name="_Toc130914910"/>
      <w:bookmarkStart w:id="3" w:name="_Toc130915215"/>
      <w:bookmarkStart w:id="4" w:name="_Toc130915424"/>
      <w:r w:rsidRPr="005A7BB0">
        <w:t>Table A.</w:t>
      </w:r>
      <w:r w:rsidRPr="005A7BB0">
        <w:fldChar w:fldCharType="begin"/>
      </w:r>
      <w:r w:rsidRPr="005A7BB0">
        <w:instrText xml:space="preserve"> SEQ Table_A. \* ARABIC </w:instrText>
      </w:r>
      <w:r w:rsidRPr="005A7BB0">
        <w:fldChar w:fldCharType="separate"/>
      </w:r>
      <w:r>
        <w:rPr>
          <w:noProof/>
        </w:rPr>
        <w:t>1</w:t>
      </w:r>
      <w:r w:rsidRPr="005A7BB0">
        <w:fldChar w:fldCharType="end"/>
      </w:r>
      <w:r w:rsidRPr="005A7BB0">
        <w:t>: Guiding questions for the semi-structured interview</w:t>
      </w:r>
      <w:bookmarkEnd w:id="0"/>
      <w:bookmarkEnd w:id="1"/>
      <w:bookmarkEnd w:id="2"/>
      <w:bookmarkEnd w:id="3"/>
      <w:bookmarkEnd w:id="4"/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562"/>
        <w:gridCol w:w="4258"/>
        <w:gridCol w:w="4241"/>
      </w:tblGrid>
      <w:tr w:rsidR="00B9425C" w:rsidRPr="000D2057" w14:paraId="0B56433A" w14:textId="77777777" w:rsidTr="00DD0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205463A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</w:rPr>
            </w:pPr>
          </w:p>
        </w:tc>
        <w:tc>
          <w:tcPr>
            <w:tcW w:w="4258" w:type="dxa"/>
          </w:tcPr>
          <w:p w14:paraId="0F63DFF6" w14:textId="77777777" w:rsidR="00B9425C" w:rsidRPr="005A7BB0" w:rsidRDefault="00B9425C" w:rsidP="00DD00AF">
            <w:pPr>
              <w:pStyle w:val="StandardohneAbsatz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Guiding question (in the original German)</w:t>
            </w:r>
          </w:p>
        </w:tc>
        <w:tc>
          <w:tcPr>
            <w:tcW w:w="4241" w:type="dxa"/>
          </w:tcPr>
          <w:p w14:paraId="05939F63" w14:textId="77777777" w:rsidR="00B9425C" w:rsidRPr="005A7BB0" w:rsidRDefault="00B9425C" w:rsidP="00DD00AF">
            <w:pPr>
              <w:pStyle w:val="StandardohneAbsatz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English translation by the author</w:t>
            </w:r>
            <w:r>
              <w:rPr>
                <w:rFonts w:asciiTheme="majorBidi" w:hAnsiTheme="majorBidi" w:cstheme="majorBidi"/>
              </w:rPr>
              <w:t>s</w:t>
            </w:r>
          </w:p>
        </w:tc>
      </w:tr>
      <w:tr w:rsidR="00B9425C" w:rsidRPr="000D2057" w14:paraId="49E2B391" w14:textId="77777777" w:rsidTr="00DD0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5DCCA2" w14:textId="77777777" w:rsidR="00B9425C" w:rsidRPr="005A7BB0" w:rsidRDefault="00B9425C" w:rsidP="00DD00AF">
            <w:pPr>
              <w:pStyle w:val="StandardohneAbsatz"/>
              <w:spacing w:after="24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258" w:type="dxa"/>
          </w:tcPr>
          <w:p w14:paraId="34801E0C" w14:textId="77777777" w:rsidR="00B9425C" w:rsidRPr="005A7BB0" w:rsidRDefault="00B9425C" w:rsidP="00DD00AF">
            <w:pPr>
              <w:pStyle w:val="StandardohneAbsatz"/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de-DE"/>
              </w:rPr>
            </w:pPr>
            <w:r w:rsidRPr="005A7BB0">
              <w:rPr>
                <w:rFonts w:asciiTheme="majorBidi" w:hAnsiTheme="majorBidi" w:cstheme="majorBidi"/>
                <w:lang w:val="de-DE"/>
              </w:rPr>
              <w:t>Wie läuft der THG Quotenhandel ab?</w:t>
            </w:r>
          </w:p>
        </w:tc>
        <w:tc>
          <w:tcPr>
            <w:tcW w:w="4241" w:type="dxa"/>
          </w:tcPr>
          <w:p w14:paraId="320D78DE" w14:textId="77777777" w:rsidR="00B9425C" w:rsidRPr="005A7BB0" w:rsidRDefault="00B9425C" w:rsidP="00DD00AF">
            <w:pPr>
              <w:pStyle w:val="StandardohneAbsatz"/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How does the GHG Quota Trading work?</w:t>
            </w:r>
          </w:p>
        </w:tc>
      </w:tr>
      <w:tr w:rsidR="00B9425C" w:rsidRPr="000D2057" w14:paraId="6D76C65B" w14:textId="77777777" w:rsidTr="00DD0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90F9021" w14:textId="77777777" w:rsidR="00B9425C" w:rsidRPr="005A7BB0" w:rsidRDefault="00B9425C" w:rsidP="00DD00AF">
            <w:pPr>
              <w:pStyle w:val="StandardohneAbsatz"/>
              <w:spacing w:after="24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258" w:type="dxa"/>
          </w:tcPr>
          <w:p w14:paraId="0518FC49" w14:textId="77777777" w:rsidR="00B9425C" w:rsidRPr="005A7BB0" w:rsidRDefault="00B9425C" w:rsidP="00DD00AF">
            <w:pPr>
              <w:pStyle w:val="StandardohneAbsatz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de-DE"/>
              </w:rPr>
            </w:pPr>
            <w:r w:rsidRPr="005A7BB0">
              <w:rPr>
                <w:rFonts w:asciiTheme="majorBidi" w:hAnsiTheme="majorBidi" w:cstheme="majorBidi"/>
                <w:lang w:val="de-DE"/>
              </w:rPr>
              <w:t>Wie würden Sie die Rolle der Zwischenhändler beschreiben?</w:t>
            </w:r>
          </w:p>
        </w:tc>
        <w:tc>
          <w:tcPr>
            <w:tcW w:w="4241" w:type="dxa"/>
          </w:tcPr>
          <w:p w14:paraId="2A933C23" w14:textId="77777777" w:rsidR="00B9425C" w:rsidRPr="005A7BB0" w:rsidRDefault="00B9425C" w:rsidP="00DD00AF">
            <w:pPr>
              <w:pStyle w:val="StandardohneAbsatz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How would you describe the role of poolers?</w:t>
            </w:r>
          </w:p>
        </w:tc>
      </w:tr>
      <w:tr w:rsidR="00B9425C" w:rsidRPr="005A7BB0" w14:paraId="7C2D7446" w14:textId="77777777" w:rsidTr="00DD0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48161" w14:textId="77777777" w:rsidR="00B9425C" w:rsidRPr="005A7BB0" w:rsidRDefault="00B9425C" w:rsidP="00DD00AF">
            <w:pPr>
              <w:pStyle w:val="StandardohneAbsatz"/>
              <w:spacing w:after="24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258" w:type="dxa"/>
          </w:tcPr>
          <w:p w14:paraId="42042481" w14:textId="77777777" w:rsidR="00B9425C" w:rsidRPr="005A7BB0" w:rsidRDefault="00B9425C" w:rsidP="00DD00AF">
            <w:pPr>
              <w:pStyle w:val="StandardohneAbsatz"/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de-DE"/>
              </w:rPr>
            </w:pPr>
            <w:r w:rsidRPr="005A7BB0">
              <w:rPr>
                <w:rFonts w:asciiTheme="majorBidi" w:hAnsiTheme="majorBidi" w:cstheme="majorBidi"/>
                <w:lang w:val="de-DE"/>
              </w:rPr>
              <w:t>Wie beschreiben Sie den Preisbildungsmechanismus? Wer setzt die Preise fest?</w:t>
            </w:r>
          </w:p>
        </w:tc>
        <w:tc>
          <w:tcPr>
            <w:tcW w:w="4241" w:type="dxa"/>
          </w:tcPr>
          <w:p w14:paraId="33F94088" w14:textId="77777777" w:rsidR="00B9425C" w:rsidRPr="005A7BB0" w:rsidRDefault="00B9425C" w:rsidP="00DD00AF">
            <w:pPr>
              <w:pStyle w:val="StandardohneAbsatz"/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How do you describe the pricing mechanism? Who sets the prices?</w:t>
            </w:r>
          </w:p>
        </w:tc>
      </w:tr>
      <w:tr w:rsidR="00B9425C" w:rsidRPr="000D2057" w14:paraId="43475294" w14:textId="77777777" w:rsidTr="00DD0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D29D95" w14:textId="77777777" w:rsidR="00B9425C" w:rsidRPr="005A7BB0" w:rsidRDefault="00B9425C" w:rsidP="00DD00AF">
            <w:pPr>
              <w:pStyle w:val="StandardohneAbsatz"/>
              <w:spacing w:after="24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258" w:type="dxa"/>
          </w:tcPr>
          <w:p w14:paraId="08F45C96" w14:textId="77777777" w:rsidR="00B9425C" w:rsidRPr="005A7BB0" w:rsidRDefault="00B9425C" w:rsidP="00DD00AF">
            <w:pPr>
              <w:pStyle w:val="StandardohneAbsatz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de-DE"/>
              </w:rPr>
            </w:pPr>
            <w:r w:rsidRPr="005A7BB0">
              <w:rPr>
                <w:rFonts w:asciiTheme="majorBidi" w:hAnsiTheme="majorBidi" w:cstheme="majorBidi"/>
                <w:lang w:val="de-DE"/>
              </w:rPr>
              <w:t>Welche Kritik (positiv und negativ) haben Sie am Instrument „THG Quotenhandel“?</w:t>
            </w:r>
          </w:p>
        </w:tc>
        <w:tc>
          <w:tcPr>
            <w:tcW w:w="4241" w:type="dxa"/>
          </w:tcPr>
          <w:p w14:paraId="219098EC" w14:textId="77777777" w:rsidR="00B9425C" w:rsidRPr="005A7BB0" w:rsidRDefault="00B9425C" w:rsidP="00DD00AF">
            <w:pPr>
              <w:pStyle w:val="StandardohneAbsatz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What criticisms (positive and negative) do you have of the "GHG quota trading" instrument?</w:t>
            </w:r>
          </w:p>
        </w:tc>
      </w:tr>
      <w:tr w:rsidR="00B9425C" w:rsidRPr="000D2057" w14:paraId="4A44F6E8" w14:textId="77777777" w:rsidTr="00DD0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237BE20" w14:textId="77777777" w:rsidR="00B9425C" w:rsidRPr="005A7BB0" w:rsidRDefault="00B9425C" w:rsidP="00DD00AF">
            <w:pPr>
              <w:pStyle w:val="StandardohneAbsatz"/>
              <w:spacing w:after="24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258" w:type="dxa"/>
          </w:tcPr>
          <w:p w14:paraId="4F859A9B" w14:textId="77777777" w:rsidR="00B9425C" w:rsidRPr="005A7BB0" w:rsidRDefault="00B9425C" w:rsidP="00DD00AF">
            <w:pPr>
              <w:pStyle w:val="StandardohneAbsatz"/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de-DE"/>
              </w:rPr>
            </w:pPr>
            <w:r w:rsidRPr="005A7BB0">
              <w:rPr>
                <w:rFonts w:asciiTheme="majorBidi" w:hAnsiTheme="majorBidi" w:cstheme="majorBidi"/>
                <w:lang w:val="de-DE"/>
              </w:rPr>
              <w:t xml:space="preserve">Wo sehen Sie noch Forschungsbedarf? </w:t>
            </w:r>
          </w:p>
        </w:tc>
        <w:tc>
          <w:tcPr>
            <w:tcW w:w="4241" w:type="dxa"/>
          </w:tcPr>
          <w:p w14:paraId="53890300" w14:textId="77777777" w:rsidR="00B9425C" w:rsidRPr="005A7BB0" w:rsidRDefault="00B9425C" w:rsidP="00DD00AF">
            <w:pPr>
              <w:pStyle w:val="StandardohneAbsatz"/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A7BB0">
              <w:rPr>
                <w:rFonts w:asciiTheme="majorBidi" w:hAnsiTheme="majorBidi" w:cstheme="majorBidi"/>
              </w:rPr>
              <w:t>Where do you see a need for further research?</w:t>
            </w:r>
          </w:p>
        </w:tc>
      </w:tr>
    </w:tbl>
    <w:p w14:paraId="52C10F4D" w14:textId="77777777" w:rsidR="00B9425C" w:rsidRDefault="00B9425C" w:rsidP="00B9425C">
      <w:pPr>
        <w:rPr>
          <w:lang w:val="en-GB"/>
        </w:rPr>
      </w:pPr>
      <w:bookmarkStart w:id="5" w:name="_Ref129590332"/>
      <w:bookmarkStart w:id="6" w:name="_Toc129624647"/>
      <w:bookmarkStart w:id="7" w:name="_Toc129625963"/>
      <w:bookmarkStart w:id="8" w:name="_Toc130914912"/>
      <w:bookmarkStart w:id="9" w:name="_Toc130915217"/>
      <w:bookmarkStart w:id="10" w:name="_Toc130915426"/>
      <w:bookmarkStart w:id="11" w:name="_Ref129180520"/>
    </w:p>
    <w:p w14:paraId="5374E1D3" w14:textId="77777777" w:rsidR="00B9425C" w:rsidRPr="005A7BB0" w:rsidRDefault="00B9425C" w:rsidP="00B9425C">
      <w:pPr>
        <w:pStyle w:val="Caption"/>
      </w:pPr>
      <w:r w:rsidRPr="005A7BB0">
        <w:t>Table A.</w:t>
      </w:r>
      <w:r w:rsidRPr="005A7BB0">
        <w:fldChar w:fldCharType="begin"/>
      </w:r>
      <w:r w:rsidRPr="005A7BB0">
        <w:instrText xml:space="preserve"> SEQ Table_A. \* ARABIC </w:instrText>
      </w:r>
      <w:r w:rsidRPr="005A7BB0">
        <w:fldChar w:fldCharType="separate"/>
      </w:r>
      <w:r>
        <w:rPr>
          <w:noProof/>
        </w:rPr>
        <w:t>2</w:t>
      </w:r>
      <w:r w:rsidRPr="005A7BB0">
        <w:fldChar w:fldCharType="end"/>
      </w:r>
      <w:bookmarkEnd w:id="5"/>
      <w:r w:rsidRPr="005A7BB0">
        <w:t xml:space="preserve">: Overview of the compliance options, </w:t>
      </w:r>
      <w:r>
        <w:t xml:space="preserve">stipulated in </w:t>
      </w:r>
      <w:r w:rsidRPr="005A7BB0">
        <w:t xml:space="preserve"> sect. 37a, para. 5, BImSchG</w:t>
      </w:r>
      <w:r>
        <w:t xml:space="preserve"> for 2022-2030, as of </w:t>
      </w:r>
      <w:r w:rsidRPr="005A7BB0">
        <w:t xml:space="preserve"> October 19, 2022</w:t>
      </w:r>
      <w:bookmarkEnd w:id="6"/>
      <w:bookmarkEnd w:id="7"/>
      <w:bookmarkEnd w:id="8"/>
      <w:bookmarkEnd w:id="9"/>
      <w:bookmarkEnd w:id="10"/>
    </w:p>
    <w:tbl>
      <w:tblPr>
        <w:tblW w:w="89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4"/>
        <w:gridCol w:w="739"/>
        <w:gridCol w:w="739"/>
        <w:gridCol w:w="739"/>
        <w:gridCol w:w="740"/>
        <w:gridCol w:w="740"/>
        <w:gridCol w:w="740"/>
        <w:gridCol w:w="740"/>
        <w:gridCol w:w="740"/>
        <w:gridCol w:w="819"/>
      </w:tblGrid>
      <w:tr w:rsidR="00B9425C" w:rsidRPr="005A7BB0" w14:paraId="73E6415C" w14:textId="77777777" w:rsidTr="00DD00AF">
        <w:trPr>
          <w:trHeight w:val="249"/>
        </w:trPr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084839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</w:rPr>
            </w:pP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7941D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  <w:b/>
                <w:bCs/>
                <w:kern w:val="24"/>
                <w:sz w:val="21"/>
                <w:szCs w:val="21"/>
              </w:rPr>
              <w:t>2022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89FB77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  <w:b/>
                <w:bCs/>
                <w:kern w:val="24"/>
                <w:sz w:val="21"/>
                <w:szCs w:val="21"/>
              </w:rPr>
              <w:t>2023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109C0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  <w:b/>
                <w:bCs/>
                <w:kern w:val="24"/>
                <w:sz w:val="21"/>
                <w:szCs w:val="21"/>
              </w:rPr>
              <w:t>2024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5FFEF7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  <w:b/>
                <w:bCs/>
                <w:kern w:val="24"/>
                <w:sz w:val="21"/>
                <w:szCs w:val="21"/>
              </w:rPr>
              <w:t>2025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51901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  <w:b/>
                <w:bCs/>
                <w:kern w:val="24"/>
                <w:sz w:val="21"/>
                <w:szCs w:val="21"/>
              </w:rPr>
              <w:t>2026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5D1BF1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  <w:b/>
                <w:bCs/>
                <w:kern w:val="24"/>
                <w:sz w:val="21"/>
                <w:szCs w:val="21"/>
              </w:rPr>
              <w:t>2027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5F1EC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  <w:b/>
                <w:bCs/>
                <w:kern w:val="24"/>
                <w:sz w:val="21"/>
                <w:szCs w:val="21"/>
              </w:rPr>
              <w:t>2028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1ED0DD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  <w:b/>
                <w:bCs/>
                <w:kern w:val="24"/>
                <w:sz w:val="21"/>
                <w:szCs w:val="21"/>
              </w:rPr>
              <w:t>2029</w:t>
            </w:r>
          </w:p>
        </w:tc>
        <w:tc>
          <w:tcPr>
            <w:tcW w:w="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3F77DD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  <w:b/>
                <w:bCs/>
                <w:kern w:val="24"/>
                <w:sz w:val="21"/>
                <w:szCs w:val="21"/>
              </w:rPr>
              <w:t>2030</w:t>
            </w:r>
          </w:p>
        </w:tc>
      </w:tr>
      <w:tr w:rsidR="00B9425C" w:rsidRPr="005A7BB0" w14:paraId="3D35C3EF" w14:textId="77777777" w:rsidTr="00DD00AF">
        <w:tc>
          <w:tcPr>
            <w:tcW w:w="2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664BB9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 xml:space="preserve">Used cooking oils and animal fats </w:t>
            </w:r>
          </w:p>
          <w:p w14:paraId="6673E839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(upper limit, energetic)</w:t>
            </w:r>
          </w:p>
        </w:tc>
        <w:tc>
          <w:tcPr>
            <w:tcW w:w="6720" w:type="dxa"/>
            <w:gridSpan w:val="9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0C1C1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1.9%</w:t>
            </w:r>
          </w:p>
        </w:tc>
      </w:tr>
      <w:tr w:rsidR="00B9425C" w:rsidRPr="005A7BB0" w14:paraId="3B67CD5F" w14:textId="77777777" w:rsidTr="00DD00AF"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A71DA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Palm oil</w:t>
            </w:r>
          </w:p>
          <w:p w14:paraId="6FDEA3B7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(upper limit, energetic)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3B966C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0.9%</w:t>
            </w:r>
          </w:p>
        </w:tc>
        <w:tc>
          <w:tcPr>
            <w:tcW w:w="598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67949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Forbitten</w:t>
            </w:r>
          </w:p>
        </w:tc>
      </w:tr>
      <w:tr w:rsidR="00B9425C" w:rsidRPr="005A7BB0" w14:paraId="51647CE7" w14:textId="77777777" w:rsidTr="00DD00AF">
        <w:trPr>
          <w:trHeight w:val="249"/>
        </w:trPr>
        <w:tc>
          <w:tcPr>
            <w:tcW w:w="22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3E85EA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 xml:space="preserve">Advanced biofuels </w:t>
            </w:r>
          </w:p>
          <w:p w14:paraId="31A411AA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(lower limit, energetic)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466E50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0.2%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02DECF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0.3%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2A8CD4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0.4%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6994ED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0.7%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834839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1.0%</w:t>
            </w:r>
          </w:p>
        </w:tc>
        <w:tc>
          <w:tcPr>
            <w:tcW w:w="148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76A3C6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1.7%</w:t>
            </w:r>
          </w:p>
        </w:tc>
        <w:tc>
          <w:tcPr>
            <w:tcW w:w="15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75C071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2.6%</w:t>
            </w:r>
          </w:p>
        </w:tc>
      </w:tr>
      <w:tr w:rsidR="00B9425C" w:rsidRPr="000D2057" w14:paraId="6C4FE79C" w14:textId="77777777" w:rsidTr="00DD00AF"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7187932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672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E2D63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Multiple credit with factor 2 for quantities above the lower limit</w:t>
            </w:r>
          </w:p>
        </w:tc>
      </w:tr>
      <w:tr w:rsidR="00B9425C" w:rsidRPr="005A7BB0" w14:paraId="2F5C6DAC" w14:textId="77777777" w:rsidTr="00DD00AF">
        <w:trPr>
          <w:trHeight w:val="407"/>
        </w:trPr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7531CC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Hydrogen and PtX fuels</w:t>
            </w:r>
          </w:p>
        </w:tc>
        <w:tc>
          <w:tcPr>
            <w:tcW w:w="672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44F21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Multiple credit with factor 2</w:t>
            </w:r>
          </w:p>
        </w:tc>
      </w:tr>
      <w:tr w:rsidR="00B9425C" w:rsidRPr="000D2057" w14:paraId="387E7E5A" w14:textId="77777777" w:rsidTr="00DD00AF">
        <w:trPr>
          <w:trHeight w:val="249"/>
        </w:trPr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E81A4F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Biogenic hydrogen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45EC5D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5980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99750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Use in road vehicles creditable as of 2023</w:t>
            </w:r>
          </w:p>
        </w:tc>
      </w:tr>
      <w:tr w:rsidR="00B9425C" w:rsidRPr="005A7BB0" w14:paraId="03F0A19D" w14:textId="77777777" w:rsidTr="00DD00AF">
        <w:trPr>
          <w:trHeight w:val="249"/>
        </w:trPr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21590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Electricity</w:t>
            </w:r>
          </w:p>
        </w:tc>
        <w:tc>
          <w:tcPr>
            <w:tcW w:w="672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23179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Multiple credit with factor 3</w:t>
            </w:r>
          </w:p>
        </w:tc>
      </w:tr>
      <w:tr w:rsidR="00B9425C" w:rsidRPr="005A7BB0" w14:paraId="4D9A5342" w14:textId="77777777" w:rsidTr="00DD00AF"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74AF6B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UER</w:t>
            </w:r>
          </w:p>
        </w:tc>
        <w:tc>
          <w:tcPr>
            <w:tcW w:w="3680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7A7C3B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Creditable until 2026</w:t>
            </w:r>
          </w:p>
        </w:tc>
        <w:tc>
          <w:tcPr>
            <w:tcW w:w="302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FCAD89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Forbi</w:t>
            </w:r>
            <w:r>
              <w:rPr>
                <w:rFonts w:asciiTheme="majorBidi" w:hAnsiTheme="majorBidi" w:cstheme="majorBidi"/>
              </w:rPr>
              <w:t>dd</w:t>
            </w:r>
            <w:r w:rsidRPr="005A7BB0">
              <w:rPr>
                <w:rFonts w:asciiTheme="majorBidi" w:hAnsiTheme="majorBidi" w:cstheme="majorBidi"/>
              </w:rPr>
              <w:t>en</w:t>
            </w:r>
          </w:p>
        </w:tc>
      </w:tr>
      <w:tr w:rsidR="00B9425C" w:rsidRPr="005A7BB0" w14:paraId="33A1535C" w14:textId="77777777" w:rsidTr="00DD00AF">
        <w:trPr>
          <w:trHeight w:val="407"/>
        </w:trPr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78F9CC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GHG mitigation from previous year</w:t>
            </w:r>
          </w:p>
        </w:tc>
        <w:tc>
          <w:tcPr>
            <w:tcW w:w="672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3D363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No specifications</w:t>
            </w:r>
          </w:p>
        </w:tc>
      </w:tr>
      <w:tr w:rsidR="00B9425C" w:rsidRPr="005A7BB0" w14:paraId="0038744D" w14:textId="77777777" w:rsidTr="00DD00AF">
        <w:trPr>
          <w:trHeight w:val="407"/>
        </w:trPr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07B475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Fossil fuels</w:t>
            </w:r>
          </w:p>
        </w:tc>
        <w:tc>
          <w:tcPr>
            <w:tcW w:w="6720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2C3A4" w14:textId="77777777" w:rsidR="00B9425C" w:rsidRPr="005A7BB0" w:rsidRDefault="00B9425C" w:rsidP="00DD00AF">
            <w:pPr>
              <w:pStyle w:val="StandardohneAbsatz"/>
              <w:rPr>
                <w:rFonts w:asciiTheme="majorBidi" w:hAnsiTheme="majorBidi" w:cstheme="majorBidi"/>
                <w:sz w:val="36"/>
                <w:szCs w:val="36"/>
              </w:rPr>
            </w:pPr>
            <w:r w:rsidRPr="005A7BB0">
              <w:rPr>
                <w:rFonts w:asciiTheme="majorBidi" w:hAnsiTheme="majorBidi" w:cstheme="majorBidi"/>
              </w:rPr>
              <w:t>Forbi</w:t>
            </w:r>
            <w:r>
              <w:rPr>
                <w:rFonts w:asciiTheme="majorBidi" w:hAnsiTheme="majorBidi" w:cstheme="majorBidi"/>
              </w:rPr>
              <w:t>dd</w:t>
            </w:r>
            <w:r w:rsidRPr="005A7BB0">
              <w:rPr>
                <w:rFonts w:asciiTheme="majorBidi" w:hAnsiTheme="majorBidi" w:cstheme="majorBidi"/>
              </w:rPr>
              <w:t>en from 2022</w:t>
            </w:r>
          </w:p>
        </w:tc>
      </w:tr>
    </w:tbl>
    <w:p w14:paraId="10D25C0F" w14:textId="77777777" w:rsidR="00B9425C" w:rsidRPr="005A7BB0" w:rsidRDefault="00B9425C" w:rsidP="00B9425C">
      <w:pPr>
        <w:rPr>
          <w:rFonts w:asciiTheme="majorBidi" w:hAnsiTheme="majorBidi" w:cstheme="majorBidi"/>
          <w:i/>
          <w:iCs/>
          <w:sz w:val="20"/>
          <w:szCs w:val="18"/>
          <w:lang w:val="en-US"/>
        </w:rPr>
      </w:pPr>
    </w:p>
    <w:bookmarkEnd w:id="11"/>
    <w:p w14:paraId="712253C2" w14:textId="77777777" w:rsidR="00B9425C" w:rsidRPr="005A7BB0" w:rsidRDefault="00B9425C" w:rsidP="00B9425C">
      <w:pPr>
        <w:spacing w:line="240" w:lineRule="auto"/>
        <w:rPr>
          <w:rFonts w:asciiTheme="majorBidi" w:hAnsiTheme="majorBidi" w:cstheme="majorBidi"/>
          <w:i/>
          <w:iCs/>
          <w:color w:val="000000" w:themeColor="text1"/>
          <w:sz w:val="20"/>
          <w:szCs w:val="18"/>
          <w:lang w:val="en-US"/>
        </w:rPr>
      </w:pPr>
    </w:p>
    <w:p w14:paraId="4CF43D68" w14:textId="77777777" w:rsidR="00B9425C" w:rsidRPr="005A7BB0" w:rsidRDefault="00B9425C" w:rsidP="00B9425C">
      <w:pPr>
        <w:spacing w:after="0"/>
        <w:rPr>
          <w:rFonts w:asciiTheme="majorBidi" w:hAnsiTheme="majorBidi" w:cstheme="majorBidi"/>
          <w:color w:val="000000" w:themeColor="text1"/>
          <w:lang w:val="en-US"/>
        </w:rPr>
      </w:pPr>
      <w:r w:rsidRPr="005A7BB0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6D2D1884" wp14:editId="76127C8E">
            <wp:extent cx="5760085" cy="3460115"/>
            <wp:effectExtent l="0" t="0" r="18415" b="6985"/>
            <wp:docPr id="25" name="Diagramm 25">
              <a:extLst xmlns:a="http://schemas.openxmlformats.org/drawingml/2006/main">
                <a:ext uri="{FF2B5EF4-FFF2-40B4-BE49-F238E27FC236}">
                  <a16:creationId xmlns:a16="http://schemas.microsoft.com/office/drawing/2014/main" id="{44236130-C9AD-D54F-98BB-4D59087526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0E49B78" w14:textId="77777777" w:rsidR="00B9425C" w:rsidRPr="005A7BB0" w:rsidRDefault="00B9425C" w:rsidP="00B9425C">
      <w:pPr>
        <w:pStyle w:val="Caption"/>
      </w:pPr>
      <w:bookmarkStart w:id="12" w:name="_Ref129631867"/>
      <w:bookmarkStart w:id="13" w:name="_Toc130914319"/>
      <w:r w:rsidRPr="005A7BB0">
        <w:t>Figure A.</w:t>
      </w:r>
      <w:r w:rsidRPr="005A7BB0">
        <w:fldChar w:fldCharType="begin"/>
      </w:r>
      <w:r w:rsidRPr="005A7BB0">
        <w:instrText xml:space="preserve"> SEQ Figure_A. \* ARABIC </w:instrText>
      </w:r>
      <w:r w:rsidRPr="005A7BB0">
        <w:fldChar w:fldCharType="separate"/>
      </w:r>
      <w:r>
        <w:rPr>
          <w:noProof/>
        </w:rPr>
        <w:t>1</w:t>
      </w:r>
      <w:r w:rsidRPr="005A7BB0">
        <w:fldChar w:fldCharType="end"/>
      </w:r>
      <w:bookmarkEnd w:id="12"/>
      <w:r w:rsidRPr="005A7BB0">
        <w:t xml:space="preserve">: Bids for the no crop compliance option certificates </w:t>
      </w:r>
      <w:r>
        <w:t xml:space="preserve">in Germany </w:t>
      </w:r>
      <w:r w:rsidRPr="005A7BB0">
        <w:t>in 2021</w:t>
      </w:r>
      <w:bookmarkEnd w:id="13"/>
    </w:p>
    <w:p w14:paraId="0D0058CB" w14:textId="77777777" w:rsidR="00CA67E5" w:rsidRDefault="00B9425C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96363"/>
    <w:multiLevelType w:val="hybridMultilevel"/>
    <w:tmpl w:val="49C2E854"/>
    <w:lvl w:ilvl="0" w:tplc="5BF67112">
      <w:start w:val="1"/>
      <w:numFmt w:val="decimal"/>
      <w:pStyle w:val="berschriftPap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5C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B9425C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04558"/>
  <w15:chartTrackingRefBased/>
  <w15:docId w15:val="{04DB6787-47B5-4807-97C7-52ACBF3D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25C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Paper Beschriftung Abbildung"/>
    <w:basedOn w:val="Normal"/>
    <w:next w:val="Normal"/>
    <w:autoRedefine/>
    <w:unhideWhenUsed/>
    <w:qFormat/>
    <w:rsid w:val="00B9425C"/>
    <w:pPr>
      <w:keepNext/>
      <w:spacing w:after="120" w:line="240" w:lineRule="auto"/>
      <w:ind w:left="993" w:hanging="993"/>
    </w:pPr>
    <w:rPr>
      <w:rFonts w:ascii="Times New Roman" w:eastAsia="Calibri" w:hAnsi="Times New Roman" w:cs="Times New Roman"/>
      <w:i/>
      <w:iCs/>
      <w:color w:val="000000" w:themeColor="text1"/>
      <w:lang w:val="en-US"/>
    </w:rPr>
  </w:style>
  <w:style w:type="paragraph" w:customStyle="1" w:styleId="StandardohneAbsatz">
    <w:name w:val="Standard ohne Absatz"/>
    <w:basedOn w:val="Normal"/>
    <w:qFormat/>
    <w:rsid w:val="00B9425C"/>
    <w:pPr>
      <w:spacing w:after="0" w:line="240" w:lineRule="auto"/>
      <w:jc w:val="both"/>
    </w:pPr>
    <w:rPr>
      <w:rFonts w:ascii="Times New Roman" w:eastAsia="MS Mincho" w:hAnsi="Times New Roman" w:cs="Times New Roman"/>
      <w:sz w:val="18"/>
      <w:szCs w:val="24"/>
      <w:lang w:val="en-US" w:eastAsia="de-DE"/>
    </w:rPr>
  </w:style>
  <w:style w:type="table" w:styleId="GridTable2">
    <w:name w:val="Grid Table 2"/>
    <w:basedOn w:val="TableNormal"/>
    <w:uiPriority w:val="47"/>
    <w:rsid w:val="00B9425C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erschriftPaper">
    <w:name w:val="Überschrift Paper"/>
    <w:basedOn w:val="Normal"/>
    <w:qFormat/>
    <w:rsid w:val="00B9425C"/>
    <w:pPr>
      <w:keepNext/>
      <w:numPr>
        <w:numId w:val="1"/>
      </w:numPr>
      <w:autoSpaceDE w:val="0"/>
      <w:autoSpaceDN w:val="0"/>
      <w:adjustRightInd w:val="0"/>
      <w:spacing w:before="240" w:after="120" w:line="360" w:lineRule="auto"/>
      <w:ind w:left="357" w:hanging="357"/>
      <w:jc w:val="both"/>
    </w:pPr>
    <w:rPr>
      <w:rFonts w:ascii="Times New Roman" w:hAnsi="Times New Roman" w:cs="Times New Roman"/>
      <w:b/>
      <w:bCs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'No Cap Preise'!$B$1</c:f>
              <c:strCache>
                <c:ptCount val="1"/>
                <c:pt idx="0">
                  <c:v>bid 2021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'No Cap Preise'!$A$2:$A$53</c:f>
              <c:numCache>
                <c:formatCode>General</c:formatCode>
                <c:ptCount val="5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</c:numCache>
            </c:numRef>
          </c:cat>
          <c:val>
            <c:numRef>
              <c:f>'No Cap Preise'!$B$2:$B$53</c:f>
              <c:numCache>
                <c:formatCode>0</c:formatCode>
                <c:ptCount val="52"/>
                <c:pt idx="0">
                  <c:v>260</c:v>
                </c:pt>
                <c:pt idx="1">
                  <c:v>265</c:v>
                </c:pt>
                <c:pt idx="2">
                  <c:v>265</c:v>
                </c:pt>
                <c:pt idx="3">
                  <c:v>270</c:v>
                </c:pt>
                <c:pt idx="4">
                  <c:v>265</c:v>
                </c:pt>
                <c:pt idx="5">
                  <c:v>255</c:v>
                </c:pt>
                <c:pt idx="6">
                  <c:v>255</c:v>
                </c:pt>
                <c:pt idx="7">
                  <c:v>260</c:v>
                </c:pt>
                <c:pt idx="8">
                  <c:v>260</c:v>
                </c:pt>
                <c:pt idx="9">
                  <c:v>265</c:v>
                </c:pt>
                <c:pt idx="10">
                  <c:v>270</c:v>
                </c:pt>
                <c:pt idx="11">
                  <c:v>270</c:v>
                </c:pt>
                <c:pt idx="12">
                  <c:v>275</c:v>
                </c:pt>
                <c:pt idx="13">
                  <c:v>275</c:v>
                </c:pt>
                <c:pt idx="14">
                  <c:v>270</c:v>
                </c:pt>
                <c:pt idx="15">
                  <c:v>270</c:v>
                </c:pt>
                <c:pt idx="16">
                  <c:v>270</c:v>
                </c:pt>
                <c:pt idx="17">
                  <c:v>275</c:v>
                </c:pt>
                <c:pt idx="18">
                  <c:v>275</c:v>
                </c:pt>
                <c:pt idx="19">
                  <c:v>275</c:v>
                </c:pt>
                <c:pt idx="20">
                  <c:v>295</c:v>
                </c:pt>
                <c:pt idx="21">
                  <c:v>310</c:v>
                </c:pt>
                <c:pt idx="22">
                  <c:v>325</c:v>
                </c:pt>
                <c:pt idx="23">
                  <c:v>330</c:v>
                </c:pt>
                <c:pt idx="24">
                  <c:v>335</c:v>
                </c:pt>
                <c:pt idx="25">
                  <c:v>340</c:v>
                </c:pt>
                <c:pt idx="26">
                  <c:v>350</c:v>
                </c:pt>
                <c:pt idx="27">
                  <c:v>360</c:v>
                </c:pt>
                <c:pt idx="28">
                  <c:v>370</c:v>
                </c:pt>
                <c:pt idx="29">
                  <c:v>385</c:v>
                </c:pt>
                <c:pt idx="30">
                  <c:v>395</c:v>
                </c:pt>
                <c:pt idx="31">
                  <c:v>405</c:v>
                </c:pt>
                <c:pt idx="32">
                  <c:v>400</c:v>
                </c:pt>
                <c:pt idx="33">
                  <c:v>390</c:v>
                </c:pt>
                <c:pt idx="34">
                  <c:v>380</c:v>
                </c:pt>
                <c:pt idx="35">
                  <c:v>400</c:v>
                </c:pt>
                <c:pt idx="36">
                  <c:v>400</c:v>
                </c:pt>
                <c:pt idx="37">
                  <c:v>405</c:v>
                </c:pt>
                <c:pt idx="38">
                  <c:v>420</c:v>
                </c:pt>
                <c:pt idx="39">
                  <c:v>435</c:v>
                </c:pt>
                <c:pt idx="40">
                  <c:v>450</c:v>
                </c:pt>
                <c:pt idx="41">
                  <c:v>460</c:v>
                </c:pt>
                <c:pt idx="42">
                  <c:v>460</c:v>
                </c:pt>
                <c:pt idx="43">
                  <c:v>470</c:v>
                </c:pt>
                <c:pt idx="44">
                  <c:v>490</c:v>
                </c:pt>
                <c:pt idx="45">
                  <c:v>500</c:v>
                </c:pt>
                <c:pt idx="46">
                  <c:v>520</c:v>
                </c:pt>
                <c:pt idx="47">
                  <c:v>510</c:v>
                </c:pt>
                <c:pt idx="48">
                  <c:v>500</c:v>
                </c:pt>
                <c:pt idx="49">
                  <c:v>495</c:v>
                </c:pt>
                <c:pt idx="50">
                  <c:v>490</c:v>
                </c:pt>
                <c:pt idx="51">
                  <c:v>485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20-44F9-BC73-73FE78DE5A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08699791"/>
        <c:axId val="1123646031"/>
      </c:lineChart>
      <c:catAx>
        <c:axId val="170869979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/>
                  <a:t>Calendar week</a:t>
                </a:r>
              </a:p>
            </c:rich>
          </c:tx>
          <c:layout>
            <c:manualLayout>
              <c:xMode val="edge"/>
              <c:yMode val="edge"/>
              <c:x val="0.47077586528671017"/>
              <c:y val="0.9279682900712837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 rtl="0">
                <a:defRPr sz="105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23646031"/>
        <c:crossesAt val="250"/>
        <c:auto val="1"/>
        <c:lblAlgn val="ctr"/>
        <c:lblOffset val="100"/>
        <c:tickLblSkip val="5"/>
        <c:noMultiLvlLbl val="0"/>
      </c:catAx>
      <c:valAx>
        <c:axId val="1123646031"/>
        <c:scaling>
          <c:orientation val="minMax"/>
          <c:max val="530"/>
          <c:min val="2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/>
                  <a:t>Bids in €/t CO2eq</a:t>
                </a:r>
              </a:p>
            </c:rich>
          </c:tx>
          <c:layout>
            <c:manualLayout>
              <c:xMode val="edge"/>
              <c:yMode val="edge"/>
              <c:x val="1.5653213530785681E-3"/>
              <c:y val="0.373041350587779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ctr" rtl="0">
                <a:defRPr sz="105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08699791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1388</Characters>
  <Application>Microsoft Office Word</Application>
  <DocSecurity>0</DocSecurity>
  <Lines>11</Lines>
  <Paragraphs>3</Paragraphs>
  <ScaleCrop>false</ScaleCrop>
  <Company>Springer Nature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2023-11-30T10:02:00Z</dcterms:created>
  <dcterms:modified xsi:type="dcterms:W3CDTF">2023-11-30T10:02:00Z</dcterms:modified>
</cp:coreProperties>
</file>