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776EFE" w14:textId="39F65CA1" w:rsidR="00CE3DDE" w:rsidRPr="009B05AE" w:rsidRDefault="009B05AE" w:rsidP="009B05AE">
      <w:pPr>
        <w:ind w:left="-63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B05AE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E90B99" w:rsidRPr="009B05AE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Pr="009B05AE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E90B99" w:rsidRPr="009B05AE">
        <w:rPr>
          <w:rFonts w:ascii="Times New Roman" w:hAnsi="Times New Roman" w:cs="Times New Roman"/>
          <w:sz w:val="24"/>
          <w:szCs w:val="24"/>
        </w:rPr>
        <w:t xml:space="preserve">  Characteristics of </w:t>
      </w:r>
      <w:r w:rsidR="00212835">
        <w:rPr>
          <w:rFonts w:ascii="Times New Roman" w:hAnsi="Times New Roman" w:cs="Times New Roman"/>
          <w:sz w:val="24"/>
          <w:szCs w:val="24"/>
        </w:rPr>
        <w:t>ten</w:t>
      </w:r>
      <w:r w:rsidR="00E90B99" w:rsidRPr="009B05AE">
        <w:rPr>
          <w:rFonts w:ascii="Times New Roman" w:hAnsi="Times New Roman" w:cs="Times New Roman"/>
          <w:sz w:val="24"/>
          <w:szCs w:val="24"/>
        </w:rPr>
        <w:t xml:space="preserve"> studies included after review of literature associating selenium concentration and gene polymorphism among various disorders </w:t>
      </w:r>
    </w:p>
    <w:tbl>
      <w:tblPr>
        <w:tblStyle w:val="TableGrid"/>
        <w:tblW w:w="10714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1501"/>
        <w:gridCol w:w="1199"/>
        <w:gridCol w:w="1350"/>
        <w:gridCol w:w="990"/>
        <w:gridCol w:w="1316"/>
        <w:gridCol w:w="1590"/>
        <w:gridCol w:w="1338"/>
        <w:gridCol w:w="1430"/>
      </w:tblGrid>
      <w:tr w:rsidR="00E90B99" w:rsidRPr="00DE51C3" w14:paraId="31775266" w14:textId="77777777" w:rsidTr="009B05AE">
        <w:tc>
          <w:tcPr>
            <w:tcW w:w="1501" w:type="dxa"/>
            <w:vAlign w:val="center"/>
          </w:tcPr>
          <w:p w14:paraId="6D248947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b/>
                <w:bCs/>
                <w:color w:val="000000" w:themeColor="text1"/>
                <w:kern w:val="24"/>
                <w:lang w:val="en-US"/>
              </w:rPr>
              <w:t>Gene</w:t>
            </w:r>
          </w:p>
        </w:tc>
        <w:tc>
          <w:tcPr>
            <w:tcW w:w="1199" w:type="dxa"/>
            <w:vAlign w:val="center"/>
          </w:tcPr>
          <w:p w14:paraId="2DB369AC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b/>
                <w:bCs/>
                <w:color w:val="000000" w:themeColor="text1"/>
                <w:kern w:val="24"/>
                <w:lang w:val="en-US"/>
              </w:rPr>
              <w:t>Variant (SNP)</w:t>
            </w:r>
          </w:p>
        </w:tc>
        <w:tc>
          <w:tcPr>
            <w:tcW w:w="1350" w:type="dxa"/>
            <w:vAlign w:val="center"/>
          </w:tcPr>
          <w:p w14:paraId="56E9AF25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b/>
                <w:bCs/>
                <w:color w:val="000000" w:themeColor="text1"/>
                <w:kern w:val="24"/>
                <w:lang w:val="en-US"/>
              </w:rPr>
              <w:t>Type of Study</w:t>
            </w:r>
          </w:p>
        </w:tc>
        <w:tc>
          <w:tcPr>
            <w:tcW w:w="990" w:type="dxa"/>
            <w:vAlign w:val="center"/>
          </w:tcPr>
          <w:p w14:paraId="5DF0F91A" w14:textId="77777777" w:rsidR="00E90B99" w:rsidRPr="00DE51C3" w:rsidRDefault="00E90B99" w:rsidP="00C60C6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51C3">
              <w:rPr>
                <w:rFonts w:ascii="Calibri" w:hAnsi="Calibri" w:cs="Calibri"/>
                <w:b/>
                <w:bCs/>
                <w:color w:val="000000" w:themeColor="text1"/>
                <w:kern w:val="24"/>
                <w:sz w:val="22"/>
                <w:szCs w:val="22"/>
                <w:lang w:val="en-US"/>
              </w:rPr>
              <w:t>Region/</w:t>
            </w:r>
          </w:p>
          <w:p w14:paraId="00915269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b/>
                <w:bCs/>
                <w:color w:val="000000" w:themeColor="text1"/>
                <w:kern w:val="24"/>
                <w:lang w:val="en-US"/>
              </w:rPr>
              <w:t>Country</w:t>
            </w:r>
          </w:p>
        </w:tc>
        <w:tc>
          <w:tcPr>
            <w:tcW w:w="1316" w:type="dxa"/>
            <w:vAlign w:val="center"/>
          </w:tcPr>
          <w:p w14:paraId="62133233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b/>
                <w:bCs/>
                <w:color w:val="000000" w:themeColor="text1"/>
                <w:kern w:val="24"/>
                <w:lang w:val="en-US"/>
              </w:rPr>
              <w:t>Population</w:t>
            </w:r>
          </w:p>
        </w:tc>
        <w:tc>
          <w:tcPr>
            <w:tcW w:w="1590" w:type="dxa"/>
            <w:vAlign w:val="center"/>
          </w:tcPr>
          <w:p w14:paraId="1579C73E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b/>
                <w:bCs/>
                <w:color w:val="000000" w:themeColor="text1"/>
                <w:kern w:val="24"/>
                <w:lang w:val="en-US"/>
              </w:rPr>
              <w:t>Disorder</w:t>
            </w:r>
          </w:p>
        </w:tc>
        <w:tc>
          <w:tcPr>
            <w:tcW w:w="1338" w:type="dxa"/>
            <w:vAlign w:val="center"/>
          </w:tcPr>
          <w:p w14:paraId="7BDD4600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b/>
                <w:bCs/>
                <w:color w:val="000000" w:themeColor="text1"/>
                <w:kern w:val="24"/>
                <w:lang w:val="en-US"/>
              </w:rPr>
              <w:t>Observation</w:t>
            </w:r>
          </w:p>
        </w:tc>
        <w:tc>
          <w:tcPr>
            <w:tcW w:w="1430" w:type="dxa"/>
            <w:vAlign w:val="center"/>
          </w:tcPr>
          <w:p w14:paraId="72D35BD8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b/>
                <w:bCs/>
                <w:color w:val="000000" w:themeColor="text1"/>
                <w:kern w:val="24"/>
                <w:lang w:val="en-US"/>
              </w:rPr>
              <w:t>Reference</w:t>
            </w:r>
          </w:p>
        </w:tc>
      </w:tr>
      <w:tr w:rsidR="00E90B99" w:rsidRPr="00DE51C3" w14:paraId="7CB2C89F" w14:textId="77777777" w:rsidTr="009B05AE">
        <w:tc>
          <w:tcPr>
            <w:tcW w:w="1501" w:type="dxa"/>
            <w:vMerge w:val="restart"/>
            <w:vAlign w:val="center"/>
          </w:tcPr>
          <w:p w14:paraId="49A0E04E" w14:textId="77777777" w:rsidR="00E90B99" w:rsidRPr="00DE51C3" w:rsidRDefault="00E90B99" w:rsidP="00C60C66">
            <w:pPr>
              <w:jc w:val="center"/>
            </w:pPr>
            <w:r w:rsidRPr="00DE51C3">
              <w:rPr>
                <w:b/>
                <w:bCs/>
              </w:rPr>
              <w:t>Selenoprot</w:t>
            </w:r>
            <w:r>
              <w:rPr>
                <w:b/>
                <w:bCs/>
              </w:rPr>
              <w:t>e</w:t>
            </w:r>
            <w:r w:rsidRPr="00DE51C3">
              <w:rPr>
                <w:b/>
                <w:bCs/>
              </w:rPr>
              <w:t>in P (</w:t>
            </w:r>
            <w:r w:rsidRPr="009B05AE">
              <w:rPr>
                <w:b/>
                <w:bCs/>
                <w:i/>
                <w:iCs/>
              </w:rPr>
              <w:t>SELENOP, SEPP1</w:t>
            </w:r>
            <w:r>
              <w:rPr>
                <w:b/>
                <w:bCs/>
              </w:rPr>
              <w:t>)</w:t>
            </w:r>
          </w:p>
        </w:tc>
        <w:tc>
          <w:tcPr>
            <w:tcW w:w="1199" w:type="dxa"/>
            <w:vMerge w:val="restart"/>
            <w:vAlign w:val="center"/>
          </w:tcPr>
          <w:p w14:paraId="3BC9F497" w14:textId="77777777" w:rsidR="00E90B99" w:rsidRPr="009B05AE" w:rsidRDefault="00E90B99" w:rsidP="00C60C66">
            <w:pPr>
              <w:jc w:val="center"/>
            </w:pPr>
          </w:p>
          <w:p w14:paraId="4DB9200B" w14:textId="77777777" w:rsidR="00E90B99" w:rsidRPr="009B05AE" w:rsidRDefault="00E90B99" w:rsidP="00C60C66">
            <w:pPr>
              <w:jc w:val="center"/>
            </w:pPr>
            <w:r w:rsidRPr="009B05AE">
              <w:t>rs3877899</w:t>
            </w:r>
          </w:p>
        </w:tc>
        <w:tc>
          <w:tcPr>
            <w:tcW w:w="1350" w:type="dxa"/>
            <w:vAlign w:val="center"/>
          </w:tcPr>
          <w:p w14:paraId="520F2202" w14:textId="77777777" w:rsidR="00E90B99" w:rsidRPr="00DE51C3" w:rsidRDefault="00E90B99" w:rsidP="00C60C66">
            <w:pPr>
              <w:jc w:val="center"/>
            </w:pPr>
            <w:r w:rsidRPr="00DE51C3">
              <w:rPr>
                <w:rFonts w:hAnsi="Calibri" w:cs="Calibri"/>
                <w:color w:val="000000" w:themeColor="text1"/>
                <w:kern w:val="24"/>
                <w:lang w:val="en-US"/>
              </w:rPr>
              <w:t>Cohort study</w:t>
            </w:r>
          </w:p>
        </w:tc>
        <w:tc>
          <w:tcPr>
            <w:tcW w:w="990" w:type="dxa"/>
            <w:vAlign w:val="center"/>
          </w:tcPr>
          <w:p w14:paraId="299882AA" w14:textId="77777777" w:rsidR="00E90B99" w:rsidRPr="00DE51C3" w:rsidRDefault="00E90B99" w:rsidP="00C60C66">
            <w:pPr>
              <w:jc w:val="center"/>
            </w:pPr>
            <w:r w:rsidRPr="00DE51C3">
              <w:rPr>
                <w:rFonts w:hAnsi="Calibri" w:cs="Calibri"/>
                <w:color w:val="000000"/>
                <w:kern w:val="24"/>
                <w:lang w:val="en-US"/>
              </w:rPr>
              <w:t>China</w:t>
            </w:r>
          </w:p>
        </w:tc>
        <w:tc>
          <w:tcPr>
            <w:tcW w:w="1316" w:type="dxa"/>
            <w:vAlign w:val="center"/>
          </w:tcPr>
          <w:p w14:paraId="5AD988BA" w14:textId="77777777" w:rsidR="00E90B99" w:rsidRPr="00DE51C3" w:rsidRDefault="00E90B99" w:rsidP="00C60C66">
            <w:pPr>
              <w:jc w:val="center"/>
            </w:pPr>
            <w:r w:rsidRPr="00DE51C3">
              <w:rPr>
                <w:rFonts w:hAnsi="Calibri" w:cs="Calibri"/>
                <w:color w:val="000000" w:themeColor="text1"/>
                <w:kern w:val="24"/>
                <w:lang w:val="en-US"/>
              </w:rPr>
              <w:t>1424 individuals</w:t>
            </w:r>
          </w:p>
        </w:tc>
        <w:tc>
          <w:tcPr>
            <w:tcW w:w="1590" w:type="dxa"/>
            <w:vAlign w:val="center"/>
          </w:tcPr>
          <w:p w14:paraId="665F20A8" w14:textId="77777777" w:rsidR="00E90B99" w:rsidRPr="00DE51C3" w:rsidRDefault="00E90B99" w:rsidP="00C60C66">
            <w:pPr>
              <w:jc w:val="center"/>
            </w:pPr>
            <w:r w:rsidRPr="00DE51C3">
              <w:rPr>
                <w:rFonts w:hAnsi="Calibri" w:cs="Calibri"/>
                <w:color w:val="000000" w:themeColor="text1"/>
                <w:kern w:val="24"/>
                <w:lang w:val="en-US"/>
              </w:rPr>
              <w:t>Atherosclerosis Insulin resistance</w:t>
            </w:r>
          </w:p>
        </w:tc>
        <w:tc>
          <w:tcPr>
            <w:tcW w:w="1338" w:type="dxa"/>
            <w:vAlign w:val="center"/>
          </w:tcPr>
          <w:p w14:paraId="6A74CC1B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/>
                <w:kern w:val="24"/>
                <w:lang w:val="en-US"/>
              </w:rPr>
              <w:t>Significantly associated</w:t>
            </w:r>
          </w:p>
        </w:tc>
        <w:tc>
          <w:tcPr>
            <w:tcW w:w="1430" w:type="dxa"/>
            <w:vAlign w:val="center"/>
          </w:tcPr>
          <w:p w14:paraId="1DC72A69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 w:themeColor="text1"/>
                <w:kern w:val="24"/>
              </w:rPr>
              <w:t>Hellwege et al., 2015</w:t>
            </w:r>
          </w:p>
        </w:tc>
      </w:tr>
      <w:tr w:rsidR="00E90B99" w:rsidRPr="00DE51C3" w14:paraId="31A51A58" w14:textId="77777777" w:rsidTr="009B05AE">
        <w:tc>
          <w:tcPr>
            <w:tcW w:w="1501" w:type="dxa"/>
            <w:vMerge/>
            <w:vAlign w:val="center"/>
          </w:tcPr>
          <w:p w14:paraId="71C76ABA" w14:textId="77777777" w:rsidR="00E90B99" w:rsidRPr="00DE51C3" w:rsidRDefault="00E90B99" w:rsidP="00C60C66">
            <w:pPr>
              <w:jc w:val="center"/>
            </w:pPr>
          </w:p>
        </w:tc>
        <w:tc>
          <w:tcPr>
            <w:tcW w:w="1199" w:type="dxa"/>
            <w:vMerge/>
            <w:vAlign w:val="center"/>
          </w:tcPr>
          <w:p w14:paraId="0A56623A" w14:textId="77777777" w:rsidR="00E90B99" w:rsidRPr="009B05AE" w:rsidRDefault="00E90B99" w:rsidP="00C60C66">
            <w:pPr>
              <w:jc w:val="center"/>
            </w:pPr>
          </w:p>
        </w:tc>
        <w:tc>
          <w:tcPr>
            <w:tcW w:w="1350" w:type="dxa"/>
            <w:vAlign w:val="center"/>
          </w:tcPr>
          <w:p w14:paraId="2F02F9E7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/>
                <w:kern w:val="24"/>
              </w:rPr>
              <w:t>Randomized trial</w:t>
            </w:r>
          </w:p>
        </w:tc>
        <w:tc>
          <w:tcPr>
            <w:tcW w:w="990" w:type="dxa"/>
            <w:vAlign w:val="center"/>
          </w:tcPr>
          <w:p w14:paraId="2039DA8D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 w:themeColor="text1"/>
                <w:kern w:val="24"/>
                <w:lang w:val="en-US"/>
              </w:rPr>
              <w:t>Brazil</w:t>
            </w:r>
          </w:p>
        </w:tc>
        <w:tc>
          <w:tcPr>
            <w:tcW w:w="1316" w:type="dxa"/>
            <w:vAlign w:val="center"/>
          </w:tcPr>
          <w:p w14:paraId="66821F93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 w:themeColor="text1"/>
                <w:kern w:val="24"/>
                <w:lang w:val="en-US"/>
              </w:rPr>
              <w:t>25 individuals</w:t>
            </w:r>
          </w:p>
        </w:tc>
        <w:tc>
          <w:tcPr>
            <w:tcW w:w="1590" w:type="dxa"/>
            <w:vAlign w:val="center"/>
          </w:tcPr>
          <w:p w14:paraId="290227C4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 w:themeColor="text1"/>
                <w:kern w:val="24"/>
                <w:lang w:val="en-US"/>
              </w:rPr>
              <w:t>Alzheimer's disease (AD)</w:t>
            </w:r>
          </w:p>
        </w:tc>
        <w:tc>
          <w:tcPr>
            <w:tcW w:w="1338" w:type="dxa"/>
            <w:vAlign w:val="center"/>
          </w:tcPr>
          <w:p w14:paraId="52BC4A1E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/>
                <w:kern w:val="24"/>
                <w:lang w:val="en-US"/>
              </w:rPr>
              <w:t>No significant association</w:t>
            </w:r>
          </w:p>
        </w:tc>
        <w:tc>
          <w:tcPr>
            <w:tcW w:w="1430" w:type="dxa"/>
            <w:vAlign w:val="center"/>
          </w:tcPr>
          <w:p w14:paraId="1C74386B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 w:themeColor="text1"/>
                <w:kern w:val="24"/>
              </w:rPr>
              <w:t>Cardoso et al., 2016</w:t>
            </w:r>
          </w:p>
        </w:tc>
      </w:tr>
      <w:tr w:rsidR="00E90B99" w:rsidRPr="00DE51C3" w14:paraId="1811022B" w14:textId="77777777" w:rsidTr="009B05AE">
        <w:tc>
          <w:tcPr>
            <w:tcW w:w="1501" w:type="dxa"/>
            <w:vMerge/>
            <w:vAlign w:val="center"/>
          </w:tcPr>
          <w:p w14:paraId="25F061A9" w14:textId="77777777" w:rsidR="00E90B99" w:rsidRPr="00DE51C3" w:rsidRDefault="00E90B99" w:rsidP="00C60C66">
            <w:pPr>
              <w:jc w:val="center"/>
            </w:pPr>
          </w:p>
        </w:tc>
        <w:tc>
          <w:tcPr>
            <w:tcW w:w="1199" w:type="dxa"/>
            <w:vMerge/>
            <w:vAlign w:val="center"/>
          </w:tcPr>
          <w:p w14:paraId="11DF5302" w14:textId="77777777" w:rsidR="00E90B99" w:rsidRPr="009B05AE" w:rsidRDefault="00E90B99" w:rsidP="00C60C66">
            <w:pPr>
              <w:jc w:val="center"/>
            </w:pPr>
          </w:p>
        </w:tc>
        <w:tc>
          <w:tcPr>
            <w:tcW w:w="1350" w:type="dxa"/>
            <w:vAlign w:val="center"/>
          </w:tcPr>
          <w:p w14:paraId="3F80398F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/>
                <w:kern w:val="24"/>
              </w:rPr>
              <w:t>Randomized trial</w:t>
            </w:r>
          </w:p>
        </w:tc>
        <w:tc>
          <w:tcPr>
            <w:tcW w:w="990" w:type="dxa"/>
            <w:vAlign w:val="center"/>
          </w:tcPr>
          <w:p w14:paraId="352D07E1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 w:themeColor="text1"/>
                <w:kern w:val="24"/>
                <w:lang w:val="en-US"/>
              </w:rPr>
              <w:t>U.S.A.</w:t>
            </w:r>
          </w:p>
        </w:tc>
        <w:tc>
          <w:tcPr>
            <w:tcW w:w="1316" w:type="dxa"/>
            <w:vAlign w:val="center"/>
          </w:tcPr>
          <w:p w14:paraId="1B940FEB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 w:themeColor="text1"/>
                <w:kern w:val="24"/>
                <w:lang w:val="en-US"/>
              </w:rPr>
              <w:t>30 individuals</w:t>
            </w:r>
          </w:p>
        </w:tc>
        <w:tc>
          <w:tcPr>
            <w:tcW w:w="1590" w:type="dxa"/>
            <w:vAlign w:val="center"/>
          </w:tcPr>
          <w:p w14:paraId="1A33614C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 w:themeColor="text1"/>
                <w:kern w:val="24"/>
              </w:rPr>
              <w:t>Breast cancer</w:t>
            </w:r>
          </w:p>
        </w:tc>
        <w:tc>
          <w:tcPr>
            <w:tcW w:w="1338" w:type="dxa"/>
            <w:vAlign w:val="center"/>
          </w:tcPr>
          <w:p w14:paraId="4028598E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/>
                <w:kern w:val="24"/>
                <w:lang w:val="en-US"/>
              </w:rPr>
              <w:t>Significantly associated</w:t>
            </w:r>
          </w:p>
        </w:tc>
        <w:tc>
          <w:tcPr>
            <w:tcW w:w="1430" w:type="dxa"/>
            <w:vAlign w:val="center"/>
          </w:tcPr>
          <w:p w14:paraId="67007839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 w:themeColor="text1"/>
                <w:kern w:val="24"/>
              </w:rPr>
              <w:t>Ekoue et al., 2017</w:t>
            </w:r>
          </w:p>
        </w:tc>
      </w:tr>
      <w:tr w:rsidR="00E90B99" w:rsidRPr="00DE51C3" w14:paraId="74C5ACB0" w14:textId="77777777" w:rsidTr="009B05AE">
        <w:tc>
          <w:tcPr>
            <w:tcW w:w="1501" w:type="dxa"/>
            <w:vMerge/>
            <w:vAlign w:val="center"/>
          </w:tcPr>
          <w:p w14:paraId="5F8CEED5" w14:textId="77777777" w:rsidR="00E90B99" w:rsidRPr="00DE51C3" w:rsidRDefault="00E90B99" w:rsidP="00C60C66">
            <w:pPr>
              <w:jc w:val="center"/>
            </w:pPr>
          </w:p>
        </w:tc>
        <w:tc>
          <w:tcPr>
            <w:tcW w:w="1199" w:type="dxa"/>
            <w:vAlign w:val="center"/>
          </w:tcPr>
          <w:p w14:paraId="3CB33899" w14:textId="77777777" w:rsidR="00E90B99" w:rsidRPr="009B05AE" w:rsidRDefault="00E90B99" w:rsidP="00C60C66">
            <w:pPr>
              <w:jc w:val="center"/>
            </w:pPr>
            <w:r w:rsidRPr="009B05AE">
              <w:t>rs6865453</w:t>
            </w:r>
          </w:p>
        </w:tc>
        <w:tc>
          <w:tcPr>
            <w:tcW w:w="1350" w:type="dxa"/>
            <w:vAlign w:val="center"/>
          </w:tcPr>
          <w:p w14:paraId="428F098B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/>
                <w:kern w:val="24"/>
              </w:rPr>
              <w:t>Case control study</w:t>
            </w:r>
          </w:p>
        </w:tc>
        <w:tc>
          <w:tcPr>
            <w:tcW w:w="990" w:type="dxa"/>
            <w:vAlign w:val="center"/>
          </w:tcPr>
          <w:p w14:paraId="046DE9AC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/>
                <w:kern w:val="24"/>
              </w:rPr>
              <w:t>China</w:t>
            </w:r>
          </w:p>
        </w:tc>
        <w:tc>
          <w:tcPr>
            <w:tcW w:w="1316" w:type="dxa"/>
            <w:vAlign w:val="center"/>
          </w:tcPr>
          <w:p w14:paraId="07AA2C9A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/>
                <w:kern w:val="24"/>
              </w:rPr>
              <w:t>1060 case</w:t>
            </w:r>
            <w:r>
              <w:rPr>
                <w:rFonts w:ascii="Calibri" w:hAnsi="Calibri" w:cs="Calibri"/>
                <w:color w:val="000000"/>
                <w:kern w:val="24"/>
              </w:rPr>
              <w:t>s</w:t>
            </w:r>
            <w:r w:rsidRPr="00DE51C3">
              <w:rPr>
                <w:rFonts w:ascii="Calibri" w:hAnsi="Calibri" w:cs="Calibri"/>
                <w:color w:val="000000"/>
                <w:kern w:val="24"/>
              </w:rPr>
              <w:t>, 938 controls</w:t>
            </w:r>
          </w:p>
        </w:tc>
        <w:tc>
          <w:tcPr>
            <w:tcW w:w="1590" w:type="dxa"/>
            <w:vAlign w:val="center"/>
          </w:tcPr>
          <w:p w14:paraId="267DBD81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/>
                <w:kern w:val="24"/>
              </w:rPr>
              <w:t>Thyroid disorder</w:t>
            </w:r>
          </w:p>
        </w:tc>
        <w:tc>
          <w:tcPr>
            <w:tcW w:w="1338" w:type="dxa"/>
            <w:vAlign w:val="center"/>
          </w:tcPr>
          <w:p w14:paraId="40DBC220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 w:themeColor="text1"/>
                <w:kern w:val="24"/>
              </w:rPr>
              <w:t>major allele A decreased</w:t>
            </w:r>
          </w:p>
        </w:tc>
        <w:tc>
          <w:tcPr>
            <w:tcW w:w="1430" w:type="dxa"/>
            <w:vAlign w:val="center"/>
          </w:tcPr>
          <w:p w14:paraId="49B30B4F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/>
                <w:kern w:val="24"/>
              </w:rPr>
              <w:t>Xiao et al., 2017</w:t>
            </w:r>
          </w:p>
        </w:tc>
      </w:tr>
      <w:tr w:rsidR="00E90B99" w:rsidRPr="00DE51C3" w14:paraId="2CACA0FF" w14:textId="77777777" w:rsidTr="009B05AE">
        <w:tc>
          <w:tcPr>
            <w:tcW w:w="1501" w:type="dxa"/>
            <w:vMerge/>
            <w:vAlign w:val="center"/>
          </w:tcPr>
          <w:p w14:paraId="5E7ED7B8" w14:textId="77777777" w:rsidR="00E90B99" w:rsidRPr="00DE51C3" w:rsidRDefault="00E90B99" w:rsidP="00C60C66">
            <w:pPr>
              <w:jc w:val="center"/>
            </w:pPr>
          </w:p>
        </w:tc>
        <w:tc>
          <w:tcPr>
            <w:tcW w:w="1199" w:type="dxa"/>
            <w:vMerge w:val="restart"/>
            <w:vAlign w:val="center"/>
          </w:tcPr>
          <w:p w14:paraId="43268A61" w14:textId="77777777" w:rsidR="00E90B99" w:rsidRPr="009B05AE" w:rsidRDefault="00E90B99" w:rsidP="00C60C66">
            <w:pPr>
              <w:jc w:val="center"/>
            </w:pPr>
            <w:r w:rsidRPr="009B05AE">
              <w:t>rs7579</w:t>
            </w:r>
          </w:p>
        </w:tc>
        <w:tc>
          <w:tcPr>
            <w:tcW w:w="1350" w:type="dxa"/>
            <w:vAlign w:val="center"/>
          </w:tcPr>
          <w:p w14:paraId="38979197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/>
                <w:kern w:val="24"/>
              </w:rPr>
              <w:t>Randomized trial</w:t>
            </w:r>
          </w:p>
        </w:tc>
        <w:tc>
          <w:tcPr>
            <w:tcW w:w="990" w:type="dxa"/>
            <w:vAlign w:val="center"/>
          </w:tcPr>
          <w:p w14:paraId="29B92C57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 w:themeColor="text1"/>
                <w:kern w:val="24"/>
                <w:lang w:val="en-US"/>
              </w:rPr>
              <w:t>Brazil</w:t>
            </w:r>
          </w:p>
        </w:tc>
        <w:tc>
          <w:tcPr>
            <w:tcW w:w="1316" w:type="dxa"/>
            <w:vAlign w:val="center"/>
          </w:tcPr>
          <w:p w14:paraId="3FE6E151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 w:themeColor="text1"/>
                <w:kern w:val="24"/>
                <w:lang w:val="en-US"/>
              </w:rPr>
              <w:t>25 individuals</w:t>
            </w:r>
          </w:p>
        </w:tc>
        <w:tc>
          <w:tcPr>
            <w:tcW w:w="1590" w:type="dxa"/>
            <w:vAlign w:val="center"/>
          </w:tcPr>
          <w:p w14:paraId="175EC6DB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 w:themeColor="text1"/>
                <w:kern w:val="24"/>
                <w:lang w:val="en-US"/>
              </w:rPr>
              <w:t>Alzheimer's disease (AD)</w:t>
            </w:r>
          </w:p>
        </w:tc>
        <w:tc>
          <w:tcPr>
            <w:tcW w:w="1338" w:type="dxa"/>
            <w:vAlign w:val="center"/>
          </w:tcPr>
          <w:p w14:paraId="29FF7EA6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/>
                <w:kern w:val="24"/>
                <w:lang w:val="en-US"/>
              </w:rPr>
              <w:t>No significant association</w:t>
            </w:r>
          </w:p>
        </w:tc>
        <w:tc>
          <w:tcPr>
            <w:tcW w:w="1430" w:type="dxa"/>
            <w:vAlign w:val="center"/>
          </w:tcPr>
          <w:p w14:paraId="49AA7DE5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 w:themeColor="text1"/>
                <w:kern w:val="24"/>
              </w:rPr>
              <w:t>Cardoso et al., 2016</w:t>
            </w:r>
          </w:p>
        </w:tc>
      </w:tr>
      <w:tr w:rsidR="00E90B99" w:rsidRPr="00DE51C3" w14:paraId="1AB84E0C" w14:textId="77777777" w:rsidTr="009B05AE">
        <w:tc>
          <w:tcPr>
            <w:tcW w:w="1501" w:type="dxa"/>
            <w:vMerge/>
            <w:vAlign w:val="center"/>
          </w:tcPr>
          <w:p w14:paraId="75A91234" w14:textId="77777777" w:rsidR="00E90B99" w:rsidRPr="00DE51C3" w:rsidRDefault="00E90B99" w:rsidP="00C60C66">
            <w:pPr>
              <w:jc w:val="center"/>
            </w:pPr>
          </w:p>
        </w:tc>
        <w:tc>
          <w:tcPr>
            <w:tcW w:w="1199" w:type="dxa"/>
            <w:vMerge/>
            <w:vAlign w:val="center"/>
          </w:tcPr>
          <w:p w14:paraId="722C3E3D" w14:textId="77777777" w:rsidR="00E90B99" w:rsidRPr="009B05AE" w:rsidRDefault="00E90B99" w:rsidP="00C60C66">
            <w:pPr>
              <w:jc w:val="center"/>
            </w:pPr>
          </w:p>
        </w:tc>
        <w:tc>
          <w:tcPr>
            <w:tcW w:w="1350" w:type="dxa"/>
            <w:vAlign w:val="center"/>
          </w:tcPr>
          <w:p w14:paraId="265C92FD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/>
                <w:kern w:val="24"/>
              </w:rPr>
              <w:t>Case control study</w:t>
            </w:r>
          </w:p>
        </w:tc>
        <w:tc>
          <w:tcPr>
            <w:tcW w:w="990" w:type="dxa"/>
            <w:vAlign w:val="center"/>
          </w:tcPr>
          <w:p w14:paraId="487FABE2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/>
                <w:kern w:val="24"/>
              </w:rPr>
              <w:t>Iran</w:t>
            </w:r>
          </w:p>
        </w:tc>
        <w:tc>
          <w:tcPr>
            <w:tcW w:w="1316" w:type="dxa"/>
            <w:vAlign w:val="center"/>
          </w:tcPr>
          <w:p w14:paraId="64F1CAE0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/>
                <w:kern w:val="24"/>
              </w:rPr>
              <w:t>60 case</w:t>
            </w:r>
            <w:r>
              <w:rPr>
                <w:rFonts w:ascii="Calibri" w:hAnsi="Calibri" w:cs="Calibri"/>
                <w:color w:val="000000"/>
                <w:kern w:val="24"/>
              </w:rPr>
              <w:t>s</w:t>
            </w:r>
            <w:r w:rsidRPr="00DE51C3">
              <w:rPr>
                <w:rFonts w:ascii="Calibri" w:hAnsi="Calibri" w:cs="Calibri"/>
                <w:color w:val="000000"/>
                <w:kern w:val="24"/>
              </w:rPr>
              <w:t>,74 control</w:t>
            </w:r>
          </w:p>
        </w:tc>
        <w:tc>
          <w:tcPr>
            <w:tcW w:w="1590" w:type="dxa"/>
            <w:vAlign w:val="center"/>
          </w:tcPr>
          <w:p w14:paraId="2B00E20C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/>
                <w:kern w:val="24"/>
              </w:rPr>
              <w:t>Colorectal Cancer</w:t>
            </w:r>
          </w:p>
        </w:tc>
        <w:tc>
          <w:tcPr>
            <w:tcW w:w="1338" w:type="dxa"/>
            <w:vAlign w:val="center"/>
          </w:tcPr>
          <w:p w14:paraId="5BECA4B3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 w:themeColor="text1"/>
                <w:kern w:val="24"/>
              </w:rPr>
              <w:t>Allele A </w:t>
            </w:r>
            <w:r w:rsidRPr="00DE51C3">
              <w:rPr>
                <w:rFonts w:ascii="Calibri" w:hAnsi="Calibri" w:cs="Calibri"/>
                <w:color w:val="000000"/>
                <w:kern w:val="24"/>
                <w:lang w:val="en-US"/>
              </w:rPr>
              <w:t>significant association</w:t>
            </w:r>
          </w:p>
        </w:tc>
        <w:tc>
          <w:tcPr>
            <w:tcW w:w="1430" w:type="dxa"/>
            <w:vAlign w:val="center"/>
          </w:tcPr>
          <w:p w14:paraId="207745AA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/>
                <w:kern w:val="24"/>
              </w:rPr>
              <w:t>Amini et al., 2019</w:t>
            </w:r>
          </w:p>
        </w:tc>
      </w:tr>
      <w:tr w:rsidR="00E90B99" w:rsidRPr="00DE51C3" w14:paraId="62C5E06F" w14:textId="77777777" w:rsidTr="009B05AE">
        <w:tc>
          <w:tcPr>
            <w:tcW w:w="1501" w:type="dxa"/>
            <w:vMerge/>
            <w:vAlign w:val="center"/>
          </w:tcPr>
          <w:p w14:paraId="2B96DA2F" w14:textId="77777777" w:rsidR="00E90B99" w:rsidRPr="00DE51C3" w:rsidRDefault="00E90B99" w:rsidP="00C60C66">
            <w:pPr>
              <w:jc w:val="center"/>
            </w:pPr>
          </w:p>
        </w:tc>
        <w:tc>
          <w:tcPr>
            <w:tcW w:w="1199" w:type="dxa"/>
            <w:vMerge/>
            <w:vAlign w:val="center"/>
          </w:tcPr>
          <w:p w14:paraId="553CFCEA" w14:textId="77777777" w:rsidR="00E90B99" w:rsidRPr="009B05AE" w:rsidRDefault="00E90B99" w:rsidP="00C60C66">
            <w:pPr>
              <w:jc w:val="center"/>
            </w:pPr>
          </w:p>
        </w:tc>
        <w:tc>
          <w:tcPr>
            <w:tcW w:w="1350" w:type="dxa"/>
            <w:vAlign w:val="center"/>
          </w:tcPr>
          <w:p w14:paraId="1FBF6D8F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/>
                <w:kern w:val="24"/>
              </w:rPr>
              <w:t>Cohort study</w:t>
            </w:r>
          </w:p>
        </w:tc>
        <w:tc>
          <w:tcPr>
            <w:tcW w:w="990" w:type="dxa"/>
            <w:vAlign w:val="center"/>
          </w:tcPr>
          <w:p w14:paraId="0DDAC48B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212121"/>
                <w:kern w:val="24"/>
              </w:rPr>
              <w:t>China</w:t>
            </w:r>
          </w:p>
        </w:tc>
        <w:tc>
          <w:tcPr>
            <w:tcW w:w="1316" w:type="dxa"/>
            <w:vAlign w:val="center"/>
          </w:tcPr>
          <w:p w14:paraId="1CB2C7D0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212121"/>
                <w:kern w:val="24"/>
              </w:rPr>
              <w:t>1279 case, 1279 control</w:t>
            </w:r>
          </w:p>
        </w:tc>
        <w:tc>
          <w:tcPr>
            <w:tcW w:w="1590" w:type="dxa"/>
            <w:vAlign w:val="center"/>
          </w:tcPr>
          <w:p w14:paraId="11A83CB3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212121"/>
                <w:kern w:val="24"/>
              </w:rPr>
              <w:t>Metabolic syndrome (MetS)</w:t>
            </w:r>
          </w:p>
        </w:tc>
        <w:tc>
          <w:tcPr>
            <w:tcW w:w="1338" w:type="dxa"/>
            <w:vAlign w:val="center"/>
          </w:tcPr>
          <w:p w14:paraId="7E2D5319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 w:themeColor="text1"/>
                <w:kern w:val="24"/>
              </w:rPr>
              <w:t>Allele A </w:t>
            </w:r>
            <w:r w:rsidRPr="00DE51C3">
              <w:rPr>
                <w:rFonts w:ascii="Calibri" w:hAnsi="Calibri" w:cs="Calibri"/>
                <w:color w:val="000000"/>
                <w:kern w:val="24"/>
                <w:lang w:val="en-US"/>
              </w:rPr>
              <w:t>significant association</w:t>
            </w:r>
          </w:p>
        </w:tc>
        <w:tc>
          <w:tcPr>
            <w:tcW w:w="1430" w:type="dxa"/>
            <w:vAlign w:val="center"/>
          </w:tcPr>
          <w:p w14:paraId="2BD9EF81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/>
                <w:kern w:val="24"/>
              </w:rPr>
              <w:t>Zhou et al., 2020</w:t>
            </w:r>
          </w:p>
        </w:tc>
      </w:tr>
      <w:tr w:rsidR="00E90B99" w:rsidRPr="00DE51C3" w14:paraId="35F20615" w14:textId="77777777" w:rsidTr="009B05AE">
        <w:tc>
          <w:tcPr>
            <w:tcW w:w="1501" w:type="dxa"/>
            <w:vAlign w:val="center"/>
          </w:tcPr>
          <w:p w14:paraId="5C3FE17B" w14:textId="77777777" w:rsidR="00E90B99" w:rsidRPr="00DE51C3" w:rsidRDefault="00E90B99" w:rsidP="00C60C66">
            <w:pPr>
              <w:jc w:val="center"/>
            </w:pPr>
            <w:r w:rsidRPr="00DE51C3">
              <w:rPr>
                <w:b/>
                <w:bCs/>
              </w:rPr>
              <w:t>Selenoprotein K (</w:t>
            </w:r>
            <w:r w:rsidRPr="009B05AE">
              <w:rPr>
                <w:b/>
                <w:bCs/>
                <w:i/>
                <w:iCs/>
              </w:rPr>
              <w:t>SELK</w:t>
            </w:r>
            <w:r w:rsidRPr="00DE51C3">
              <w:rPr>
                <w:b/>
                <w:bCs/>
              </w:rPr>
              <w:t>)</w:t>
            </w:r>
          </w:p>
          <w:p w14:paraId="19BA1FC0" w14:textId="77777777" w:rsidR="00E90B99" w:rsidRPr="00DE51C3" w:rsidRDefault="00E90B99" w:rsidP="00C60C66">
            <w:pPr>
              <w:jc w:val="center"/>
            </w:pPr>
          </w:p>
        </w:tc>
        <w:tc>
          <w:tcPr>
            <w:tcW w:w="1199" w:type="dxa"/>
            <w:vAlign w:val="center"/>
          </w:tcPr>
          <w:p w14:paraId="1460CA17" w14:textId="77777777" w:rsidR="00E90B99" w:rsidRPr="009B05AE" w:rsidRDefault="00E90B99" w:rsidP="00C60C66">
            <w:pPr>
              <w:jc w:val="center"/>
            </w:pPr>
            <w:r w:rsidRPr="009B05AE">
              <w:t>rs9880056</w:t>
            </w:r>
          </w:p>
        </w:tc>
        <w:tc>
          <w:tcPr>
            <w:tcW w:w="1350" w:type="dxa"/>
            <w:vAlign w:val="center"/>
          </w:tcPr>
          <w:p w14:paraId="603596D1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/>
                <w:kern w:val="24"/>
              </w:rPr>
              <w:t>Case control study</w:t>
            </w:r>
          </w:p>
        </w:tc>
        <w:tc>
          <w:tcPr>
            <w:tcW w:w="990" w:type="dxa"/>
            <w:vAlign w:val="center"/>
          </w:tcPr>
          <w:p w14:paraId="02E7AE31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/>
                <w:kern w:val="24"/>
              </w:rPr>
              <w:t>Germany</w:t>
            </w:r>
          </w:p>
        </w:tc>
        <w:tc>
          <w:tcPr>
            <w:tcW w:w="1316" w:type="dxa"/>
            <w:vAlign w:val="center"/>
          </w:tcPr>
          <w:p w14:paraId="0D122E40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/>
                <w:kern w:val="24"/>
              </w:rPr>
              <w:t>248 cases, 492 control</w:t>
            </w:r>
          </w:p>
        </w:tc>
        <w:tc>
          <w:tcPr>
            <w:tcW w:w="1590" w:type="dxa"/>
            <w:vAlign w:val="center"/>
          </w:tcPr>
          <w:p w14:paraId="0D84F352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/>
                <w:kern w:val="24"/>
              </w:rPr>
              <w:t>Prostate cancer</w:t>
            </w:r>
          </w:p>
        </w:tc>
        <w:tc>
          <w:tcPr>
            <w:tcW w:w="1338" w:type="dxa"/>
            <w:vAlign w:val="center"/>
          </w:tcPr>
          <w:p w14:paraId="40773F63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/>
                <w:kern w:val="24"/>
                <w:lang w:val="en-US"/>
              </w:rPr>
              <w:t>Significantly associated</w:t>
            </w:r>
          </w:p>
        </w:tc>
        <w:tc>
          <w:tcPr>
            <w:tcW w:w="1430" w:type="dxa"/>
            <w:vAlign w:val="center"/>
          </w:tcPr>
          <w:p w14:paraId="39C782CF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/>
                <w:kern w:val="24"/>
              </w:rPr>
              <w:t>Meplan et al., 2012</w:t>
            </w:r>
          </w:p>
        </w:tc>
      </w:tr>
      <w:tr w:rsidR="00E90B99" w:rsidRPr="00DE51C3" w14:paraId="7F2E6138" w14:textId="77777777" w:rsidTr="009B05AE">
        <w:tc>
          <w:tcPr>
            <w:tcW w:w="1501" w:type="dxa"/>
            <w:vMerge w:val="restart"/>
            <w:vAlign w:val="center"/>
          </w:tcPr>
          <w:p w14:paraId="20E02707" w14:textId="77777777" w:rsidR="00E90B99" w:rsidRPr="00DE51C3" w:rsidRDefault="00E90B99" w:rsidP="00C60C66">
            <w:pPr>
              <w:jc w:val="center"/>
            </w:pPr>
            <w:r w:rsidRPr="00DE51C3">
              <w:rPr>
                <w:b/>
                <w:bCs/>
              </w:rPr>
              <w:t>Selenoprotein S (</w:t>
            </w:r>
            <w:r w:rsidRPr="009B05AE">
              <w:rPr>
                <w:b/>
                <w:bCs/>
                <w:i/>
                <w:iCs/>
              </w:rPr>
              <w:t>SELENOS, SEPS1, SELS</w:t>
            </w:r>
            <w:r w:rsidRPr="00DE51C3">
              <w:rPr>
                <w:b/>
                <w:bCs/>
              </w:rPr>
              <w:t>)</w:t>
            </w:r>
          </w:p>
          <w:p w14:paraId="5245F163" w14:textId="77777777" w:rsidR="00E90B99" w:rsidRPr="00DE51C3" w:rsidRDefault="00E90B99" w:rsidP="00C60C66">
            <w:pPr>
              <w:jc w:val="center"/>
            </w:pPr>
          </w:p>
        </w:tc>
        <w:tc>
          <w:tcPr>
            <w:tcW w:w="1199" w:type="dxa"/>
            <w:vAlign w:val="center"/>
          </w:tcPr>
          <w:p w14:paraId="604A457E" w14:textId="77777777" w:rsidR="00E90B99" w:rsidRPr="009B05AE" w:rsidRDefault="00E90B99" w:rsidP="00C60C66">
            <w:pPr>
              <w:jc w:val="center"/>
            </w:pPr>
            <w:r w:rsidRPr="009B05AE">
              <w:t>rs7178239</w:t>
            </w:r>
          </w:p>
        </w:tc>
        <w:tc>
          <w:tcPr>
            <w:tcW w:w="1350" w:type="dxa"/>
            <w:vAlign w:val="center"/>
          </w:tcPr>
          <w:p w14:paraId="1C58ED82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/>
                <w:kern w:val="24"/>
              </w:rPr>
              <w:t>Case control study</w:t>
            </w:r>
          </w:p>
        </w:tc>
        <w:tc>
          <w:tcPr>
            <w:tcW w:w="990" w:type="dxa"/>
            <w:vAlign w:val="center"/>
          </w:tcPr>
          <w:p w14:paraId="1A9C5BF0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/>
                <w:kern w:val="24"/>
              </w:rPr>
              <w:t>China</w:t>
            </w:r>
          </w:p>
        </w:tc>
        <w:tc>
          <w:tcPr>
            <w:tcW w:w="1316" w:type="dxa"/>
            <w:vAlign w:val="center"/>
          </w:tcPr>
          <w:p w14:paraId="7B7FB324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/>
                <w:kern w:val="24"/>
              </w:rPr>
              <w:t>1060 case</w:t>
            </w:r>
            <w:r>
              <w:rPr>
                <w:rFonts w:ascii="Calibri" w:hAnsi="Calibri" w:cs="Calibri"/>
                <w:color w:val="000000"/>
                <w:kern w:val="24"/>
              </w:rPr>
              <w:t>s</w:t>
            </w:r>
            <w:r w:rsidRPr="00DE51C3">
              <w:rPr>
                <w:rFonts w:ascii="Calibri" w:hAnsi="Calibri" w:cs="Calibri"/>
                <w:color w:val="000000"/>
                <w:kern w:val="24"/>
              </w:rPr>
              <w:t>, 938 controls</w:t>
            </w:r>
          </w:p>
        </w:tc>
        <w:tc>
          <w:tcPr>
            <w:tcW w:w="1590" w:type="dxa"/>
            <w:vAlign w:val="center"/>
          </w:tcPr>
          <w:p w14:paraId="6D086BAE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/>
                <w:kern w:val="24"/>
              </w:rPr>
              <w:t>Thyroid disorder</w:t>
            </w:r>
          </w:p>
        </w:tc>
        <w:tc>
          <w:tcPr>
            <w:tcW w:w="1338" w:type="dxa"/>
            <w:vAlign w:val="center"/>
          </w:tcPr>
          <w:p w14:paraId="7717D8EF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 w:themeColor="text1"/>
                <w:kern w:val="24"/>
              </w:rPr>
              <w:t>major allele C decreased</w:t>
            </w:r>
          </w:p>
        </w:tc>
        <w:tc>
          <w:tcPr>
            <w:tcW w:w="1430" w:type="dxa"/>
            <w:vAlign w:val="center"/>
          </w:tcPr>
          <w:p w14:paraId="68EA4A39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/>
                <w:kern w:val="24"/>
              </w:rPr>
              <w:t>Xiao et al., 2017</w:t>
            </w:r>
          </w:p>
        </w:tc>
      </w:tr>
      <w:tr w:rsidR="00E90B99" w:rsidRPr="00DE51C3" w14:paraId="52659A20" w14:textId="77777777" w:rsidTr="009B05AE">
        <w:tc>
          <w:tcPr>
            <w:tcW w:w="1501" w:type="dxa"/>
            <w:vMerge/>
            <w:vAlign w:val="center"/>
          </w:tcPr>
          <w:p w14:paraId="31548C7E" w14:textId="77777777" w:rsidR="00E90B99" w:rsidRPr="00DE51C3" w:rsidRDefault="00E90B99" w:rsidP="00C60C66">
            <w:pPr>
              <w:jc w:val="center"/>
            </w:pPr>
          </w:p>
        </w:tc>
        <w:tc>
          <w:tcPr>
            <w:tcW w:w="1199" w:type="dxa"/>
            <w:vMerge w:val="restart"/>
            <w:vAlign w:val="center"/>
          </w:tcPr>
          <w:p w14:paraId="139E8E06" w14:textId="77777777" w:rsidR="00E90B99" w:rsidRPr="009B05AE" w:rsidRDefault="00E90B99" w:rsidP="00C60C66">
            <w:pPr>
              <w:jc w:val="center"/>
            </w:pPr>
            <w:r w:rsidRPr="009B05AE">
              <w:t>rs28665122</w:t>
            </w:r>
          </w:p>
        </w:tc>
        <w:tc>
          <w:tcPr>
            <w:tcW w:w="1350" w:type="dxa"/>
            <w:vAlign w:val="center"/>
          </w:tcPr>
          <w:p w14:paraId="44BB4443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/>
                <w:kern w:val="24"/>
              </w:rPr>
              <w:t>Case control study</w:t>
            </w:r>
          </w:p>
        </w:tc>
        <w:tc>
          <w:tcPr>
            <w:tcW w:w="990" w:type="dxa"/>
            <w:vAlign w:val="center"/>
          </w:tcPr>
          <w:p w14:paraId="5F368E23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/>
                <w:kern w:val="24"/>
              </w:rPr>
              <w:t>Germany</w:t>
            </w:r>
          </w:p>
        </w:tc>
        <w:tc>
          <w:tcPr>
            <w:tcW w:w="1316" w:type="dxa"/>
            <w:vAlign w:val="center"/>
          </w:tcPr>
          <w:p w14:paraId="4AF7BFB6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/>
                <w:kern w:val="24"/>
              </w:rPr>
              <w:t>248 case</w:t>
            </w:r>
            <w:r>
              <w:rPr>
                <w:rFonts w:ascii="Calibri" w:hAnsi="Calibri" w:cs="Calibri"/>
                <w:color w:val="000000"/>
                <w:kern w:val="24"/>
              </w:rPr>
              <w:t>s</w:t>
            </w:r>
            <w:r w:rsidRPr="00DE51C3">
              <w:rPr>
                <w:rFonts w:ascii="Calibri" w:hAnsi="Calibri" w:cs="Calibri"/>
                <w:color w:val="000000"/>
                <w:kern w:val="24"/>
              </w:rPr>
              <w:t>, 492 control</w:t>
            </w:r>
          </w:p>
        </w:tc>
        <w:tc>
          <w:tcPr>
            <w:tcW w:w="1590" w:type="dxa"/>
            <w:vAlign w:val="center"/>
          </w:tcPr>
          <w:p w14:paraId="1D8291A5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/>
                <w:kern w:val="24"/>
              </w:rPr>
              <w:t>Prostate cancer</w:t>
            </w:r>
          </w:p>
        </w:tc>
        <w:tc>
          <w:tcPr>
            <w:tcW w:w="1338" w:type="dxa"/>
            <w:vAlign w:val="center"/>
          </w:tcPr>
          <w:p w14:paraId="351A2954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/>
                <w:kern w:val="24"/>
                <w:lang w:val="en-US"/>
              </w:rPr>
              <w:t>Significantly associated</w:t>
            </w:r>
          </w:p>
        </w:tc>
        <w:tc>
          <w:tcPr>
            <w:tcW w:w="1430" w:type="dxa"/>
            <w:vAlign w:val="center"/>
          </w:tcPr>
          <w:p w14:paraId="47B052CF" w14:textId="77777777" w:rsidR="00E90B99" w:rsidRPr="00DE51C3" w:rsidRDefault="00E90B99" w:rsidP="00C60C66">
            <w:pPr>
              <w:jc w:val="center"/>
            </w:pPr>
            <w:r w:rsidRPr="00DE51C3">
              <w:rPr>
                <w:rFonts w:ascii="Calibri" w:hAnsi="Calibri" w:cs="Calibri"/>
                <w:color w:val="000000"/>
                <w:kern w:val="24"/>
              </w:rPr>
              <w:t>Meplan et al., 2012</w:t>
            </w:r>
          </w:p>
        </w:tc>
      </w:tr>
      <w:tr w:rsidR="00E90B99" w:rsidRPr="00DE51C3" w14:paraId="07C18F9C" w14:textId="77777777" w:rsidTr="009B05AE">
        <w:tc>
          <w:tcPr>
            <w:tcW w:w="1501" w:type="dxa"/>
            <w:vMerge/>
            <w:vAlign w:val="center"/>
          </w:tcPr>
          <w:p w14:paraId="1ED6B00B" w14:textId="77777777" w:rsidR="00E90B99" w:rsidRPr="00DE51C3" w:rsidRDefault="00E90B99" w:rsidP="00C60C66">
            <w:pPr>
              <w:jc w:val="center"/>
            </w:pPr>
          </w:p>
        </w:tc>
        <w:tc>
          <w:tcPr>
            <w:tcW w:w="1199" w:type="dxa"/>
            <w:vMerge/>
            <w:vAlign w:val="center"/>
          </w:tcPr>
          <w:p w14:paraId="2D2C577C" w14:textId="77777777" w:rsidR="00E90B99" w:rsidRPr="009B05AE" w:rsidRDefault="00E90B99" w:rsidP="00C60C66">
            <w:pPr>
              <w:jc w:val="center"/>
            </w:pPr>
          </w:p>
        </w:tc>
        <w:tc>
          <w:tcPr>
            <w:tcW w:w="1350" w:type="dxa"/>
            <w:vAlign w:val="center"/>
          </w:tcPr>
          <w:p w14:paraId="19250073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/>
                <w:kern w:val="24"/>
              </w:rPr>
              <w:t>Case control study</w:t>
            </w:r>
          </w:p>
        </w:tc>
        <w:tc>
          <w:tcPr>
            <w:tcW w:w="990" w:type="dxa"/>
            <w:vAlign w:val="center"/>
          </w:tcPr>
          <w:p w14:paraId="3B8EEB6F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/>
                <w:kern w:val="24"/>
              </w:rPr>
              <w:t>China</w:t>
            </w:r>
          </w:p>
        </w:tc>
        <w:tc>
          <w:tcPr>
            <w:tcW w:w="1316" w:type="dxa"/>
            <w:vAlign w:val="center"/>
          </w:tcPr>
          <w:p w14:paraId="74EAC8E1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/>
                <w:kern w:val="24"/>
              </w:rPr>
              <w:t>1060 cases, 938 controls</w:t>
            </w:r>
          </w:p>
        </w:tc>
        <w:tc>
          <w:tcPr>
            <w:tcW w:w="1590" w:type="dxa"/>
            <w:vAlign w:val="center"/>
          </w:tcPr>
          <w:p w14:paraId="6E294B7C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/>
                <w:kern w:val="24"/>
              </w:rPr>
              <w:t>Thyroid disorder</w:t>
            </w:r>
          </w:p>
        </w:tc>
        <w:tc>
          <w:tcPr>
            <w:tcW w:w="1338" w:type="dxa"/>
            <w:vAlign w:val="center"/>
          </w:tcPr>
          <w:p w14:paraId="4141B5AE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 w:themeColor="text1"/>
                <w:kern w:val="24"/>
                <w:lang w:val="en-US"/>
              </w:rPr>
              <w:t>major allele C increased</w:t>
            </w:r>
          </w:p>
        </w:tc>
        <w:tc>
          <w:tcPr>
            <w:tcW w:w="1430" w:type="dxa"/>
            <w:vAlign w:val="center"/>
          </w:tcPr>
          <w:p w14:paraId="10E3A1C4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/>
                <w:kern w:val="24"/>
              </w:rPr>
              <w:t>Xiao et al., 2017</w:t>
            </w:r>
          </w:p>
        </w:tc>
      </w:tr>
      <w:tr w:rsidR="00E90B99" w:rsidRPr="00DE51C3" w14:paraId="3D13A337" w14:textId="77777777" w:rsidTr="009B05AE">
        <w:tc>
          <w:tcPr>
            <w:tcW w:w="1501" w:type="dxa"/>
            <w:vMerge/>
            <w:vAlign w:val="center"/>
          </w:tcPr>
          <w:p w14:paraId="27AEF804" w14:textId="77777777" w:rsidR="00E90B99" w:rsidRPr="00DE51C3" w:rsidRDefault="00E90B99" w:rsidP="00C60C66">
            <w:pPr>
              <w:jc w:val="center"/>
            </w:pPr>
          </w:p>
        </w:tc>
        <w:tc>
          <w:tcPr>
            <w:tcW w:w="1199" w:type="dxa"/>
            <w:vAlign w:val="center"/>
          </w:tcPr>
          <w:p w14:paraId="7E6D6899" w14:textId="77777777" w:rsidR="00E90B99" w:rsidRPr="009B05AE" w:rsidRDefault="00E90B99" w:rsidP="00C60C66">
            <w:pPr>
              <w:jc w:val="center"/>
            </w:pPr>
            <w:r w:rsidRPr="009B05AE">
              <w:t>rs34713741</w:t>
            </w:r>
          </w:p>
        </w:tc>
        <w:tc>
          <w:tcPr>
            <w:tcW w:w="1350" w:type="dxa"/>
            <w:vAlign w:val="center"/>
          </w:tcPr>
          <w:p w14:paraId="4652A9CC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/>
                <w:kern w:val="24"/>
              </w:rPr>
              <w:t>Case control study</w:t>
            </w:r>
          </w:p>
        </w:tc>
        <w:tc>
          <w:tcPr>
            <w:tcW w:w="990" w:type="dxa"/>
            <w:vAlign w:val="center"/>
          </w:tcPr>
          <w:p w14:paraId="6C48C675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/>
                <w:kern w:val="24"/>
              </w:rPr>
              <w:t>Iran</w:t>
            </w:r>
          </w:p>
        </w:tc>
        <w:tc>
          <w:tcPr>
            <w:tcW w:w="1316" w:type="dxa"/>
            <w:vAlign w:val="center"/>
          </w:tcPr>
          <w:p w14:paraId="3EF25E0E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/>
                <w:kern w:val="24"/>
              </w:rPr>
              <w:t>60 cases, 74 control</w:t>
            </w:r>
          </w:p>
        </w:tc>
        <w:tc>
          <w:tcPr>
            <w:tcW w:w="1590" w:type="dxa"/>
            <w:vAlign w:val="center"/>
          </w:tcPr>
          <w:p w14:paraId="730F1A1F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/>
                <w:kern w:val="24"/>
              </w:rPr>
              <w:t>Colorectal Cancer</w:t>
            </w:r>
          </w:p>
        </w:tc>
        <w:tc>
          <w:tcPr>
            <w:tcW w:w="1338" w:type="dxa"/>
            <w:vAlign w:val="center"/>
          </w:tcPr>
          <w:p w14:paraId="256A0BB4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/>
                <w:kern w:val="24"/>
                <w:lang w:val="en-US"/>
              </w:rPr>
              <w:t>No significant association</w:t>
            </w:r>
          </w:p>
        </w:tc>
        <w:tc>
          <w:tcPr>
            <w:tcW w:w="1430" w:type="dxa"/>
            <w:vAlign w:val="center"/>
          </w:tcPr>
          <w:p w14:paraId="704FB65B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/>
                <w:kern w:val="24"/>
              </w:rPr>
              <w:t>Amini et al., 2019</w:t>
            </w:r>
          </w:p>
        </w:tc>
      </w:tr>
      <w:tr w:rsidR="00E90B99" w:rsidRPr="00DE51C3" w14:paraId="23BCA311" w14:textId="77777777" w:rsidTr="009B05AE">
        <w:tc>
          <w:tcPr>
            <w:tcW w:w="10714" w:type="dxa"/>
            <w:gridSpan w:val="8"/>
            <w:vAlign w:val="center"/>
          </w:tcPr>
          <w:p w14:paraId="35694D06" w14:textId="77777777" w:rsidR="00E90B99" w:rsidRPr="009B05AE" w:rsidRDefault="00E90B99" w:rsidP="00C60C66">
            <w:pPr>
              <w:jc w:val="center"/>
            </w:pPr>
            <w:r w:rsidRPr="009B05AE">
              <w:t>Se supplementation effect</w:t>
            </w:r>
          </w:p>
        </w:tc>
      </w:tr>
      <w:tr w:rsidR="00E90B99" w:rsidRPr="00DE51C3" w14:paraId="49AA93E7" w14:textId="77777777" w:rsidTr="009B05AE">
        <w:tc>
          <w:tcPr>
            <w:tcW w:w="1501" w:type="dxa"/>
            <w:vMerge w:val="restart"/>
            <w:vAlign w:val="center"/>
          </w:tcPr>
          <w:p w14:paraId="16C88C62" w14:textId="77777777" w:rsidR="00E90B99" w:rsidRPr="00125589" w:rsidRDefault="00E90B99" w:rsidP="00C60C66">
            <w:pPr>
              <w:jc w:val="center"/>
            </w:pPr>
            <w:r w:rsidRPr="00125589">
              <w:rPr>
                <w:b/>
                <w:bCs/>
              </w:rPr>
              <w:t>Selenoprotein K (</w:t>
            </w:r>
            <w:r w:rsidRPr="009B05AE">
              <w:rPr>
                <w:b/>
                <w:bCs/>
                <w:i/>
                <w:iCs/>
              </w:rPr>
              <w:t>SELK</w:t>
            </w:r>
            <w:r w:rsidRPr="00125589">
              <w:rPr>
                <w:b/>
                <w:bCs/>
              </w:rPr>
              <w:t>)</w:t>
            </w:r>
          </w:p>
          <w:p w14:paraId="26BE50D6" w14:textId="77777777" w:rsidR="00E90B99" w:rsidRPr="00DE51C3" w:rsidRDefault="00E90B99" w:rsidP="00C60C66">
            <w:pPr>
              <w:jc w:val="center"/>
            </w:pPr>
          </w:p>
        </w:tc>
        <w:tc>
          <w:tcPr>
            <w:tcW w:w="1199" w:type="dxa"/>
            <w:vAlign w:val="center"/>
          </w:tcPr>
          <w:p w14:paraId="6E2FF549" w14:textId="77777777" w:rsidR="00E90B99" w:rsidRPr="009B05AE" w:rsidRDefault="00E90B99" w:rsidP="00C60C66">
            <w:pPr>
              <w:jc w:val="center"/>
            </w:pPr>
            <w:r w:rsidRPr="009B05AE">
              <w:rPr>
                <w:rFonts w:ascii="Calibri" w:hAnsi="Calibri" w:cs="Calibri"/>
                <w:color w:val="212121"/>
                <w:kern w:val="24"/>
              </w:rPr>
              <w:t>rs73924411</w:t>
            </w:r>
          </w:p>
        </w:tc>
        <w:tc>
          <w:tcPr>
            <w:tcW w:w="1350" w:type="dxa"/>
            <w:vAlign w:val="center"/>
          </w:tcPr>
          <w:p w14:paraId="40E1DFAA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/>
                <w:kern w:val="24"/>
              </w:rPr>
              <w:t>Cross-sectional</w:t>
            </w:r>
          </w:p>
        </w:tc>
        <w:tc>
          <w:tcPr>
            <w:tcW w:w="990" w:type="dxa"/>
            <w:vAlign w:val="center"/>
          </w:tcPr>
          <w:p w14:paraId="344E5733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/>
                <w:kern w:val="24"/>
                <w:lang w:val="en-US"/>
              </w:rPr>
              <w:t>Brazil</w:t>
            </w:r>
          </w:p>
        </w:tc>
        <w:tc>
          <w:tcPr>
            <w:tcW w:w="1316" w:type="dxa"/>
            <w:vAlign w:val="center"/>
          </w:tcPr>
          <w:p w14:paraId="3C73FC38" w14:textId="77777777" w:rsidR="00E90B99" w:rsidRPr="00125589" w:rsidRDefault="00E90B99" w:rsidP="00C60C66">
            <w:pPr>
              <w:jc w:val="center"/>
            </w:pPr>
            <w:r w:rsidRPr="00125589">
              <w:rPr>
                <w:rFonts w:ascii="Calibri" w:hAnsi="Calibri" w:cs="Calibri"/>
                <w:color w:val="000000" w:themeColor="text1"/>
                <w:kern w:val="24"/>
                <w:lang w:val="en-US"/>
              </w:rPr>
              <w:t>110 individuals</w:t>
            </w:r>
          </w:p>
        </w:tc>
        <w:tc>
          <w:tcPr>
            <w:tcW w:w="1590" w:type="dxa"/>
            <w:vAlign w:val="center"/>
          </w:tcPr>
          <w:p w14:paraId="489FCF21" w14:textId="77777777" w:rsidR="00E90B99" w:rsidRPr="00125589" w:rsidRDefault="00E90B99" w:rsidP="00C60C66">
            <w:pPr>
              <w:jc w:val="center"/>
            </w:pPr>
            <w:r w:rsidRPr="00125589">
              <w:rPr>
                <w:rFonts w:ascii="Calibri" w:hAnsi="Calibri" w:cs="Calibri"/>
                <w:color w:val="000000"/>
                <w:kern w:val="24"/>
                <w:lang w:val="en-US"/>
              </w:rPr>
              <w:t>NS</w:t>
            </w:r>
          </w:p>
        </w:tc>
        <w:tc>
          <w:tcPr>
            <w:tcW w:w="1338" w:type="dxa"/>
            <w:vAlign w:val="center"/>
          </w:tcPr>
          <w:p w14:paraId="35D9F636" w14:textId="77777777" w:rsidR="00E90B99" w:rsidRPr="00125589" w:rsidRDefault="00E90B99" w:rsidP="00C60C66">
            <w:pPr>
              <w:jc w:val="center"/>
            </w:pPr>
            <w:r w:rsidRPr="00125589">
              <w:rPr>
                <w:rFonts w:ascii="Calibri" w:hAnsi="Calibri" w:cs="Calibri"/>
                <w:color w:val="000000"/>
                <w:kern w:val="24"/>
                <w:lang w:val="en-US"/>
              </w:rPr>
              <w:t>No significant difference</w:t>
            </w:r>
          </w:p>
        </w:tc>
        <w:tc>
          <w:tcPr>
            <w:tcW w:w="1430" w:type="dxa"/>
            <w:vAlign w:val="center"/>
          </w:tcPr>
          <w:p w14:paraId="05C74B90" w14:textId="77777777" w:rsidR="00E90B99" w:rsidRPr="00125589" w:rsidRDefault="00E90B99" w:rsidP="00C60C66">
            <w:pPr>
              <w:jc w:val="center"/>
            </w:pPr>
            <w:r w:rsidRPr="00125589">
              <w:rPr>
                <w:rFonts w:ascii="Calibri" w:hAnsi="Calibri" w:cs="Calibri"/>
                <w:color w:val="000000" w:themeColor="text1"/>
                <w:kern w:val="24"/>
                <w:lang w:val="en-US"/>
              </w:rPr>
              <w:t>Rocha et al., 2014</w:t>
            </w:r>
          </w:p>
        </w:tc>
      </w:tr>
      <w:tr w:rsidR="00E90B99" w:rsidRPr="00DE51C3" w14:paraId="0E3F1F6A" w14:textId="77777777" w:rsidTr="009B05AE">
        <w:tc>
          <w:tcPr>
            <w:tcW w:w="1501" w:type="dxa"/>
            <w:vMerge/>
            <w:vAlign w:val="center"/>
          </w:tcPr>
          <w:p w14:paraId="2FF8CE6D" w14:textId="77777777" w:rsidR="00E90B99" w:rsidRPr="00DE51C3" w:rsidRDefault="00E90B99" w:rsidP="00C60C66">
            <w:pPr>
              <w:jc w:val="center"/>
            </w:pPr>
          </w:p>
        </w:tc>
        <w:tc>
          <w:tcPr>
            <w:tcW w:w="1199" w:type="dxa"/>
            <w:vAlign w:val="center"/>
          </w:tcPr>
          <w:p w14:paraId="7713E657" w14:textId="77777777" w:rsidR="00E90B99" w:rsidRPr="009B05AE" w:rsidRDefault="00E90B99" w:rsidP="00C60C66">
            <w:pPr>
              <w:jc w:val="center"/>
            </w:pPr>
            <w:r w:rsidRPr="009B05AE">
              <w:rPr>
                <w:rFonts w:ascii="Calibri" w:hAnsi="Calibri" w:cs="Calibri"/>
                <w:color w:val="212121"/>
                <w:kern w:val="24"/>
              </w:rPr>
              <w:t>rs11126936</w:t>
            </w:r>
          </w:p>
        </w:tc>
        <w:tc>
          <w:tcPr>
            <w:tcW w:w="1350" w:type="dxa"/>
            <w:vAlign w:val="center"/>
          </w:tcPr>
          <w:p w14:paraId="51788107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/>
                <w:kern w:val="24"/>
              </w:rPr>
              <w:t>Cross-sectional</w:t>
            </w:r>
          </w:p>
        </w:tc>
        <w:tc>
          <w:tcPr>
            <w:tcW w:w="990" w:type="dxa"/>
            <w:vAlign w:val="center"/>
          </w:tcPr>
          <w:p w14:paraId="16FAD944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/>
                <w:kern w:val="24"/>
                <w:lang w:val="en-US"/>
              </w:rPr>
              <w:t>Brazil</w:t>
            </w:r>
          </w:p>
        </w:tc>
        <w:tc>
          <w:tcPr>
            <w:tcW w:w="1316" w:type="dxa"/>
            <w:vAlign w:val="center"/>
          </w:tcPr>
          <w:p w14:paraId="306DB283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 w:themeColor="text1"/>
                <w:kern w:val="24"/>
                <w:lang w:val="en-US"/>
              </w:rPr>
              <w:t>110 individuals</w:t>
            </w:r>
          </w:p>
        </w:tc>
        <w:tc>
          <w:tcPr>
            <w:tcW w:w="1590" w:type="dxa"/>
            <w:vAlign w:val="center"/>
          </w:tcPr>
          <w:p w14:paraId="7B6616E4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/>
                <w:kern w:val="24"/>
                <w:lang w:val="en-US"/>
              </w:rPr>
              <w:t>NS</w:t>
            </w:r>
          </w:p>
        </w:tc>
        <w:tc>
          <w:tcPr>
            <w:tcW w:w="1338" w:type="dxa"/>
            <w:vAlign w:val="center"/>
          </w:tcPr>
          <w:p w14:paraId="168917BA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/>
                <w:kern w:val="24"/>
                <w:lang w:val="en-US"/>
              </w:rPr>
              <w:t>No significant difference</w:t>
            </w:r>
          </w:p>
        </w:tc>
        <w:tc>
          <w:tcPr>
            <w:tcW w:w="1430" w:type="dxa"/>
            <w:vAlign w:val="center"/>
          </w:tcPr>
          <w:p w14:paraId="245FE774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 w:themeColor="text1"/>
                <w:kern w:val="24"/>
                <w:lang w:val="en-US"/>
              </w:rPr>
              <w:t>Rocha et al., 2014</w:t>
            </w:r>
          </w:p>
        </w:tc>
      </w:tr>
      <w:tr w:rsidR="00E90B99" w:rsidRPr="00DE51C3" w14:paraId="0B3BFB27" w14:textId="77777777" w:rsidTr="009B05AE">
        <w:tc>
          <w:tcPr>
            <w:tcW w:w="1501" w:type="dxa"/>
            <w:vMerge w:val="restart"/>
            <w:vAlign w:val="center"/>
          </w:tcPr>
          <w:p w14:paraId="26A4E9EB" w14:textId="77777777" w:rsidR="00E90B99" w:rsidRDefault="00E90B99" w:rsidP="00C60C66">
            <w:pPr>
              <w:jc w:val="center"/>
            </w:pPr>
          </w:p>
          <w:p w14:paraId="71FD2658" w14:textId="77777777" w:rsidR="00E90B99" w:rsidRPr="00E90B99" w:rsidRDefault="00E90B99" w:rsidP="009B05AE">
            <w:r w:rsidRPr="00E90B99">
              <w:rPr>
                <w:b/>
                <w:bCs/>
                <w:lang w:val="pt-BR"/>
              </w:rPr>
              <w:t>Selenoprotein S (</w:t>
            </w:r>
            <w:r w:rsidRPr="009B05AE">
              <w:rPr>
                <w:b/>
                <w:bCs/>
                <w:i/>
                <w:iCs/>
                <w:lang w:val="pt-BR"/>
              </w:rPr>
              <w:t>SELENOS, SEPS1, SELS</w:t>
            </w:r>
            <w:r w:rsidRPr="00E90B99">
              <w:rPr>
                <w:b/>
                <w:bCs/>
                <w:lang w:val="pt-BR"/>
              </w:rPr>
              <w:t>)</w:t>
            </w:r>
          </w:p>
          <w:p w14:paraId="17B4F9D4" w14:textId="77777777" w:rsidR="00E90B99" w:rsidRPr="00E90B99" w:rsidRDefault="00E90B99" w:rsidP="00C60C66">
            <w:pPr>
              <w:jc w:val="center"/>
            </w:pPr>
          </w:p>
        </w:tc>
        <w:tc>
          <w:tcPr>
            <w:tcW w:w="1199" w:type="dxa"/>
            <w:vAlign w:val="center"/>
          </w:tcPr>
          <w:p w14:paraId="14E0F73C" w14:textId="77777777" w:rsidR="00E90B99" w:rsidRPr="009B05AE" w:rsidRDefault="00E90B99" w:rsidP="00C60C66">
            <w:pPr>
              <w:jc w:val="center"/>
            </w:pPr>
            <w:r w:rsidRPr="009B05AE">
              <w:rPr>
                <w:rFonts w:ascii="Calibri" w:hAnsi="Calibri" w:cs="Calibri"/>
                <w:color w:val="333333"/>
                <w:kern w:val="24"/>
              </w:rPr>
              <w:lastRenderedPageBreak/>
              <w:t>rs4965373</w:t>
            </w:r>
          </w:p>
        </w:tc>
        <w:tc>
          <w:tcPr>
            <w:tcW w:w="1350" w:type="dxa"/>
            <w:vAlign w:val="center"/>
          </w:tcPr>
          <w:p w14:paraId="15797BA3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 w:themeColor="text1"/>
                <w:kern w:val="24"/>
              </w:rPr>
              <w:t>Cross-sectional</w:t>
            </w:r>
          </w:p>
        </w:tc>
        <w:tc>
          <w:tcPr>
            <w:tcW w:w="990" w:type="dxa"/>
            <w:vAlign w:val="center"/>
          </w:tcPr>
          <w:p w14:paraId="7088D096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/>
                <w:kern w:val="24"/>
              </w:rPr>
              <w:t>New Zealand</w:t>
            </w:r>
          </w:p>
        </w:tc>
        <w:tc>
          <w:tcPr>
            <w:tcW w:w="1316" w:type="dxa"/>
            <w:vAlign w:val="center"/>
          </w:tcPr>
          <w:p w14:paraId="4BB7096C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 w:themeColor="text1"/>
                <w:kern w:val="24"/>
                <w:lang w:val="en-US"/>
              </w:rPr>
              <w:t>503 individuals</w:t>
            </w:r>
          </w:p>
        </w:tc>
        <w:tc>
          <w:tcPr>
            <w:tcW w:w="1590" w:type="dxa"/>
            <w:vAlign w:val="center"/>
          </w:tcPr>
          <w:p w14:paraId="47F142AF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/>
                <w:kern w:val="24"/>
                <w:lang w:val="en-US"/>
              </w:rPr>
              <w:t>NS</w:t>
            </w:r>
          </w:p>
        </w:tc>
        <w:tc>
          <w:tcPr>
            <w:tcW w:w="1338" w:type="dxa"/>
            <w:vAlign w:val="center"/>
          </w:tcPr>
          <w:p w14:paraId="0D98143C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 w:themeColor="text1"/>
                <w:kern w:val="24"/>
                <w:lang w:val="en-US"/>
              </w:rPr>
              <w:t xml:space="preserve">AG genotype </w:t>
            </w:r>
            <w:r>
              <w:rPr>
                <w:rFonts w:ascii="Calibri" w:hAnsi="Calibri" w:cs="Calibri"/>
                <w:color w:val="000000" w:themeColor="text1"/>
                <w:kern w:val="24"/>
              </w:rPr>
              <w:t>significant association</w:t>
            </w:r>
          </w:p>
        </w:tc>
        <w:tc>
          <w:tcPr>
            <w:tcW w:w="1430" w:type="dxa"/>
            <w:vAlign w:val="center"/>
          </w:tcPr>
          <w:p w14:paraId="1E4D016A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333333"/>
                <w:kern w:val="24"/>
              </w:rPr>
              <w:t>Karunasinghe et al., 2012</w:t>
            </w:r>
          </w:p>
        </w:tc>
      </w:tr>
      <w:tr w:rsidR="00E90B99" w:rsidRPr="00DE51C3" w14:paraId="5116896A" w14:textId="77777777" w:rsidTr="009B05AE">
        <w:tc>
          <w:tcPr>
            <w:tcW w:w="1501" w:type="dxa"/>
            <w:vMerge/>
            <w:vAlign w:val="center"/>
          </w:tcPr>
          <w:p w14:paraId="171ED120" w14:textId="77777777" w:rsidR="00E90B99" w:rsidRPr="00DE51C3" w:rsidRDefault="00E90B99" w:rsidP="00C60C66">
            <w:pPr>
              <w:jc w:val="center"/>
            </w:pPr>
          </w:p>
        </w:tc>
        <w:tc>
          <w:tcPr>
            <w:tcW w:w="1199" w:type="dxa"/>
            <w:vAlign w:val="center"/>
          </w:tcPr>
          <w:p w14:paraId="144976D2" w14:textId="77777777" w:rsidR="00E90B99" w:rsidRPr="009B05AE" w:rsidRDefault="00E90B99" w:rsidP="00C60C66">
            <w:pPr>
              <w:jc w:val="center"/>
            </w:pPr>
            <w:r w:rsidRPr="009B05AE">
              <w:rPr>
                <w:rFonts w:ascii="Calibri" w:hAnsi="Calibri" w:cs="Calibri"/>
                <w:color w:val="212121"/>
                <w:kern w:val="24"/>
              </w:rPr>
              <w:t>rs28665122</w:t>
            </w:r>
          </w:p>
        </w:tc>
        <w:tc>
          <w:tcPr>
            <w:tcW w:w="1350" w:type="dxa"/>
            <w:vAlign w:val="center"/>
          </w:tcPr>
          <w:p w14:paraId="6160009F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 w:themeColor="text1"/>
                <w:kern w:val="24"/>
              </w:rPr>
              <w:t>Cross-sectional</w:t>
            </w:r>
          </w:p>
        </w:tc>
        <w:tc>
          <w:tcPr>
            <w:tcW w:w="990" w:type="dxa"/>
            <w:vAlign w:val="center"/>
          </w:tcPr>
          <w:p w14:paraId="3B04C5A7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/>
                <w:kern w:val="24"/>
              </w:rPr>
              <w:t>New Zealand</w:t>
            </w:r>
          </w:p>
        </w:tc>
        <w:tc>
          <w:tcPr>
            <w:tcW w:w="1316" w:type="dxa"/>
            <w:vAlign w:val="center"/>
          </w:tcPr>
          <w:p w14:paraId="411F751B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 w:themeColor="text1"/>
                <w:kern w:val="24"/>
                <w:lang w:val="en-US"/>
              </w:rPr>
              <w:t>503 individuals</w:t>
            </w:r>
          </w:p>
        </w:tc>
        <w:tc>
          <w:tcPr>
            <w:tcW w:w="1590" w:type="dxa"/>
            <w:vAlign w:val="center"/>
          </w:tcPr>
          <w:p w14:paraId="6EDC53B0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/>
                <w:kern w:val="24"/>
                <w:lang w:val="en-US"/>
              </w:rPr>
              <w:t>NS</w:t>
            </w:r>
          </w:p>
        </w:tc>
        <w:tc>
          <w:tcPr>
            <w:tcW w:w="1338" w:type="dxa"/>
            <w:vAlign w:val="center"/>
          </w:tcPr>
          <w:p w14:paraId="158380B3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 w:themeColor="text1"/>
                <w:kern w:val="24"/>
                <w:lang w:val="en-US"/>
              </w:rPr>
              <w:t xml:space="preserve">GG genotype </w:t>
            </w:r>
            <w:r>
              <w:rPr>
                <w:rFonts w:ascii="Calibri" w:hAnsi="Calibri" w:cs="Calibri"/>
                <w:color w:val="000000" w:themeColor="text1"/>
                <w:kern w:val="24"/>
              </w:rPr>
              <w:t>significant association</w:t>
            </w:r>
          </w:p>
        </w:tc>
        <w:tc>
          <w:tcPr>
            <w:tcW w:w="1430" w:type="dxa"/>
            <w:vAlign w:val="center"/>
          </w:tcPr>
          <w:p w14:paraId="70ED0CF2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333333"/>
                <w:kern w:val="24"/>
              </w:rPr>
              <w:t>Karunasinghe et al., 2012</w:t>
            </w:r>
          </w:p>
        </w:tc>
      </w:tr>
      <w:tr w:rsidR="00E90B99" w:rsidRPr="00DE51C3" w14:paraId="3D91FB1D" w14:textId="77777777" w:rsidTr="009B05AE">
        <w:tc>
          <w:tcPr>
            <w:tcW w:w="1501" w:type="dxa"/>
            <w:vMerge w:val="restart"/>
            <w:vAlign w:val="center"/>
          </w:tcPr>
          <w:p w14:paraId="68A277C1" w14:textId="77777777" w:rsidR="00E90B99" w:rsidRPr="00125589" w:rsidRDefault="00E90B99" w:rsidP="00C60C66">
            <w:pPr>
              <w:jc w:val="center"/>
            </w:pPr>
            <w:r w:rsidRPr="00125589">
              <w:rPr>
                <w:b/>
                <w:bCs/>
              </w:rPr>
              <w:lastRenderedPageBreak/>
              <w:t>selenoprotein F (</w:t>
            </w:r>
            <w:r w:rsidRPr="009B05AE">
              <w:rPr>
                <w:b/>
                <w:bCs/>
                <w:i/>
                <w:iCs/>
              </w:rPr>
              <w:t>SELENOF</w:t>
            </w:r>
            <w:r w:rsidRPr="00125589">
              <w:rPr>
                <w:b/>
                <w:bCs/>
              </w:rPr>
              <w:t>); 15-kd selenoprotein (</w:t>
            </w:r>
            <w:r w:rsidRPr="009B05AE">
              <w:rPr>
                <w:b/>
                <w:bCs/>
                <w:i/>
                <w:iCs/>
              </w:rPr>
              <w:t>SEP15</w:t>
            </w:r>
            <w:r w:rsidRPr="00125589">
              <w:rPr>
                <w:b/>
                <w:bCs/>
              </w:rPr>
              <w:t>)</w:t>
            </w:r>
          </w:p>
          <w:p w14:paraId="3BD9158F" w14:textId="77777777" w:rsidR="00E90B99" w:rsidRPr="00DE51C3" w:rsidRDefault="00E90B99" w:rsidP="00C60C66">
            <w:pPr>
              <w:jc w:val="center"/>
            </w:pPr>
          </w:p>
        </w:tc>
        <w:tc>
          <w:tcPr>
            <w:tcW w:w="1199" w:type="dxa"/>
            <w:vAlign w:val="center"/>
          </w:tcPr>
          <w:p w14:paraId="121CDEC0" w14:textId="77777777" w:rsidR="00E90B99" w:rsidRPr="009B05AE" w:rsidRDefault="00E90B99" w:rsidP="00C60C66">
            <w:pPr>
              <w:jc w:val="center"/>
            </w:pPr>
            <w:r w:rsidRPr="009B05AE">
              <w:rPr>
                <w:rFonts w:ascii="Calibri" w:hAnsi="Calibri" w:cs="Calibri"/>
                <w:color w:val="000000" w:themeColor="text1"/>
                <w:kern w:val="24"/>
                <w:lang w:val="en-US"/>
              </w:rPr>
              <w:t>rs5845</w:t>
            </w:r>
          </w:p>
        </w:tc>
        <w:tc>
          <w:tcPr>
            <w:tcW w:w="1350" w:type="dxa"/>
            <w:vAlign w:val="center"/>
          </w:tcPr>
          <w:p w14:paraId="789A3062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 w:themeColor="text1"/>
                <w:kern w:val="24"/>
              </w:rPr>
              <w:t>Cross-sectional</w:t>
            </w:r>
          </w:p>
        </w:tc>
        <w:tc>
          <w:tcPr>
            <w:tcW w:w="990" w:type="dxa"/>
            <w:vAlign w:val="center"/>
          </w:tcPr>
          <w:p w14:paraId="4E3F0820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/>
                <w:kern w:val="24"/>
              </w:rPr>
              <w:t>New Zealand</w:t>
            </w:r>
          </w:p>
        </w:tc>
        <w:tc>
          <w:tcPr>
            <w:tcW w:w="1316" w:type="dxa"/>
            <w:vAlign w:val="center"/>
          </w:tcPr>
          <w:p w14:paraId="63279C73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 w:themeColor="text1"/>
                <w:kern w:val="24"/>
                <w:lang w:val="en-US"/>
              </w:rPr>
              <w:t>503 individuals</w:t>
            </w:r>
          </w:p>
        </w:tc>
        <w:tc>
          <w:tcPr>
            <w:tcW w:w="1590" w:type="dxa"/>
            <w:vAlign w:val="center"/>
          </w:tcPr>
          <w:p w14:paraId="01A9C60B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/>
                <w:kern w:val="24"/>
                <w:lang w:val="en-US"/>
              </w:rPr>
              <w:t>NS</w:t>
            </w:r>
          </w:p>
        </w:tc>
        <w:tc>
          <w:tcPr>
            <w:tcW w:w="1338" w:type="dxa"/>
            <w:vAlign w:val="center"/>
          </w:tcPr>
          <w:p w14:paraId="691F3470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 w:themeColor="text1"/>
                <w:kern w:val="24"/>
              </w:rPr>
              <w:t>CC</w:t>
            </w:r>
            <w:r>
              <w:rPr>
                <w:rFonts w:ascii="Calibri" w:hAnsi="Calibri" w:cs="Calibri"/>
                <w:color w:val="000000" w:themeColor="text1"/>
                <w:kern w:val="24"/>
                <w:sz w:val="36"/>
                <w:szCs w:val="36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kern w:val="24"/>
              </w:rPr>
              <w:t>significant association</w:t>
            </w:r>
          </w:p>
        </w:tc>
        <w:tc>
          <w:tcPr>
            <w:tcW w:w="1430" w:type="dxa"/>
            <w:vAlign w:val="center"/>
          </w:tcPr>
          <w:p w14:paraId="6D2B9F7A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333333"/>
                <w:kern w:val="24"/>
              </w:rPr>
              <w:t>Karunasinghe et al., 2012</w:t>
            </w:r>
          </w:p>
        </w:tc>
      </w:tr>
      <w:tr w:rsidR="00E90B99" w:rsidRPr="00DE51C3" w14:paraId="417F98FE" w14:textId="77777777" w:rsidTr="009B05AE">
        <w:tc>
          <w:tcPr>
            <w:tcW w:w="1501" w:type="dxa"/>
            <w:vMerge/>
            <w:vAlign w:val="center"/>
          </w:tcPr>
          <w:p w14:paraId="245B61AD" w14:textId="77777777" w:rsidR="00E90B99" w:rsidRPr="00DE51C3" w:rsidRDefault="00E90B99" w:rsidP="00C60C66">
            <w:pPr>
              <w:jc w:val="center"/>
            </w:pPr>
          </w:p>
        </w:tc>
        <w:tc>
          <w:tcPr>
            <w:tcW w:w="1199" w:type="dxa"/>
            <w:vAlign w:val="center"/>
          </w:tcPr>
          <w:p w14:paraId="60BEF107" w14:textId="77777777" w:rsidR="00E90B99" w:rsidRPr="009B05AE" w:rsidRDefault="00E90B99" w:rsidP="00C60C66">
            <w:pPr>
              <w:jc w:val="center"/>
            </w:pPr>
            <w:r w:rsidRPr="009B05AE">
              <w:rPr>
                <w:rFonts w:ascii="Calibri" w:hAnsi="Calibri" w:cs="Calibri"/>
                <w:color w:val="000000"/>
                <w:kern w:val="24"/>
              </w:rPr>
              <w:t>rs5854</w:t>
            </w:r>
          </w:p>
        </w:tc>
        <w:tc>
          <w:tcPr>
            <w:tcW w:w="1350" w:type="dxa"/>
            <w:vAlign w:val="center"/>
          </w:tcPr>
          <w:p w14:paraId="183188D0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/>
                <w:kern w:val="24"/>
              </w:rPr>
              <w:t>Cross-sectional</w:t>
            </w:r>
          </w:p>
        </w:tc>
        <w:tc>
          <w:tcPr>
            <w:tcW w:w="990" w:type="dxa"/>
            <w:vAlign w:val="center"/>
          </w:tcPr>
          <w:p w14:paraId="3F5A6349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/>
                <w:kern w:val="24"/>
                <w:lang w:val="en-US"/>
              </w:rPr>
              <w:t>Brazil</w:t>
            </w:r>
          </w:p>
        </w:tc>
        <w:tc>
          <w:tcPr>
            <w:tcW w:w="1316" w:type="dxa"/>
            <w:vAlign w:val="center"/>
          </w:tcPr>
          <w:p w14:paraId="099FCB8D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 w:themeColor="text1"/>
                <w:kern w:val="24"/>
                <w:lang w:val="en-US"/>
              </w:rPr>
              <w:t>110 individuals</w:t>
            </w:r>
          </w:p>
        </w:tc>
        <w:tc>
          <w:tcPr>
            <w:tcW w:w="1590" w:type="dxa"/>
            <w:vAlign w:val="center"/>
          </w:tcPr>
          <w:p w14:paraId="5250A681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/>
                <w:kern w:val="24"/>
                <w:lang w:val="en-US"/>
              </w:rPr>
              <w:t>NS</w:t>
            </w:r>
          </w:p>
        </w:tc>
        <w:tc>
          <w:tcPr>
            <w:tcW w:w="1338" w:type="dxa"/>
            <w:vAlign w:val="center"/>
          </w:tcPr>
          <w:p w14:paraId="7B108B3C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 w:themeColor="text1"/>
                <w:kern w:val="24"/>
                <w:lang w:val="en-US"/>
              </w:rPr>
              <w:t>No significant difference</w:t>
            </w:r>
          </w:p>
        </w:tc>
        <w:tc>
          <w:tcPr>
            <w:tcW w:w="1430" w:type="dxa"/>
            <w:vAlign w:val="center"/>
          </w:tcPr>
          <w:p w14:paraId="44BA7DF9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 w:themeColor="text1"/>
                <w:kern w:val="24"/>
                <w:lang w:val="en-US"/>
              </w:rPr>
              <w:t>Rocha et al., 2014</w:t>
            </w:r>
          </w:p>
        </w:tc>
      </w:tr>
      <w:tr w:rsidR="00E90B99" w:rsidRPr="00DE51C3" w14:paraId="476314EB" w14:textId="77777777" w:rsidTr="009B05AE">
        <w:tc>
          <w:tcPr>
            <w:tcW w:w="1501" w:type="dxa"/>
            <w:vMerge/>
            <w:vAlign w:val="center"/>
          </w:tcPr>
          <w:p w14:paraId="571D1274" w14:textId="77777777" w:rsidR="00E90B99" w:rsidRPr="00DE51C3" w:rsidRDefault="00E90B99" w:rsidP="00C60C66">
            <w:pPr>
              <w:jc w:val="center"/>
            </w:pPr>
          </w:p>
        </w:tc>
        <w:tc>
          <w:tcPr>
            <w:tcW w:w="1199" w:type="dxa"/>
            <w:vAlign w:val="center"/>
          </w:tcPr>
          <w:p w14:paraId="1159BF3D" w14:textId="77777777" w:rsidR="00E90B99" w:rsidRPr="009B05AE" w:rsidRDefault="00E90B99" w:rsidP="00C60C66">
            <w:pPr>
              <w:jc w:val="center"/>
            </w:pPr>
            <w:r w:rsidRPr="009B05AE">
              <w:rPr>
                <w:rFonts w:ascii="Calibri" w:hAnsi="Calibri" w:cs="Calibri"/>
                <w:color w:val="000000"/>
                <w:kern w:val="24"/>
              </w:rPr>
              <w:t>rs561104</w:t>
            </w:r>
          </w:p>
        </w:tc>
        <w:tc>
          <w:tcPr>
            <w:tcW w:w="1350" w:type="dxa"/>
            <w:vAlign w:val="center"/>
          </w:tcPr>
          <w:p w14:paraId="3B0A4B7F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/>
                <w:kern w:val="24"/>
              </w:rPr>
              <w:t>Cross-sectional</w:t>
            </w:r>
          </w:p>
        </w:tc>
        <w:tc>
          <w:tcPr>
            <w:tcW w:w="990" w:type="dxa"/>
            <w:vAlign w:val="center"/>
          </w:tcPr>
          <w:p w14:paraId="14FF13CB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/>
                <w:kern w:val="24"/>
                <w:lang w:val="en-US"/>
              </w:rPr>
              <w:t>Brazil</w:t>
            </w:r>
          </w:p>
        </w:tc>
        <w:tc>
          <w:tcPr>
            <w:tcW w:w="1316" w:type="dxa"/>
            <w:vAlign w:val="center"/>
          </w:tcPr>
          <w:p w14:paraId="18A6FF42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 w:themeColor="text1"/>
                <w:kern w:val="24"/>
                <w:lang w:val="en-US"/>
              </w:rPr>
              <w:t>110 individuals</w:t>
            </w:r>
          </w:p>
        </w:tc>
        <w:tc>
          <w:tcPr>
            <w:tcW w:w="1590" w:type="dxa"/>
            <w:vAlign w:val="center"/>
          </w:tcPr>
          <w:p w14:paraId="599B3668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/>
                <w:kern w:val="24"/>
                <w:lang w:val="en-US"/>
              </w:rPr>
              <w:t>NS</w:t>
            </w:r>
          </w:p>
        </w:tc>
        <w:tc>
          <w:tcPr>
            <w:tcW w:w="1338" w:type="dxa"/>
            <w:vAlign w:val="center"/>
          </w:tcPr>
          <w:p w14:paraId="32830CCC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 w:themeColor="text1"/>
                <w:kern w:val="24"/>
                <w:lang w:val="en-US"/>
              </w:rPr>
              <w:t>CC &gt; T carriers</w:t>
            </w:r>
          </w:p>
        </w:tc>
        <w:tc>
          <w:tcPr>
            <w:tcW w:w="1430" w:type="dxa"/>
            <w:vAlign w:val="center"/>
          </w:tcPr>
          <w:p w14:paraId="688EBFDB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 w:themeColor="text1"/>
                <w:kern w:val="24"/>
                <w:lang w:val="en-US"/>
              </w:rPr>
              <w:t>Rocha et al., 2014</w:t>
            </w:r>
          </w:p>
        </w:tc>
      </w:tr>
      <w:tr w:rsidR="00E90B99" w:rsidRPr="00DE51C3" w14:paraId="2A9D69D8" w14:textId="77777777" w:rsidTr="009B05AE">
        <w:tc>
          <w:tcPr>
            <w:tcW w:w="1501" w:type="dxa"/>
            <w:vMerge/>
            <w:vAlign w:val="center"/>
          </w:tcPr>
          <w:p w14:paraId="3F26457A" w14:textId="77777777" w:rsidR="00E90B99" w:rsidRPr="00DE51C3" w:rsidRDefault="00E90B99" w:rsidP="00C60C66">
            <w:pPr>
              <w:jc w:val="center"/>
            </w:pPr>
          </w:p>
        </w:tc>
        <w:tc>
          <w:tcPr>
            <w:tcW w:w="1199" w:type="dxa"/>
            <w:vMerge w:val="restart"/>
            <w:vAlign w:val="center"/>
          </w:tcPr>
          <w:p w14:paraId="3A442573" w14:textId="77777777" w:rsidR="00E90B99" w:rsidRPr="009B05AE" w:rsidRDefault="00E90B99" w:rsidP="00C60C66">
            <w:pPr>
              <w:jc w:val="center"/>
            </w:pPr>
            <w:r w:rsidRPr="009B05AE">
              <w:t>rs5859</w:t>
            </w:r>
          </w:p>
        </w:tc>
        <w:tc>
          <w:tcPr>
            <w:tcW w:w="1350" w:type="dxa"/>
            <w:vAlign w:val="center"/>
          </w:tcPr>
          <w:p w14:paraId="635D753B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/>
                <w:kern w:val="24"/>
              </w:rPr>
              <w:t>Cross-sectional</w:t>
            </w:r>
          </w:p>
        </w:tc>
        <w:tc>
          <w:tcPr>
            <w:tcW w:w="990" w:type="dxa"/>
            <w:vAlign w:val="center"/>
          </w:tcPr>
          <w:p w14:paraId="13674B14" w14:textId="77777777" w:rsidR="00E90B99" w:rsidRPr="00E90B99" w:rsidRDefault="00E90B99" w:rsidP="00C60C66">
            <w:pPr>
              <w:jc w:val="center"/>
            </w:pPr>
            <w:r w:rsidRPr="00E90B99">
              <w:rPr>
                <w:rFonts w:ascii="Calibri" w:hAnsi="Calibri" w:cs="Calibri"/>
                <w:color w:val="000000"/>
                <w:kern w:val="24"/>
                <w:lang w:val="en-US"/>
              </w:rPr>
              <w:t>Brazil</w:t>
            </w:r>
          </w:p>
        </w:tc>
        <w:tc>
          <w:tcPr>
            <w:tcW w:w="1316" w:type="dxa"/>
            <w:vAlign w:val="center"/>
          </w:tcPr>
          <w:p w14:paraId="7CB7EE4B" w14:textId="77777777" w:rsidR="00E90B99" w:rsidRPr="00E90B99" w:rsidRDefault="00E90B99" w:rsidP="00C60C66">
            <w:pPr>
              <w:jc w:val="center"/>
            </w:pPr>
            <w:r w:rsidRPr="00E90B99">
              <w:rPr>
                <w:rFonts w:ascii="Calibri" w:hAnsi="Calibri" w:cs="Calibri"/>
                <w:color w:val="000000" w:themeColor="text1"/>
                <w:kern w:val="24"/>
                <w:lang w:val="en-US"/>
              </w:rPr>
              <w:t>110 individuals</w:t>
            </w:r>
          </w:p>
        </w:tc>
        <w:tc>
          <w:tcPr>
            <w:tcW w:w="1590" w:type="dxa"/>
            <w:vAlign w:val="center"/>
          </w:tcPr>
          <w:p w14:paraId="373D9DA5" w14:textId="77777777" w:rsidR="00E90B99" w:rsidRPr="00E90B99" w:rsidRDefault="00E90B99" w:rsidP="00C60C66">
            <w:pPr>
              <w:jc w:val="center"/>
            </w:pPr>
            <w:r w:rsidRPr="00E90B99">
              <w:rPr>
                <w:rFonts w:ascii="Calibri" w:hAnsi="Calibri" w:cs="Calibri"/>
                <w:color w:val="000000"/>
                <w:kern w:val="24"/>
                <w:lang w:val="en-US"/>
              </w:rPr>
              <w:t>NS</w:t>
            </w:r>
          </w:p>
        </w:tc>
        <w:tc>
          <w:tcPr>
            <w:tcW w:w="1338" w:type="dxa"/>
            <w:vAlign w:val="center"/>
          </w:tcPr>
          <w:p w14:paraId="51D59A15" w14:textId="77777777" w:rsidR="00E90B99" w:rsidRPr="00E90B99" w:rsidRDefault="00E90B99" w:rsidP="00C60C66">
            <w:pPr>
              <w:jc w:val="center"/>
            </w:pPr>
            <w:r w:rsidRPr="00E90B99">
              <w:rPr>
                <w:rFonts w:ascii="Calibri" w:hAnsi="Calibri" w:cs="Calibri"/>
                <w:color w:val="000000" w:themeColor="text1"/>
                <w:kern w:val="24"/>
                <w:lang w:val="en-US"/>
              </w:rPr>
              <w:t>No significant difference</w:t>
            </w:r>
          </w:p>
        </w:tc>
        <w:tc>
          <w:tcPr>
            <w:tcW w:w="1430" w:type="dxa"/>
            <w:vAlign w:val="center"/>
          </w:tcPr>
          <w:p w14:paraId="0A84FAFD" w14:textId="77777777" w:rsidR="00E90B99" w:rsidRPr="00E90B99" w:rsidRDefault="00E90B99" w:rsidP="00C60C66">
            <w:pPr>
              <w:jc w:val="center"/>
            </w:pPr>
            <w:r w:rsidRPr="00E90B99">
              <w:rPr>
                <w:rFonts w:ascii="Calibri" w:hAnsi="Calibri" w:cs="Calibri"/>
                <w:color w:val="000000" w:themeColor="text1"/>
                <w:kern w:val="24"/>
                <w:lang w:val="en-US"/>
              </w:rPr>
              <w:t>Rocha et al., 2014</w:t>
            </w:r>
          </w:p>
        </w:tc>
      </w:tr>
      <w:tr w:rsidR="00E90B99" w:rsidRPr="00DE51C3" w14:paraId="733004DC" w14:textId="77777777" w:rsidTr="009B05AE">
        <w:tc>
          <w:tcPr>
            <w:tcW w:w="1501" w:type="dxa"/>
            <w:vMerge/>
            <w:vAlign w:val="center"/>
          </w:tcPr>
          <w:p w14:paraId="73F24434" w14:textId="77777777" w:rsidR="00E90B99" w:rsidRPr="00DE51C3" w:rsidRDefault="00E90B99" w:rsidP="00C60C66">
            <w:pPr>
              <w:jc w:val="center"/>
            </w:pPr>
          </w:p>
        </w:tc>
        <w:tc>
          <w:tcPr>
            <w:tcW w:w="1199" w:type="dxa"/>
            <w:vMerge/>
            <w:vAlign w:val="center"/>
          </w:tcPr>
          <w:p w14:paraId="302F7CB2" w14:textId="77777777" w:rsidR="00E90B99" w:rsidRPr="00DE51C3" w:rsidRDefault="00E90B99" w:rsidP="00C60C66">
            <w:pPr>
              <w:jc w:val="center"/>
            </w:pPr>
          </w:p>
        </w:tc>
        <w:tc>
          <w:tcPr>
            <w:tcW w:w="1350" w:type="dxa"/>
            <w:vAlign w:val="center"/>
          </w:tcPr>
          <w:p w14:paraId="28CF919B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/>
                <w:kern w:val="24"/>
              </w:rPr>
              <w:t>Cross-sectional</w:t>
            </w:r>
          </w:p>
        </w:tc>
        <w:tc>
          <w:tcPr>
            <w:tcW w:w="990" w:type="dxa"/>
            <w:vAlign w:val="center"/>
          </w:tcPr>
          <w:p w14:paraId="3E11B216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/>
                <w:kern w:val="24"/>
                <w:lang w:val="en-US"/>
              </w:rPr>
              <w:t>Poland</w:t>
            </w:r>
          </w:p>
        </w:tc>
        <w:tc>
          <w:tcPr>
            <w:tcW w:w="1316" w:type="dxa"/>
            <w:vAlign w:val="center"/>
          </w:tcPr>
          <w:p w14:paraId="47E9DA79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 w:themeColor="text1"/>
                <w:kern w:val="24"/>
                <w:lang w:val="en-US"/>
              </w:rPr>
              <w:t>441 individuals</w:t>
            </w:r>
          </w:p>
        </w:tc>
        <w:tc>
          <w:tcPr>
            <w:tcW w:w="1590" w:type="dxa"/>
            <w:vAlign w:val="center"/>
          </w:tcPr>
          <w:p w14:paraId="716F1DAF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/>
                <w:kern w:val="24"/>
                <w:lang w:val="en-US"/>
              </w:rPr>
              <w:t>NS</w:t>
            </w:r>
          </w:p>
        </w:tc>
        <w:tc>
          <w:tcPr>
            <w:tcW w:w="1338" w:type="dxa"/>
            <w:vAlign w:val="center"/>
          </w:tcPr>
          <w:p w14:paraId="4ED2B896" w14:textId="77777777" w:rsidR="00E90B99" w:rsidRPr="00DE51C3" w:rsidRDefault="00E90B99" w:rsidP="00C60C66">
            <w:pPr>
              <w:jc w:val="center"/>
            </w:pPr>
          </w:p>
        </w:tc>
        <w:tc>
          <w:tcPr>
            <w:tcW w:w="1430" w:type="dxa"/>
            <w:vAlign w:val="center"/>
          </w:tcPr>
          <w:p w14:paraId="05002FA2" w14:textId="77777777" w:rsidR="00E90B99" w:rsidRPr="00DE51C3" w:rsidRDefault="00E90B99" w:rsidP="00C60C66">
            <w:pPr>
              <w:jc w:val="center"/>
            </w:pPr>
            <w:r>
              <w:rPr>
                <w:rFonts w:ascii="Calibri" w:hAnsi="Calibri" w:cs="Calibri"/>
                <w:color w:val="000000"/>
                <w:kern w:val="24"/>
              </w:rPr>
              <w:t>Tarhonska et al., 2022</w:t>
            </w:r>
          </w:p>
        </w:tc>
      </w:tr>
    </w:tbl>
    <w:p w14:paraId="0DC5824D" w14:textId="77777777" w:rsidR="00E90B99" w:rsidRDefault="00E90B99"/>
    <w:sectPr w:rsidR="00E90B99" w:rsidSect="009B05AE">
      <w:headerReference w:type="default" r:id="rId6"/>
      <w:pgSz w:w="11906" w:h="16838"/>
      <w:pgMar w:top="1440" w:right="56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BDD9EA" w14:textId="77777777" w:rsidR="009F57DC" w:rsidRDefault="009F57DC" w:rsidP="00E90B99">
      <w:pPr>
        <w:spacing w:after="0" w:line="240" w:lineRule="auto"/>
      </w:pPr>
      <w:r>
        <w:separator/>
      </w:r>
    </w:p>
  </w:endnote>
  <w:endnote w:type="continuationSeparator" w:id="0">
    <w:p w14:paraId="5927A4DE" w14:textId="77777777" w:rsidR="009F57DC" w:rsidRDefault="009F57DC" w:rsidP="00E90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10E267" w14:textId="77777777" w:rsidR="009F57DC" w:rsidRDefault="009F57DC" w:rsidP="00E90B99">
      <w:pPr>
        <w:spacing w:after="0" w:line="240" w:lineRule="auto"/>
      </w:pPr>
      <w:r>
        <w:separator/>
      </w:r>
    </w:p>
  </w:footnote>
  <w:footnote w:type="continuationSeparator" w:id="0">
    <w:p w14:paraId="65DB2F4A" w14:textId="77777777" w:rsidR="009F57DC" w:rsidRDefault="009F57DC" w:rsidP="00E90B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EE06E0" w14:textId="77777777" w:rsidR="00E90B99" w:rsidRDefault="00E90B9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1C3"/>
    <w:rsid w:val="00125589"/>
    <w:rsid w:val="00212835"/>
    <w:rsid w:val="002C5B85"/>
    <w:rsid w:val="009B05AE"/>
    <w:rsid w:val="009F57DC"/>
    <w:rsid w:val="00AF0357"/>
    <w:rsid w:val="00CE3DDE"/>
    <w:rsid w:val="00D957F7"/>
    <w:rsid w:val="00DE51C3"/>
    <w:rsid w:val="00E61381"/>
    <w:rsid w:val="00E86C4D"/>
    <w:rsid w:val="00E90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E27C1"/>
  <w15:chartTrackingRefBased/>
  <w15:docId w15:val="{3AAC56C7-2093-47DE-B925-2742D075F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51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DE5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90B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0B99"/>
  </w:style>
  <w:style w:type="paragraph" w:styleId="Footer">
    <w:name w:val="footer"/>
    <w:basedOn w:val="Normal"/>
    <w:link w:val="FooterChar"/>
    <w:uiPriority w:val="99"/>
    <w:unhideWhenUsed/>
    <w:rsid w:val="00E90B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0B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00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2449</Characters>
  <Application>Microsoft Office Word</Application>
  <DocSecurity>0</DocSecurity>
  <Lines>349</Lines>
  <Paragraphs>177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 sharma</dc:creator>
  <cp:keywords/>
  <dc:description/>
  <cp:lastModifiedBy>KHETARPAL</cp:lastModifiedBy>
  <cp:revision>2</cp:revision>
  <dcterms:created xsi:type="dcterms:W3CDTF">2023-11-02T09:50:00Z</dcterms:created>
  <dcterms:modified xsi:type="dcterms:W3CDTF">2023-11-02T09:50:00Z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e112ac8e602bc5fb6fb5491b0c2cd5e0dc2c8f4cb312cc0235c5ebd927dc43dc</vt:lpwstr>
  </property>
</Properties>
</file>