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colors4.xml" ContentType="application/vnd.ms-office.chartcolorstyle+xml"/>
  <Override PartName="/word/charts/colors5.xml" ContentType="application/vnd.ms-office.chartcolorstyle+xml"/>
  <Override PartName="/word/charts/colors6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charts/style5.xml" ContentType="application/vnd.ms-office.chartstyle+xml"/>
  <Override PartName="/word/charts/style6.xml" ContentType="application/vnd.ms-office.chartstyle+xml"/>
  <Override PartName="/word/document.xml" ContentType="application/vnd.openxmlformats-officedocument.wordprocessingml.document.main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drawings/drawing3.xml" ContentType="application/vnd.openxmlformats-officedocument.drawingml.chartshapes+xml"/>
  <Override PartName="/word/drawings/drawing4.xml" ContentType="application/vnd.openxmlformats-officedocument.drawingml.chartshapes+xml"/>
  <Override PartName="/word/drawings/drawing5.xml" ContentType="application/vnd.openxmlformats-officedocument.drawingml.chartshapes+xml"/>
  <Override PartName="/word/drawings/drawing6.xml" ContentType="application/vnd.openxmlformats-officedocument.drawingml.chartshap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Supporting information</w:t>
      </w:r>
    </w:p>
    <w:p>
      <w:pPr>
        <w:rPr>
          <w:rFonts w:ascii="Times New Roman" w:hAnsi="Times New Roman" w:eastAsia="黑体" w:cs="Times New Roman"/>
          <w:b/>
        </w:rPr>
      </w:pPr>
    </w:p>
    <w:p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Rice–crayfish co-culture system increases the global warming potential-An evidence from soil culture with different water content</w:t>
      </w:r>
    </w:p>
    <w:p>
      <w:pPr>
        <w:spacing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Zhangyong Liu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hint="eastAsia" w:ascii="Times New Roman" w:hAnsi="Times New Roman" w:cs="Times New Roman"/>
          <w:sz w:val="20"/>
          <w:szCs w:val="20"/>
        </w:rPr>
        <w:t>Dingyue Zhang</w:t>
      </w:r>
      <w:r>
        <w:rPr>
          <w:rFonts w:hint="eastAsia" w:ascii="Times New Roman" w:hAnsi="Times New Roman" w:cs="Times New Roman"/>
          <w:sz w:val="20"/>
          <w:szCs w:val="20"/>
          <w:vertAlign w:val="superscript"/>
        </w:rPr>
        <w:t>c</w:t>
      </w:r>
      <w:r>
        <w:rPr>
          <w:rFonts w:hint="eastAsia" w:ascii="Times New Roman" w:hAnsi="Times New Roman" w:cs="Times New Roman"/>
          <w:sz w:val="20"/>
          <w:szCs w:val="20"/>
          <w:vertAlign w:val="superscript"/>
          <w:lang w:val="en-US" w:eastAsia="zh-CN"/>
        </w:rPr>
        <w:t>*</w:t>
      </w:r>
      <w:r>
        <w:rPr>
          <w:rFonts w:hint="eastAsia"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Jun Hou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a*</w:t>
      </w:r>
      <w:r>
        <w:rPr>
          <w:rFonts w:ascii="Times New Roman" w:hAnsi="Times New Roman" w:cs="Times New Roman"/>
          <w:sz w:val="20"/>
          <w:szCs w:val="20"/>
        </w:rPr>
        <w:t xml:space="preserve">, Yuxian Cao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>
        <w:rPr>
          <w:rFonts w:ascii="Times New Roman" w:hAnsi="Times New Roman" w:cs="Times New Roman"/>
          <w:sz w:val="20"/>
          <w:szCs w:val="20"/>
        </w:rPr>
        <w:t>, Ren Hu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a</w:t>
      </w:r>
      <w:r>
        <w:rPr>
          <w:rFonts w:ascii="Times New Roman" w:hAnsi="Times New Roman" w:cs="Times New Roman"/>
          <w:sz w:val="20"/>
          <w:szCs w:val="20"/>
        </w:rPr>
        <w:t xml:space="preserve">, Dakang Xiao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</w:p>
    <w:p>
      <w:pPr>
        <w:spacing w:line="240" w:lineRule="atLeas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a</w:t>
      </w:r>
      <w:r>
        <w:rPr>
          <w:rFonts w:ascii="Times New Roman" w:hAnsi="Times New Roman"/>
          <w:i/>
          <w:sz w:val="20"/>
          <w:szCs w:val="20"/>
        </w:rPr>
        <w:t xml:space="preserve"> College of Agriculture, Yangtze University, MARA Key Laboratory of Sustainable Crop Production in the Middle Reaches of the Yangtze River (Co-construction by Ministry and Province), Jingzhou,434025, China</w:t>
      </w:r>
    </w:p>
    <w:p>
      <w:pPr>
        <w:spacing w:line="480" w:lineRule="auto"/>
        <w:rPr>
          <w:rFonts w:ascii="Times New Roman" w:hAnsi="Times New Roman"/>
          <w:i/>
          <w:sz w:val="20"/>
          <w:szCs w:val="20"/>
        </w:rPr>
      </w:pPr>
      <w:r>
        <w:rPr>
          <w:rFonts w:hint="eastAsia" w:ascii="Times New Roman" w:hAnsi="Times New Roman"/>
          <w:sz w:val="20"/>
          <w:szCs w:val="20"/>
          <w:vertAlign w:val="superscript"/>
        </w:rPr>
        <w:t>b</w:t>
      </w:r>
      <w:r>
        <w:rPr>
          <w:rFonts w:ascii="Times New Roman" w:hAnsi="Times New Roman"/>
          <w:i/>
          <w:sz w:val="20"/>
          <w:szCs w:val="20"/>
        </w:rPr>
        <w:t xml:space="preserve"> College of Life Science, Yangtze University, Jingzhou,434025, China</w:t>
      </w:r>
    </w:p>
    <w:p>
      <w:pPr>
        <w:spacing w:line="480" w:lineRule="auto"/>
        <w:rPr>
          <w:rFonts w:ascii="Times New Roman" w:hAnsi="Times New Roman"/>
          <w:i/>
          <w:sz w:val="20"/>
          <w:szCs w:val="20"/>
        </w:rPr>
      </w:pPr>
      <w:r>
        <w:rPr>
          <w:rFonts w:hint="eastAsia" w:ascii="Times New Roman" w:hAnsi="Times New Roman"/>
          <w:i/>
          <w:sz w:val="20"/>
          <w:szCs w:val="20"/>
          <w:vertAlign w:val="superscript"/>
        </w:rPr>
        <w:t xml:space="preserve">c </w:t>
      </w:r>
      <w:r>
        <w:rPr>
          <w:rFonts w:hint="eastAsia" w:ascii="Times New Roman" w:hAnsi="Times New Roman"/>
          <w:i/>
          <w:sz w:val="20"/>
          <w:szCs w:val="20"/>
        </w:rPr>
        <w:t>Jiangsu Coastal Area Institute of Agricultural Sciences; Yancheng,224002,</w:t>
      </w:r>
      <w:r>
        <w:rPr>
          <w:rFonts w:ascii="Times New Roman" w:hAnsi="Times New Roman"/>
          <w:i/>
          <w:sz w:val="20"/>
          <w:szCs w:val="20"/>
        </w:rPr>
        <w:t xml:space="preserve"> China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bookmarkStart w:id="0" w:name="_GoBack"/>
      <w:bookmarkEnd w:id="0"/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r>
        <w:t xml:space="preserve"> </w:t>
      </w:r>
    </w:p>
    <w:p>
      <w:r>
        <w:t xml:space="preserve"> </w:t>
      </w:r>
    </w:p>
    <w:p/>
    <w:p>
      <w:r>
        <w:drawing>
          <wp:inline distT="0" distB="0" distL="0" distR="0">
            <wp:extent cx="2654935" cy="2721610"/>
            <wp:effectExtent l="0" t="0" r="0" b="254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drawing>
          <wp:inline distT="0" distB="0" distL="0" distR="0">
            <wp:extent cx="2347595" cy="2713355"/>
            <wp:effectExtent l="0" t="0" r="0" b="0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r>
        <w:drawing>
          <wp:inline distT="0" distB="0" distL="0" distR="0">
            <wp:extent cx="2662555" cy="2399030"/>
            <wp:effectExtent l="0" t="0" r="4445" b="1270"/>
            <wp:docPr id="5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drawing>
          <wp:inline distT="0" distB="0" distL="0" distR="0">
            <wp:extent cx="2289175" cy="2425065"/>
            <wp:effectExtent l="0" t="0" r="0" b="0"/>
            <wp:docPr id="6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rPr>
          <w:rFonts w:hint="eastAsia"/>
        </w:rPr>
      </w:pPr>
      <w:r>
        <w:drawing>
          <wp:inline distT="0" distB="0" distL="0" distR="0">
            <wp:extent cx="2633345" cy="2537460"/>
            <wp:effectExtent l="0" t="0" r="0" b="0"/>
            <wp:docPr id="7" name="图表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drawing>
          <wp:inline distT="0" distB="0" distL="0" distR="0">
            <wp:extent cx="2354580" cy="2610485"/>
            <wp:effectExtent l="0" t="0" r="7620" b="0"/>
            <wp:docPr id="8" name="图表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Fig.</w:t>
      </w:r>
      <w:r>
        <w:rPr>
          <w:rFonts w:ascii="Times New Roman" w:hAnsi="Times New Roman" w:cs="Times New Roman"/>
          <w:sz w:val="20"/>
          <w:szCs w:val="20"/>
        </w:rPr>
        <w:t xml:space="preserve"> S1 Relationship between N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O emission and soil NH</w:t>
      </w:r>
      <w:r>
        <w:rPr>
          <w:rFonts w:ascii="Times New Roman" w:hAnsi="Times New Roman" w:cs="Times New Roman"/>
          <w:sz w:val="20"/>
          <w:szCs w:val="20"/>
          <w:vertAlign w:val="subscript"/>
        </w:rPr>
        <w:t>4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>
        <w:rPr>
          <w:rFonts w:ascii="Times New Roman" w:hAnsi="Times New Roman" w:cs="Times New Roman"/>
          <w:sz w:val="20"/>
          <w:szCs w:val="20"/>
        </w:rPr>
        <w:t>-N and soil NO</w:t>
      </w:r>
      <w:r>
        <w:rPr>
          <w:rFonts w:ascii="Times New Roman" w:hAnsi="Times New Roman" w:cs="Times New Roman"/>
          <w:sz w:val="20"/>
          <w:szCs w:val="20"/>
          <w:vertAlign w:val="subscript"/>
        </w:rPr>
        <w:t>3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-N content under different soil moisture 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TableS1Cumulative greenhouse gas emissions from soil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1208"/>
        <w:gridCol w:w="1203"/>
        <w:gridCol w:w="1230"/>
        <w:gridCol w:w="260"/>
        <w:gridCol w:w="1215"/>
        <w:gridCol w:w="1204"/>
        <w:gridCol w:w="1204"/>
        <w:gridCol w:w="260"/>
        <w:gridCol w:w="1734"/>
        <w:gridCol w:w="1734"/>
        <w:gridCol w:w="172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" w:type="pct"/>
            <w:vMerge w:val="restart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Treatments</w:t>
            </w:r>
          </w:p>
        </w:tc>
        <w:tc>
          <w:tcPr>
            <w:tcW w:w="1281" w:type="pct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 cumulative emissions</w:t>
            </w:r>
          </w:p>
        </w:tc>
        <w:tc>
          <w:tcPr>
            <w:tcW w:w="92" w:type="pct"/>
            <w:vMerge w:val="restart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pct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4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cumulative emissions</w:t>
            </w:r>
          </w:p>
        </w:tc>
        <w:tc>
          <w:tcPr>
            <w:tcW w:w="92" w:type="pct"/>
            <w:tcBorders>
              <w:top w:val="single" w:color="auto" w:sz="4" w:space="0"/>
              <w:bottom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3" w:type="pct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cumulative emissions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" w:type="pct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30%WHC</w:t>
            </w:r>
          </w:p>
        </w:tc>
        <w:tc>
          <w:tcPr>
            <w:tcW w:w="425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60%WHC</w:t>
            </w:r>
          </w:p>
        </w:tc>
        <w:tc>
          <w:tcPr>
            <w:tcW w:w="429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90%WHC</w:t>
            </w:r>
          </w:p>
        </w:tc>
        <w:tc>
          <w:tcPr>
            <w:tcW w:w="92" w:type="pct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30%WHC</w:t>
            </w:r>
          </w:p>
        </w:tc>
        <w:tc>
          <w:tcPr>
            <w:tcW w:w="425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60%WHC</w:t>
            </w:r>
          </w:p>
        </w:tc>
        <w:tc>
          <w:tcPr>
            <w:tcW w:w="425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90%WHC</w:t>
            </w:r>
          </w:p>
        </w:tc>
        <w:tc>
          <w:tcPr>
            <w:tcW w:w="92" w:type="pct"/>
            <w:tcBorders>
              <w:top w:val="nil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30%WHC</w:t>
            </w:r>
          </w:p>
        </w:tc>
        <w:tc>
          <w:tcPr>
            <w:tcW w:w="612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60%WHC</w:t>
            </w:r>
          </w:p>
        </w:tc>
        <w:tc>
          <w:tcPr>
            <w:tcW w:w="609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90%WHC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" w:type="pct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RM</w:t>
            </w:r>
          </w:p>
        </w:tc>
        <w:tc>
          <w:tcPr>
            <w:tcW w:w="427" w:type="pct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4.46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0.12cC</w:t>
            </w:r>
          </w:p>
        </w:tc>
        <w:tc>
          <w:tcPr>
            <w:tcW w:w="425" w:type="pct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5.2±0.14cA</w:t>
            </w:r>
          </w:p>
        </w:tc>
        <w:tc>
          <w:tcPr>
            <w:tcW w:w="429" w:type="pct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4.76±0.23cB</w:t>
            </w:r>
          </w:p>
        </w:tc>
        <w:tc>
          <w:tcPr>
            <w:tcW w:w="92" w:type="pct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0.26±0.01bC</w:t>
            </w:r>
          </w:p>
        </w:tc>
        <w:tc>
          <w:tcPr>
            <w:tcW w:w="425" w:type="pct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0.19±0.02aB</w:t>
            </w:r>
          </w:p>
        </w:tc>
        <w:tc>
          <w:tcPr>
            <w:tcW w:w="425" w:type="pct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0.19±0.01aA</w:t>
            </w:r>
          </w:p>
        </w:tc>
        <w:tc>
          <w:tcPr>
            <w:tcW w:w="92" w:type="pct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color="auto" w:sz="4" w:space="0"/>
            </w:tcBorders>
          </w:tcPr>
          <w:p>
            <w:pPr>
              <w:tabs>
                <w:tab w:val="left" w:pos="4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875.05±132.70bB</w:t>
            </w:r>
          </w:p>
        </w:tc>
        <w:tc>
          <w:tcPr>
            <w:tcW w:w="612" w:type="pct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1115.40±151.20bA</w:t>
            </w:r>
          </w:p>
        </w:tc>
        <w:tc>
          <w:tcPr>
            <w:tcW w:w="609" w:type="pct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935.55±107.47aB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RC8</w:t>
            </w:r>
          </w:p>
        </w:tc>
        <w:tc>
          <w:tcPr>
            <w:tcW w:w="42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5.29±0.11bA</w:t>
            </w:r>
          </w:p>
        </w:tc>
        <w:tc>
          <w:tcPr>
            <w:tcW w:w="425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5.8±0.15bA</w:t>
            </w:r>
          </w:p>
        </w:tc>
        <w:tc>
          <w:tcPr>
            <w:tcW w:w="429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5.55±0.65bA</w:t>
            </w:r>
          </w:p>
        </w:tc>
        <w:tc>
          <w:tcPr>
            <w:tcW w:w="92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0.20±0.01aA</w:t>
            </w:r>
          </w:p>
        </w:tc>
        <w:tc>
          <w:tcPr>
            <w:tcW w:w="425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0.21±0.02aA</w:t>
            </w:r>
          </w:p>
        </w:tc>
        <w:tc>
          <w:tcPr>
            <w:tcW w:w="425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0.20±0.03aA</w:t>
            </w:r>
          </w:p>
        </w:tc>
        <w:tc>
          <w:tcPr>
            <w:tcW w:w="92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1306.00±252.63aB</w:t>
            </w:r>
          </w:p>
        </w:tc>
        <w:tc>
          <w:tcPr>
            <w:tcW w:w="612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1907.50±299.13aA</w:t>
            </w:r>
          </w:p>
        </w:tc>
        <w:tc>
          <w:tcPr>
            <w:tcW w:w="609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1566.03±136.11aAB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RC15</w:t>
            </w:r>
          </w:p>
        </w:tc>
        <w:tc>
          <w:tcPr>
            <w:tcW w:w="42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5.98±0.12aB</w:t>
            </w:r>
          </w:p>
        </w:tc>
        <w:tc>
          <w:tcPr>
            <w:tcW w:w="425" w:type="pct"/>
          </w:tcPr>
          <w:p>
            <w:pPr>
              <w:tabs>
                <w:tab w:val="left" w:pos="4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6.89±0.13aA</w:t>
            </w:r>
          </w:p>
        </w:tc>
        <w:tc>
          <w:tcPr>
            <w:tcW w:w="429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6.29±072aAB</w:t>
            </w:r>
          </w:p>
        </w:tc>
        <w:tc>
          <w:tcPr>
            <w:tcW w:w="92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0.23±0.02bB</w:t>
            </w:r>
          </w:p>
        </w:tc>
        <w:tc>
          <w:tcPr>
            <w:tcW w:w="425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0.20±0.01aA</w:t>
            </w:r>
          </w:p>
        </w:tc>
        <w:tc>
          <w:tcPr>
            <w:tcW w:w="425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0.19±0.01aA</w:t>
            </w:r>
          </w:p>
        </w:tc>
        <w:tc>
          <w:tcPr>
            <w:tcW w:w="92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1594.00±198.40aB</w:t>
            </w:r>
          </w:p>
        </w:tc>
        <w:tc>
          <w:tcPr>
            <w:tcW w:w="612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2193.20±272.32aA</w:t>
            </w:r>
          </w:p>
        </w:tc>
        <w:tc>
          <w:tcPr>
            <w:tcW w:w="609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1776.61±88.55aAB</w:t>
            </w:r>
          </w:p>
        </w:tc>
      </w:tr>
    </w:tbl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 xml:space="preserve">Note: </w:t>
      </w:r>
      <w:r>
        <w:rPr>
          <w:rFonts w:ascii="Times New Roman" w:hAnsi="Times New Roman" w:cs="Times New Roman"/>
          <w:sz w:val="20"/>
          <w:szCs w:val="20"/>
        </w:rPr>
        <w:t>Different lowercase letters after data indicate significant differences between rice modes (RM, RC8 and RC15) at the 5% level, and different capital letters after data indicate significant differences between WHC treatments (30%, 60% and 90%) at the 5% level.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TableS2</w:t>
      </w:r>
      <w:r>
        <w:t xml:space="preserve"> </w:t>
      </w:r>
      <w:r>
        <w:rPr>
          <w:rFonts w:ascii="Times New Roman" w:hAnsi="Times New Roman" w:cs="Times New Roman"/>
        </w:rPr>
        <w:t>Correlation analysis of all factors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3"/>
        <w:gridCol w:w="1936"/>
        <w:gridCol w:w="1692"/>
        <w:gridCol w:w="2177"/>
        <w:gridCol w:w="1451"/>
        <w:gridCol w:w="2177"/>
        <w:gridCol w:w="183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24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Correlation</w:t>
            </w:r>
          </w:p>
        </w:tc>
        <w:tc>
          <w:tcPr>
            <w:tcW w:w="683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emission</w:t>
            </w:r>
          </w:p>
        </w:tc>
        <w:tc>
          <w:tcPr>
            <w:tcW w:w="597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4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emission</w:t>
            </w:r>
          </w:p>
        </w:tc>
        <w:tc>
          <w:tcPr>
            <w:tcW w:w="768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 emission</w:t>
            </w:r>
          </w:p>
        </w:tc>
        <w:tc>
          <w:tcPr>
            <w:tcW w:w="512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Soil NO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-N</w:t>
            </w:r>
          </w:p>
        </w:tc>
        <w:tc>
          <w:tcPr>
            <w:tcW w:w="768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SoilNH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-N</w:t>
            </w:r>
          </w:p>
        </w:tc>
        <w:tc>
          <w:tcPr>
            <w:tcW w:w="648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Soil water content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4" w:type="pct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emission</w:t>
            </w:r>
          </w:p>
        </w:tc>
        <w:tc>
          <w:tcPr>
            <w:tcW w:w="683" w:type="pct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7" w:type="pct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pct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24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emission</w:t>
            </w:r>
          </w:p>
        </w:tc>
        <w:tc>
          <w:tcPr>
            <w:tcW w:w="683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-0.722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**</w:t>
            </w:r>
          </w:p>
        </w:tc>
        <w:tc>
          <w:tcPr>
            <w:tcW w:w="59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8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4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Oemission</w:t>
            </w:r>
          </w:p>
        </w:tc>
        <w:tc>
          <w:tcPr>
            <w:tcW w:w="683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0.821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**</w:t>
            </w:r>
          </w:p>
        </w:tc>
        <w:tc>
          <w:tcPr>
            <w:tcW w:w="59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-0.855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**</w:t>
            </w:r>
          </w:p>
        </w:tc>
        <w:tc>
          <w:tcPr>
            <w:tcW w:w="768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2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24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Soil NO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-N</w:t>
            </w:r>
          </w:p>
        </w:tc>
        <w:tc>
          <w:tcPr>
            <w:tcW w:w="683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-0.283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*</w:t>
            </w:r>
          </w:p>
        </w:tc>
        <w:tc>
          <w:tcPr>
            <w:tcW w:w="59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0.435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**</w:t>
            </w:r>
          </w:p>
        </w:tc>
        <w:tc>
          <w:tcPr>
            <w:tcW w:w="768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-0.385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**</w:t>
            </w:r>
          </w:p>
        </w:tc>
        <w:tc>
          <w:tcPr>
            <w:tcW w:w="512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8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4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Soil NH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-N</w:t>
            </w:r>
          </w:p>
        </w:tc>
        <w:tc>
          <w:tcPr>
            <w:tcW w:w="683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-0.411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**</w:t>
            </w:r>
          </w:p>
        </w:tc>
        <w:tc>
          <w:tcPr>
            <w:tcW w:w="59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0.618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**</w:t>
            </w:r>
          </w:p>
        </w:tc>
        <w:tc>
          <w:tcPr>
            <w:tcW w:w="768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-0.481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**</w:t>
            </w:r>
          </w:p>
        </w:tc>
        <w:tc>
          <w:tcPr>
            <w:tcW w:w="512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03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**</w:t>
            </w:r>
          </w:p>
        </w:tc>
        <w:tc>
          <w:tcPr>
            <w:tcW w:w="768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8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4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Soil water content</w:t>
            </w:r>
          </w:p>
        </w:tc>
        <w:tc>
          <w:tcPr>
            <w:tcW w:w="683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-0.111</w:t>
            </w:r>
          </w:p>
        </w:tc>
        <w:tc>
          <w:tcPr>
            <w:tcW w:w="59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0.055</w:t>
            </w:r>
          </w:p>
        </w:tc>
        <w:tc>
          <w:tcPr>
            <w:tcW w:w="768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512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-0.086</w:t>
            </w:r>
          </w:p>
        </w:tc>
        <w:tc>
          <w:tcPr>
            <w:tcW w:w="768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0.028</w:t>
            </w:r>
          </w:p>
        </w:tc>
        <w:tc>
          <w:tcPr>
            <w:tcW w:w="648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YzMmI2MWEzOGE3MDE2MjFiZmI5MzcxZjM1NmMzODUifQ=="/>
  </w:docVars>
  <w:rsids>
    <w:rsidRoot w:val="003D4489"/>
    <w:rsid w:val="00016FE8"/>
    <w:rsid w:val="00241C86"/>
    <w:rsid w:val="003D4489"/>
    <w:rsid w:val="0046541A"/>
    <w:rsid w:val="005E6CA4"/>
    <w:rsid w:val="005F39DF"/>
    <w:rsid w:val="005F4468"/>
    <w:rsid w:val="006C5F4C"/>
    <w:rsid w:val="007923AC"/>
    <w:rsid w:val="007F6A7A"/>
    <w:rsid w:val="00851EC1"/>
    <w:rsid w:val="009D36B9"/>
    <w:rsid w:val="00A16E01"/>
    <w:rsid w:val="00AC32EA"/>
    <w:rsid w:val="00D51ECD"/>
    <w:rsid w:val="00DE6011"/>
    <w:rsid w:val="00E37A9B"/>
    <w:rsid w:val="00E85731"/>
    <w:rsid w:val="00F15752"/>
    <w:rsid w:val="00FF16BC"/>
    <w:rsid w:val="0E9F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6.xml"/><Relationship Id="rId8" Type="http://schemas.openxmlformats.org/officeDocument/2006/relationships/chart" Target="charts/chart5.xml"/><Relationship Id="rId7" Type="http://schemas.openxmlformats.org/officeDocument/2006/relationships/chart" Target="charts/chart4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4" Type="http://schemas.microsoft.com/office/2011/relationships/chartColorStyle" Target="colors1.xml"/><Relationship Id="rId3" Type="http://schemas.microsoft.com/office/2011/relationships/chartStyle" Target="style1.xml"/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admin\Desktop\&#31291;&#34430;&#25490;&#25918;&#27169;&#25311;-&#21016;&#31456;&#21191;\&#21407;&#22987;&#25968;&#25454;&#19982;&#22788;&#29702;\&#25968;&#25454;&#22788;&#29702;-&#30456;&#20851;&#24615;&#20998;&#26512;.xlsx" TargetMode="External"/></Relationships>
</file>

<file path=word/charts/_rels/chart2.xml.rels><?xml version="1.0" encoding="UTF-8" standalone="yes"?>
<Relationships xmlns="http://schemas.openxmlformats.org/package/2006/relationships"><Relationship Id="rId4" Type="http://schemas.microsoft.com/office/2011/relationships/chartColorStyle" Target="colors2.xml"/><Relationship Id="rId3" Type="http://schemas.microsoft.com/office/2011/relationships/chartStyle" Target="style2.xml"/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admin\Desktop\&#31291;&#34430;&#25490;&#25918;&#27169;&#25311;-&#21016;&#31456;&#21191;\&#21407;&#22987;&#25968;&#25454;&#19982;&#22788;&#29702;\&#25968;&#25454;&#22788;&#29702;-&#30456;&#20851;&#24615;&#20998;&#26512;.xlsx" TargetMode="External"/></Relationships>
</file>

<file path=word/charts/_rels/chart3.xml.rels><?xml version="1.0" encoding="UTF-8" standalone="yes"?>
<Relationships xmlns="http://schemas.openxmlformats.org/package/2006/relationships"><Relationship Id="rId4" Type="http://schemas.microsoft.com/office/2011/relationships/chartColorStyle" Target="colors3.xml"/><Relationship Id="rId3" Type="http://schemas.microsoft.com/office/2011/relationships/chartStyle" Target="style3.xml"/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admin\Desktop\&#31291;&#34430;&#25490;&#25918;&#27169;&#25311;-&#21016;&#31456;&#21191;\&#21407;&#22987;&#25968;&#25454;&#19982;&#22788;&#29702;\&#25968;&#25454;&#22788;&#29702;-&#30456;&#20851;&#24615;&#20998;&#26512;.xlsx" TargetMode="External"/></Relationships>
</file>

<file path=word/charts/_rels/chart4.xml.rels><?xml version="1.0" encoding="UTF-8" standalone="yes"?>
<Relationships xmlns="http://schemas.openxmlformats.org/package/2006/relationships"><Relationship Id="rId4" Type="http://schemas.microsoft.com/office/2011/relationships/chartColorStyle" Target="colors6.xml"/><Relationship Id="rId3" Type="http://schemas.microsoft.com/office/2011/relationships/chartStyle" Target="style6.xml"/><Relationship Id="rId2" Type="http://schemas.openxmlformats.org/officeDocument/2006/relationships/chartUserShapes" Target="../drawings/drawing6.xml"/><Relationship Id="rId1" Type="http://schemas.openxmlformats.org/officeDocument/2006/relationships/oleObject" Target="file:///C:\Users\admin\Desktop\&#31291;&#34430;&#25490;&#25918;&#27169;&#25311;-&#21016;&#31456;&#21191;\&#21407;&#22987;&#25968;&#25454;&#19982;&#22788;&#29702;\&#25968;&#25454;&#22788;&#29702;-&#30456;&#20851;&#24615;&#20998;&#26512;.xlsx" TargetMode="External"/></Relationships>
</file>

<file path=word/charts/_rels/chart5.xml.rels><?xml version="1.0" encoding="UTF-8" standalone="yes"?>
<Relationships xmlns="http://schemas.openxmlformats.org/package/2006/relationships"><Relationship Id="rId4" Type="http://schemas.microsoft.com/office/2011/relationships/chartColorStyle" Target="colors4.xml"/><Relationship Id="rId3" Type="http://schemas.microsoft.com/office/2011/relationships/chartStyle" Target="style4.xml"/><Relationship Id="rId2" Type="http://schemas.openxmlformats.org/officeDocument/2006/relationships/chartUserShapes" Target="../drawings/drawing4.xml"/><Relationship Id="rId1" Type="http://schemas.openxmlformats.org/officeDocument/2006/relationships/oleObject" Target="file:///C:\Users\admin\Desktop\&#31291;&#34430;&#25490;&#25918;&#27169;&#25311;-&#21016;&#31456;&#21191;\&#21407;&#22987;&#25968;&#25454;&#19982;&#22788;&#29702;\&#25968;&#25454;&#22788;&#29702;-&#30456;&#20851;&#24615;&#20998;&#26512;.xlsx" TargetMode="External"/></Relationships>
</file>

<file path=word/charts/_rels/chart6.xml.rels><?xml version="1.0" encoding="UTF-8" standalone="yes"?>
<Relationships xmlns="http://schemas.openxmlformats.org/package/2006/relationships"><Relationship Id="rId4" Type="http://schemas.microsoft.com/office/2011/relationships/chartColorStyle" Target="colors5.xml"/><Relationship Id="rId3" Type="http://schemas.microsoft.com/office/2011/relationships/chartStyle" Target="style5.xml"/><Relationship Id="rId2" Type="http://schemas.openxmlformats.org/officeDocument/2006/relationships/chartUserShapes" Target="../drawings/drawing5.xml"/><Relationship Id="rId1" Type="http://schemas.openxmlformats.org/officeDocument/2006/relationships/oleObject" Target="file:///C:\Users\admin\Desktop\&#31291;&#34430;&#25490;&#25918;&#27169;&#25311;-&#21016;&#31456;&#21191;\&#21407;&#22987;&#25968;&#25454;&#19982;&#22788;&#29702;\&#25968;&#25454;&#22788;&#29702;-&#30456;&#20851;&#24615;&#20998;&#2651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4736735256159"/>
          <c:y val="0.0254283318751823"/>
          <c:w val="0.763850673342428"/>
          <c:h val="0.812970982793817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Lbls>
            <c:delete val="1"/>
          </c:dLbls>
          <c:trendline>
            <c:spPr>
              <a:ln w="19050" cap="rnd">
                <a:solidFill>
                  <a:srgbClr val="FF0000"/>
                </a:solidFill>
                <a:prstDash val="sysDot"/>
              </a:ln>
              <a:effectLst/>
            </c:spPr>
            <c:trendlineType val="exp"/>
            <c:dispRSqr val="1"/>
            <c:dispEq val="1"/>
            <c:trendlineLbl>
              <c:layout>
                <c:manualLayout>
                  <c:x val="0.00631673438266266"/>
                  <c:y val="-0.47529806771115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+mn-cs"/>
                      </a:defRPr>
                    </a:pPr>
                    <a:r>
                      <a:rPr lang="en-US" altLang="zh-CN" baseline="0">
                        <a:solidFill>
                          <a:schemeClr val="tx1"/>
                        </a:solidFill>
                        <a:latin typeface="Times New Roman" panose="02020603050405020304" charset="0"/>
                      </a:rPr>
                      <a:t>y = 148.39e</a:t>
                    </a:r>
                    <a:r>
                      <a:rPr lang="en-US" altLang="zh-CN" baseline="30000">
                        <a:solidFill>
                          <a:schemeClr val="tx1"/>
                        </a:solidFill>
                        <a:latin typeface="Times New Roman" panose="02020603050405020304" charset="0"/>
                      </a:rPr>
                      <a:t>-0.081x</a:t>
                    </a:r>
                    <a:br>
                      <a:rPr lang="en-US" altLang="zh-CN" baseline="0">
                        <a:solidFill>
                          <a:schemeClr val="tx1"/>
                        </a:solidFill>
                        <a:latin typeface="Times New Roman" panose="02020603050405020304" charset="0"/>
                      </a:rPr>
                    </a:br>
                    <a:r>
                      <a:rPr lang="en-US" altLang="zh-CN" baseline="0">
                        <a:solidFill>
                          <a:schemeClr val="tx1"/>
                        </a:solidFill>
                        <a:latin typeface="Times New Roman" panose="02020603050405020304" charset="0"/>
                      </a:rPr>
                      <a:t>R² = 0.4479 (n=18)</a:t>
                    </a:r>
                    <a:endParaRPr lang="en-US" altLang="zh-CN">
                      <a:solidFill>
                        <a:schemeClr val="tx1"/>
                      </a:solidFill>
                      <a:latin typeface="Times New Roman" panose="02020603050405020304" charset="0"/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tx1"/>
                      </a:solidFill>
                      <a:latin typeface="Times New Roman" panose="02020603050405020304" charset="0"/>
                      <a:ea typeface="+mn-ea"/>
                      <a:cs typeface="+mn-cs"/>
                    </a:defRPr>
                  </a:pPr>
                </a:p>
              </c:txPr>
            </c:trendlineLbl>
          </c:trendline>
          <c:xVal>
            <c:numRef>
              <c:f>Sheet1!$E$73:$E$92</c:f>
              <c:numCache>
                <c:formatCode>0.00</c:formatCode>
                <c:ptCount val="20"/>
                <c:pt idx="0">
                  <c:v>3.09231</c:v>
                </c:pt>
                <c:pt idx="1">
                  <c:v>5.18476</c:v>
                </c:pt>
                <c:pt idx="2">
                  <c:v>6.72985</c:v>
                </c:pt>
                <c:pt idx="3">
                  <c:v>7.685</c:v>
                </c:pt>
                <c:pt idx="4">
                  <c:v>8.24223</c:v>
                </c:pt>
                <c:pt idx="5">
                  <c:v>8.5507</c:v>
                </c:pt>
                <c:pt idx="6">
                  <c:v>1.59705</c:v>
                </c:pt>
                <c:pt idx="7">
                  <c:v>6.27645</c:v>
                </c:pt>
                <c:pt idx="8">
                  <c:v>10.2593</c:v>
                </c:pt>
                <c:pt idx="9">
                  <c:v>11.2074</c:v>
                </c:pt>
                <c:pt idx="10">
                  <c:v>13.1577</c:v>
                </c:pt>
                <c:pt idx="11">
                  <c:v>14.1128</c:v>
                </c:pt>
                <c:pt idx="12">
                  <c:v>14.2223</c:v>
                </c:pt>
                <c:pt idx="13">
                  <c:v>1.99506</c:v>
                </c:pt>
                <c:pt idx="14">
                  <c:v>5.62969</c:v>
                </c:pt>
                <c:pt idx="15">
                  <c:v>9.11507</c:v>
                </c:pt>
                <c:pt idx="16">
                  <c:v>12.1527</c:v>
                </c:pt>
                <c:pt idx="17">
                  <c:v>15.5955</c:v>
                </c:pt>
                <c:pt idx="18">
                  <c:v>16.4511</c:v>
                </c:pt>
                <c:pt idx="19">
                  <c:v>17.1078</c:v>
                </c:pt>
              </c:numCache>
            </c:numRef>
          </c:xVal>
          <c:yVal>
            <c:numRef>
              <c:f>Sheet1!$H$73:$H$92</c:f>
              <c:numCache>
                <c:formatCode>0.00</c:formatCode>
                <c:ptCount val="20"/>
                <c:pt idx="0">
                  <c:v>92.467</c:v>
                </c:pt>
                <c:pt idx="1">
                  <c:v>70.1816</c:v>
                </c:pt>
                <c:pt idx="2">
                  <c:v>97.2301</c:v>
                </c:pt>
                <c:pt idx="3">
                  <c:v>47</c:v>
                </c:pt>
                <c:pt idx="4">
                  <c:v>70</c:v>
                </c:pt>
                <c:pt idx="5">
                  <c:v>60</c:v>
                </c:pt>
                <c:pt idx="7">
                  <c:v>114.67</c:v>
                </c:pt>
                <c:pt idx="8">
                  <c:v>104.904</c:v>
                </c:pt>
                <c:pt idx="9">
                  <c:v>81.9523</c:v>
                </c:pt>
                <c:pt idx="10">
                  <c:v>54.77</c:v>
                </c:pt>
                <c:pt idx="11">
                  <c:v>25.458</c:v>
                </c:pt>
                <c:pt idx="12">
                  <c:v>26.1461</c:v>
                </c:pt>
                <c:pt idx="14">
                  <c:v>109.85</c:v>
                </c:pt>
                <c:pt idx="15">
                  <c:v>119</c:v>
                </c:pt>
                <c:pt idx="16">
                  <c:v>105.1</c:v>
                </c:pt>
                <c:pt idx="17">
                  <c:v>36.3441</c:v>
                </c:pt>
                <c:pt idx="18">
                  <c:v>48.6062</c:v>
                </c:pt>
                <c:pt idx="19">
                  <c:v>37.7202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20209568"/>
        <c:axId val="1920210656"/>
      </c:scatterChart>
      <c:valAx>
        <c:axId val="19202095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</a:rPr>
                  <a:t>Soil  NH</a:t>
                </a:r>
                <a:r>
                  <a:rPr lang="en-US" altLang="zh-CN" baseline="-25000">
                    <a:solidFill>
                      <a:schemeClr val="tx1"/>
                    </a:solidFill>
                    <a:latin typeface="Times New Roman" panose="02020603050405020304" charset="0"/>
                  </a:rPr>
                  <a:t>4</a:t>
                </a:r>
                <a:r>
                  <a:rPr lang="en-US" altLang="zh-CN" baseline="30000">
                    <a:solidFill>
                      <a:schemeClr val="tx1"/>
                    </a:solidFill>
                    <a:latin typeface="Times New Roman" panose="02020603050405020304" charset="0"/>
                  </a:rPr>
                  <a:t>+</a:t>
                </a: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</a:rPr>
                  <a:t>-N content (mg kg</a:t>
                </a:r>
                <a:r>
                  <a:rPr lang="en-US" altLang="zh-CN" sz="1000" b="0" i="0" u="none" strike="noStrike" baseline="30000">
                    <a:solidFill>
                      <a:schemeClr val="tx1"/>
                    </a:solidFill>
                    <a:effectLst/>
                    <a:latin typeface="Times New Roman" panose="02020603050405020304" charset="0"/>
                  </a:rPr>
                  <a:t>-1</a:t>
                </a: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</a:rPr>
                  <a:t>)</a:t>
                </a:r>
                <a:endParaRPr lang="zh-CN" altLang="en-US" baseline="0">
                  <a:solidFill>
                    <a:schemeClr val="tx1"/>
                  </a:solidFill>
                  <a:latin typeface="Times New Roman" panose="02020603050405020304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1920210656"/>
        <c:crosses val="autoZero"/>
        <c:crossBetween val="midCat"/>
      </c:valAx>
      <c:valAx>
        <c:axId val="192021065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N</a:t>
                </a:r>
                <a:r>
                  <a:rPr lang="en-US" altLang="zh-CN" baseline="-2500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2</a:t>
                </a:r>
                <a:r>
                  <a:rPr lang="en-US" altLang="zh-CN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O emission rate</a:t>
                </a: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 (ug kg</a:t>
                </a:r>
                <a:r>
                  <a:rPr lang="en-US" altLang="zh-CN" baseline="3000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-1</a:t>
                </a: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 d</a:t>
                </a:r>
                <a:r>
                  <a:rPr lang="en-US" altLang="zh-CN" baseline="3000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-1</a:t>
                </a: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)</a:t>
                </a:r>
                <a:endParaRPr lang="zh-CN" altLang="en-US">
                  <a:solidFill>
                    <a:schemeClr val="tx1"/>
                  </a:solidFill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+mn-cs"/>
              </a:defRPr>
            </a:pPr>
          </a:p>
        </c:txPr>
        <c:crossAx val="1920209568"/>
        <c:crosses val="autoZero"/>
        <c:crossBetween val="midCat"/>
        <c:majorUnit val="3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2627596341544"/>
          <c:y val="0.0254284976820386"/>
          <c:w val="0.732493292098933"/>
          <c:h val="0.813130835987367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Lbls>
            <c:delete val="1"/>
          </c:dLbls>
          <c:trendline>
            <c:spPr>
              <a:ln w="19050" cap="rnd">
                <a:solidFill>
                  <a:srgbClr val="FF0000"/>
                </a:solidFill>
                <a:prstDash val="sysDot"/>
              </a:ln>
              <a:effectLst/>
            </c:spPr>
            <c:trendlineType val="exp"/>
            <c:dispRSqr val="1"/>
            <c:dispEq val="1"/>
            <c:trendlineLbl>
              <c:layout>
                <c:manualLayout>
                  <c:x val="-0.105770248808894"/>
                  <c:y val="0.10903686471009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 marL="0" marR="0" lvl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+mn-cs"/>
                      </a:defRPr>
                    </a:pPr>
                    <a:r>
                      <a:rPr lang="en-US" altLang="zh-CN" baseline="0">
                        <a:solidFill>
                          <a:schemeClr val="tx1"/>
                        </a:solidFill>
                        <a:latin typeface="Times New Roman" panose="02020603050405020304" charset="0"/>
                      </a:rPr>
                      <a:t>y = 245.37e</a:t>
                    </a:r>
                    <a:r>
                      <a:rPr lang="en-US" altLang="zh-CN" baseline="30000">
                        <a:solidFill>
                          <a:schemeClr val="tx1"/>
                        </a:solidFill>
                        <a:latin typeface="Times New Roman" panose="02020603050405020304" charset="0"/>
                      </a:rPr>
                      <a:t>-0.736x</a:t>
                    </a:r>
                    <a:br>
                      <a:rPr lang="en-US" altLang="zh-CN" baseline="0">
                        <a:solidFill>
                          <a:schemeClr val="tx1"/>
                        </a:solidFill>
                        <a:latin typeface="Times New Roman" panose="02020603050405020304" charset="0"/>
                      </a:rPr>
                    </a:br>
                    <a:r>
                      <a:rPr lang="en-US" altLang="zh-CN" baseline="0">
                        <a:solidFill>
                          <a:schemeClr val="tx1"/>
                        </a:solidFill>
                        <a:latin typeface="Times New Roman" panose="02020603050405020304" charset="0"/>
                      </a:rPr>
                      <a:t>R² = </a:t>
                    </a:r>
                    <a:r>
                      <a:rPr lang="en-US" altLang="zh-CN" sz="1000" baseline="0">
                        <a:solidFill>
                          <a:schemeClr val="tx1"/>
                        </a:solidFill>
                        <a:latin typeface="Times New Roman" panose="02020603050405020304" charset="0"/>
                      </a:rPr>
                      <a:t>0.3072</a:t>
                    </a:r>
                    <a:r>
                      <a:rPr lang="en-US" altLang="zh-CN" sz="1000" b="0" i="0" baseline="0">
                        <a:effectLst/>
                      </a:rPr>
                      <a:t>(n=18)</a:t>
                    </a:r>
                    <a:endParaRPr lang="zh-CN" altLang="zh-CN" sz="1000">
                      <a:effectLst/>
                    </a:endParaRPr>
                  </a:p>
                  <a:p>
                    <a:pPr marL="0" marR="0" lvl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+mn-ea"/>
                        <a:cs typeface="+mn-cs"/>
                      </a:defRPr>
                    </a:pPr>
                    <a:r>
                      <a:rPr lang="en-US" altLang="zh-CN" baseline="0">
                        <a:solidFill>
                          <a:schemeClr val="tx1"/>
                        </a:solidFill>
                        <a:latin typeface="Times New Roman" panose="02020603050405020304" charset="0"/>
                      </a:rPr>
                      <a:t> </a:t>
                    </a:r>
                    <a:endParaRPr lang="en-US" altLang="zh-CN">
                      <a:solidFill>
                        <a:schemeClr val="tx1"/>
                      </a:solidFill>
                      <a:latin typeface="Times New Roman" panose="02020603050405020304" charset="0"/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 algn="ctr">
                    <a:defRPr lang="zh-CN" sz="9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+mn-ea"/>
                      <a:cs typeface="+mn-cs"/>
                    </a:defRPr>
                  </a:pPr>
                </a:p>
              </c:txPr>
            </c:trendlineLbl>
          </c:trendline>
          <c:xVal>
            <c:numRef>
              <c:f>Sheet1!$F$73:$F$92</c:f>
              <c:numCache>
                <c:formatCode>0.00</c:formatCode>
                <c:ptCount val="20"/>
                <c:pt idx="0">
                  <c:v>1.07123</c:v>
                </c:pt>
                <c:pt idx="1">
                  <c:v>1.32274</c:v>
                </c:pt>
                <c:pt idx="2">
                  <c:v>1.44603</c:v>
                </c:pt>
                <c:pt idx="3">
                  <c:v>1.50027</c:v>
                </c:pt>
                <c:pt idx="4">
                  <c:v>1.57918</c:v>
                </c:pt>
                <c:pt idx="5">
                  <c:v>1.64822</c:v>
                </c:pt>
                <c:pt idx="6">
                  <c:v>1.24384</c:v>
                </c:pt>
                <c:pt idx="7">
                  <c:v>1.4263</c:v>
                </c:pt>
                <c:pt idx="8">
                  <c:v>1.76164</c:v>
                </c:pt>
                <c:pt idx="9">
                  <c:v>1.92932</c:v>
                </c:pt>
                <c:pt idx="10">
                  <c:v>1.99342</c:v>
                </c:pt>
                <c:pt idx="11">
                  <c:v>2.09699</c:v>
                </c:pt>
                <c:pt idx="12">
                  <c:v>2.20548</c:v>
                </c:pt>
                <c:pt idx="13" c:formatCode="General">
                  <c:v>1.37205</c:v>
                </c:pt>
                <c:pt idx="14">
                  <c:v>1.57425</c:v>
                </c:pt>
                <c:pt idx="15">
                  <c:v>1.94411</c:v>
                </c:pt>
                <c:pt idx="16">
                  <c:v>2.12164</c:v>
                </c:pt>
                <c:pt idx="17">
                  <c:v>2.19068</c:v>
                </c:pt>
                <c:pt idx="18">
                  <c:v>2.30904</c:v>
                </c:pt>
                <c:pt idx="19">
                  <c:v>2.41753</c:v>
                </c:pt>
              </c:numCache>
            </c:numRef>
          </c:xVal>
          <c:yVal>
            <c:numRef>
              <c:f>Sheet1!$H$73:$H$92</c:f>
              <c:numCache>
                <c:formatCode>0.00</c:formatCode>
                <c:ptCount val="20"/>
                <c:pt idx="0">
                  <c:v>92.467</c:v>
                </c:pt>
                <c:pt idx="1">
                  <c:v>70.1816</c:v>
                </c:pt>
                <c:pt idx="2">
                  <c:v>97.2301</c:v>
                </c:pt>
                <c:pt idx="3">
                  <c:v>47</c:v>
                </c:pt>
                <c:pt idx="4">
                  <c:v>70</c:v>
                </c:pt>
                <c:pt idx="5">
                  <c:v>60</c:v>
                </c:pt>
                <c:pt idx="7">
                  <c:v>114.67</c:v>
                </c:pt>
                <c:pt idx="8">
                  <c:v>104.904</c:v>
                </c:pt>
                <c:pt idx="9">
                  <c:v>81.9523</c:v>
                </c:pt>
                <c:pt idx="10">
                  <c:v>54.77</c:v>
                </c:pt>
                <c:pt idx="11">
                  <c:v>25.458</c:v>
                </c:pt>
                <c:pt idx="12">
                  <c:v>26.1461</c:v>
                </c:pt>
                <c:pt idx="14">
                  <c:v>109.85</c:v>
                </c:pt>
                <c:pt idx="15">
                  <c:v>119</c:v>
                </c:pt>
                <c:pt idx="16">
                  <c:v>105.1</c:v>
                </c:pt>
                <c:pt idx="17">
                  <c:v>36.3441</c:v>
                </c:pt>
                <c:pt idx="18">
                  <c:v>48.6062</c:v>
                </c:pt>
                <c:pt idx="19">
                  <c:v>37.7202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20206304"/>
        <c:axId val="187504848"/>
      </c:scatterChart>
      <c:valAx>
        <c:axId val="19202063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</a:rPr>
                  <a:t>Soil  NO</a:t>
                </a:r>
                <a:r>
                  <a:rPr lang="en-US" altLang="zh-CN" baseline="-25000">
                    <a:solidFill>
                      <a:schemeClr val="tx1"/>
                    </a:solidFill>
                    <a:latin typeface="Times New Roman" panose="02020603050405020304" charset="0"/>
                  </a:rPr>
                  <a:t>3</a:t>
                </a:r>
                <a:r>
                  <a:rPr lang="en-US" altLang="zh-CN" baseline="30000">
                    <a:solidFill>
                      <a:schemeClr val="tx1"/>
                    </a:solidFill>
                    <a:latin typeface="Times New Roman" panose="02020603050405020304" charset="0"/>
                  </a:rPr>
                  <a:t>-</a:t>
                </a: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</a:rPr>
                  <a:t>-N content (mg kg</a:t>
                </a:r>
                <a:r>
                  <a:rPr lang="en-US" altLang="zh-CN" sz="1000" b="0" i="0" u="none" strike="noStrike" baseline="30000">
                    <a:solidFill>
                      <a:schemeClr val="tx1"/>
                    </a:solidFill>
                    <a:effectLst/>
                    <a:latin typeface="Times New Roman" panose="02020603050405020304" charset="0"/>
                  </a:rPr>
                  <a:t>-1</a:t>
                </a: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</a:rPr>
                  <a:t>)</a:t>
                </a:r>
                <a:endParaRPr lang="zh-CN" altLang="en-US" baseline="0">
                  <a:solidFill>
                    <a:schemeClr val="tx1"/>
                  </a:solidFill>
                  <a:latin typeface="Times New Roman" panose="02020603050405020304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187504848"/>
        <c:crosses val="autoZero"/>
        <c:crossBetween val="midCat"/>
      </c:valAx>
      <c:valAx>
        <c:axId val="18750484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N</a:t>
                </a:r>
                <a:r>
                  <a:rPr lang="en-US" altLang="zh-CN" baseline="-2500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2</a:t>
                </a:r>
                <a:r>
                  <a:rPr lang="en-US" altLang="zh-CN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O emission rate</a:t>
                </a: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 (ug kg</a:t>
                </a:r>
                <a:r>
                  <a:rPr lang="en-US" altLang="zh-CN" baseline="3000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-1</a:t>
                </a: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 d</a:t>
                </a:r>
                <a:r>
                  <a:rPr lang="en-US" altLang="zh-CN" baseline="3000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-1</a:t>
                </a: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)</a:t>
                </a:r>
                <a:endParaRPr lang="zh-CN" altLang="en-US">
                  <a:solidFill>
                    <a:schemeClr val="tx1"/>
                  </a:solidFill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0269869278546136"/>
              <c:y val="0.15432478353397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+mn-cs"/>
              </a:defRPr>
            </a:pPr>
          </a:p>
        </c:txPr>
        <c:crossAx val="192020630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4736735256159"/>
          <c:y val="0.0254283318751823"/>
          <c:w val="0.763850673342428"/>
          <c:h val="0.812970982793817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Lbls>
            <c:delete val="1"/>
          </c:dLbls>
          <c:trendline>
            <c:spPr>
              <a:ln w="19050" cap="rnd">
                <a:solidFill>
                  <a:srgbClr val="FF0000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rgbClr val="FF0000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0291907509546513"/>
                  <c:y val="-0.46074525138047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baseline="0">
                        <a:solidFill>
                          <a:schemeClr val="tx1"/>
                        </a:solidFill>
                        <a:latin typeface="Times New Roman" panose="02020603050405020304" charset="0"/>
                      </a:rPr>
                      <a:t>y = -0.8909x + 85.585</a:t>
                    </a:r>
                    <a:br>
                      <a:rPr lang="en-US" altLang="zh-CN" baseline="0">
                        <a:solidFill>
                          <a:schemeClr val="tx1"/>
                        </a:solidFill>
                        <a:latin typeface="Times New Roman" panose="02020603050405020304" charset="0"/>
                      </a:rPr>
                    </a:br>
                    <a:r>
                      <a:rPr lang="en-US" altLang="zh-CN" baseline="0">
                        <a:solidFill>
                          <a:schemeClr val="tx1"/>
                        </a:solidFill>
                        <a:latin typeface="Times New Roman" panose="02020603050405020304" charset="0"/>
                      </a:rPr>
                      <a:t>R² = 0.4573 (n=17)</a:t>
                    </a:r>
                    <a:endParaRPr lang="en-US" altLang="zh-CN" baseline="0">
                      <a:solidFill>
                        <a:schemeClr val="tx1"/>
                      </a:solidFill>
                      <a:latin typeface="Times New Roman" panose="02020603050405020304" charset="0"/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</c:trendlineLbl>
          </c:trendline>
          <c:trendline>
            <c:spPr>
              <a:ln w="19050" cap="rnd">
                <a:solidFill>
                  <a:srgbClr val="FF0000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rgbClr val="FF0000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Sheet1!$E$93:$E$113</c:f>
              <c:numCache>
                <c:formatCode>0.00</c:formatCode>
                <c:ptCount val="21"/>
                <c:pt idx="0">
                  <c:v>4.64716</c:v>
                </c:pt>
                <c:pt idx="1">
                  <c:v>12.4465</c:v>
                </c:pt>
                <c:pt idx="2">
                  <c:v>22.1932</c:v>
                </c:pt>
                <c:pt idx="3">
                  <c:v>34.1292</c:v>
                </c:pt>
                <c:pt idx="4">
                  <c:v>38.314</c:v>
                </c:pt>
                <c:pt idx="5">
                  <c:v>41.5256</c:v>
                </c:pt>
                <c:pt idx="6">
                  <c:v>42.7907</c:v>
                </c:pt>
                <c:pt idx="7">
                  <c:v>8.5401</c:v>
                </c:pt>
                <c:pt idx="8">
                  <c:v>23.3958</c:v>
                </c:pt>
                <c:pt idx="9">
                  <c:v>39.2248</c:v>
                </c:pt>
                <c:pt idx="10">
                  <c:v>56.2703</c:v>
                </c:pt>
                <c:pt idx="11">
                  <c:v>65.5651</c:v>
                </c:pt>
                <c:pt idx="12">
                  <c:v>68.7762</c:v>
                </c:pt>
                <c:pt idx="13">
                  <c:v>71.2579</c:v>
                </c:pt>
                <c:pt idx="14">
                  <c:v>9.27003</c:v>
                </c:pt>
                <c:pt idx="15">
                  <c:v>28.5053</c:v>
                </c:pt>
                <c:pt idx="16">
                  <c:v>49.4442</c:v>
                </c:pt>
                <c:pt idx="17">
                  <c:v>67.7058</c:v>
                </c:pt>
                <c:pt idx="18">
                  <c:v>76.0269</c:v>
                </c:pt>
                <c:pt idx="19">
                  <c:v>82.6448</c:v>
                </c:pt>
                <c:pt idx="20">
                  <c:v>85.6135</c:v>
                </c:pt>
              </c:numCache>
            </c:numRef>
          </c:xVal>
          <c:yVal>
            <c:numRef>
              <c:f>Sheet1!$H$93:$H$113</c:f>
              <c:numCache>
                <c:formatCode>General</c:formatCode>
                <c:ptCount val="21"/>
                <c:pt idx="1" c:formatCode="0.00">
                  <c:v>83</c:v>
                </c:pt>
                <c:pt idx="2" c:formatCode="0.00">
                  <c:v>94.2608</c:v>
                </c:pt>
                <c:pt idx="3" c:formatCode="0.00">
                  <c:v>69.7352</c:v>
                </c:pt>
                <c:pt idx="4" c:formatCode="0.00">
                  <c:v>17.2628</c:v>
                </c:pt>
                <c:pt idx="5" c:formatCode="0.00">
                  <c:v>6.3768</c:v>
                </c:pt>
                <c:pt idx="6" c:formatCode="0.00">
                  <c:v>5.6389</c:v>
                </c:pt>
                <c:pt idx="7" c:formatCode="0.00">
                  <c:v>90</c:v>
                </c:pt>
                <c:pt idx="9" c:formatCode="0.00">
                  <c:v>58.983</c:v>
                </c:pt>
                <c:pt idx="10" c:formatCode="0.00">
                  <c:v>32.8833</c:v>
                </c:pt>
                <c:pt idx="11" c:formatCode="0.00">
                  <c:v>16.411</c:v>
                </c:pt>
                <c:pt idx="12" c:formatCode="0.00">
                  <c:v>13.5249</c:v>
                </c:pt>
                <c:pt idx="13" c:formatCode="0.00">
                  <c:v>9.213</c:v>
                </c:pt>
                <c:pt idx="16" c:formatCode="0.00">
                  <c:v>65.279</c:v>
                </c:pt>
                <c:pt idx="17" c:formatCode="0.00">
                  <c:v>37.6056</c:v>
                </c:pt>
                <c:pt idx="18" c:formatCode="0.00">
                  <c:v>51.985</c:v>
                </c:pt>
                <c:pt idx="19" c:formatCode="0.00">
                  <c:v>22.6731</c:v>
                </c:pt>
                <c:pt idx="20" c:formatCode="0.00">
                  <c:v>11.7871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7506480"/>
        <c:axId val="187504304"/>
      </c:scatterChart>
      <c:valAx>
        <c:axId val="1875064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</a:rPr>
                  <a:t>Soil  NH</a:t>
                </a:r>
                <a:r>
                  <a:rPr lang="en-US" altLang="zh-CN" baseline="-25000">
                    <a:solidFill>
                      <a:schemeClr val="tx1"/>
                    </a:solidFill>
                    <a:latin typeface="Times New Roman" panose="02020603050405020304" charset="0"/>
                  </a:rPr>
                  <a:t>4</a:t>
                </a:r>
                <a:r>
                  <a:rPr lang="en-US" altLang="zh-CN" baseline="30000">
                    <a:solidFill>
                      <a:schemeClr val="tx1"/>
                    </a:solidFill>
                    <a:latin typeface="Times New Roman" panose="02020603050405020304" charset="0"/>
                  </a:rPr>
                  <a:t>+</a:t>
                </a: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</a:rPr>
                  <a:t>-N content (mg kg</a:t>
                </a:r>
                <a:r>
                  <a:rPr lang="en-US" altLang="zh-CN" sz="1000" b="0" i="0" u="none" strike="noStrike" baseline="30000">
                    <a:solidFill>
                      <a:schemeClr val="tx1"/>
                    </a:solidFill>
                    <a:effectLst/>
                    <a:latin typeface="Times New Roman" panose="02020603050405020304" charset="0"/>
                  </a:rPr>
                  <a:t>-1</a:t>
                </a: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</a:rPr>
                  <a:t>)</a:t>
                </a:r>
                <a:endParaRPr lang="zh-CN" altLang="en-US" baseline="0">
                  <a:solidFill>
                    <a:schemeClr val="tx1"/>
                  </a:solidFill>
                  <a:latin typeface="Times New Roman" panose="02020603050405020304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187504304"/>
        <c:crosses val="autoZero"/>
        <c:crossBetween val="midCat"/>
      </c:valAx>
      <c:valAx>
        <c:axId val="18750430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N</a:t>
                </a:r>
                <a:r>
                  <a:rPr lang="en-US" altLang="zh-CN" baseline="-2500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2</a:t>
                </a:r>
                <a:r>
                  <a:rPr lang="en-US" altLang="zh-CN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O emission rate</a:t>
                </a: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 (ug kg</a:t>
                </a:r>
                <a:r>
                  <a:rPr lang="en-US" altLang="zh-CN" baseline="3000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-1</a:t>
                </a: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 d</a:t>
                </a:r>
                <a:r>
                  <a:rPr lang="en-US" altLang="zh-CN" baseline="3000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-1</a:t>
                </a: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)</a:t>
                </a:r>
                <a:endParaRPr lang="zh-CN" altLang="en-US">
                  <a:solidFill>
                    <a:schemeClr val="tx1"/>
                  </a:solidFill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+mn-cs"/>
              </a:defRPr>
            </a:pPr>
          </a:p>
        </c:txPr>
        <c:crossAx val="187506480"/>
        <c:crosses val="autoZero"/>
        <c:crossBetween val="midCat"/>
        <c:majorUnit val="3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9639954806589"/>
          <c:y val="0.0254283368918729"/>
          <c:w val="0.695414262047767"/>
          <c:h val="0.813130835987367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Lbls>
            <c:delete val="1"/>
          </c:dLbls>
          <c:trendline>
            <c:spPr>
              <a:ln w="19050" cap="rnd">
                <a:solidFill>
                  <a:srgbClr val="FF0000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rgbClr val="FF0000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rgbClr val="FF0000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0431314242144313"/>
                  <c:y val="-0.53218046449263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baseline="0">
                        <a:solidFill>
                          <a:schemeClr val="tx1"/>
                        </a:solidFill>
                        <a:latin typeface="Times New Roman" panose="02020603050405020304" charset="0"/>
                        <a:cs typeface="Times New Roman" panose="02020603050405020304" charset="0"/>
                      </a:rPr>
                      <a:t>y = -93.045x + 126.39</a:t>
                    </a:r>
                    <a:br>
                      <a:rPr lang="en-US" altLang="zh-CN" baseline="0">
                        <a:solidFill>
                          <a:schemeClr val="tx1"/>
                        </a:solidFill>
                        <a:latin typeface="Times New Roman" panose="02020603050405020304" charset="0"/>
                        <a:cs typeface="Times New Roman" panose="02020603050405020304" charset="0"/>
                      </a:rPr>
                    </a:br>
                    <a:r>
                      <a:rPr lang="en-US" altLang="zh-CN" baseline="0">
                        <a:solidFill>
                          <a:schemeClr val="tx1"/>
                        </a:solidFill>
                        <a:latin typeface="Times New Roman" panose="02020603050405020304" charset="0"/>
                        <a:cs typeface="Times New Roman" panose="02020603050405020304" charset="0"/>
                      </a:rPr>
                      <a:t>R² = 0.3729 (n=17)</a:t>
                    </a:r>
                    <a:endParaRPr lang="en-US" altLang="zh-CN" baseline="0">
                      <a:solidFill>
                        <a:schemeClr val="tx1"/>
                      </a:solidFill>
                      <a:latin typeface="Times New Roman" panose="02020603050405020304" charset="0"/>
                      <a:cs typeface="Times New Roman" panose="02020603050405020304" charset="0"/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</c:trendlineLbl>
          </c:trendline>
          <c:xVal>
            <c:numRef>
              <c:f>Sheet1!$F$93:$F$113</c:f>
              <c:numCache>
                <c:formatCode>0.00</c:formatCode>
                <c:ptCount val="21"/>
                <c:pt idx="0">
                  <c:v>0.476495</c:v>
                </c:pt>
                <c:pt idx="1">
                  <c:v>0.546208</c:v>
                </c:pt>
                <c:pt idx="2">
                  <c:v>0.67554</c:v>
                </c:pt>
                <c:pt idx="3">
                  <c:v>0.74195</c:v>
                </c:pt>
                <c:pt idx="4">
                  <c:v>0.775728</c:v>
                </c:pt>
                <c:pt idx="5">
                  <c:v>0.802883</c:v>
                </c:pt>
                <c:pt idx="6">
                  <c:v>0.843275</c:v>
                </c:pt>
                <c:pt idx="7">
                  <c:v>0.634635</c:v>
                </c:pt>
                <c:pt idx="8">
                  <c:v>0.728537</c:v>
                </c:pt>
                <c:pt idx="9">
                  <c:v>0.897954</c:v>
                </c:pt>
                <c:pt idx="10">
                  <c:v>0.981434</c:v>
                </c:pt>
                <c:pt idx="11">
                  <c:v>1.01581</c:v>
                </c:pt>
                <c:pt idx="12">
                  <c:v>1.07102</c:v>
                </c:pt>
                <c:pt idx="13">
                  <c:v>1.12362</c:v>
                </c:pt>
                <c:pt idx="14">
                  <c:v>0.697135</c:v>
                </c:pt>
                <c:pt idx="15">
                  <c:v>0.801454</c:v>
                </c:pt>
                <c:pt idx="16">
                  <c:v>0.9891</c:v>
                </c:pt>
                <c:pt idx="17">
                  <c:v>1.07779</c:v>
                </c:pt>
                <c:pt idx="18">
                  <c:v>1.11998</c:v>
                </c:pt>
                <c:pt idx="19">
                  <c:v>1.17779</c:v>
                </c:pt>
                <c:pt idx="20">
                  <c:v>1.2382</c:v>
                </c:pt>
              </c:numCache>
            </c:numRef>
          </c:xVal>
          <c:yVal>
            <c:numRef>
              <c:f>Sheet1!$H$93:$H$113</c:f>
              <c:numCache>
                <c:formatCode>General</c:formatCode>
                <c:ptCount val="21"/>
                <c:pt idx="1" c:formatCode="0.00">
                  <c:v>83</c:v>
                </c:pt>
                <c:pt idx="2" c:formatCode="0.00">
                  <c:v>94.2608</c:v>
                </c:pt>
                <c:pt idx="3" c:formatCode="0.00">
                  <c:v>69.7352</c:v>
                </c:pt>
                <c:pt idx="4" c:formatCode="0.00">
                  <c:v>17.2628</c:v>
                </c:pt>
                <c:pt idx="5" c:formatCode="0.00">
                  <c:v>6.3768</c:v>
                </c:pt>
                <c:pt idx="6" c:formatCode="0.00">
                  <c:v>5.6389</c:v>
                </c:pt>
                <c:pt idx="7" c:formatCode="0.00">
                  <c:v>90</c:v>
                </c:pt>
                <c:pt idx="9" c:formatCode="0.00">
                  <c:v>58.983</c:v>
                </c:pt>
                <c:pt idx="10" c:formatCode="0.00">
                  <c:v>32.8833</c:v>
                </c:pt>
                <c:pt idx="11" c:formatCode="0.00">
                  <c:v>16.411</c:v>
                </c:pt>
                <c:pt idx="12" c:formatCode="0.00">
                  <c:v>13.5249</c:v>
                </c:pt>
                <c:pt idx="13" c:formatCode="0.00">
                  <c:v>9.213</c:v>
                </c:pt>
                <c:pt idx="16" c:formatCode="0.00">
                  <c:v>65.279</c:v>
                </c:pt>
                <c:pt idx="17" c:formatCode="0.00">
                  <c:v>37.6056</c:v>
                </c:pt>
                <c:pt idx="18" c:formatCode="0.00">
                  <c:v>51.985</c:v>
                </c:pt>
                <c:pt idx="19" c:formatCode="0.00">
                  <c:v>22.6731</c:v>
                </c:pt>
                <c:pt idx="20" c:formatCode="0.00">
                  <c:v>11.7871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7501584"/>
        <c:axId val="187505392"/>
      </c:scatterChart>
      <c:valAx>
        <c:axId val="187501584"/>
        <c:scaling>
          <c:orientation val="minMax"/>
          <c:min val="0.5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</a:rPr>
                  <a:t>Soil  NO</a:t>
                </a:r>
                <a:r>
                  <a:rPr lang="en-US" altLang="zh-CN" baseline="-25000">
                    <a:solidFill>
                      <a:schemeClr val="tx1"/>
                    </a:solidFill>
                    <a:latin typeface="Times New Roman" panose="02020603050405020304" charset="0"/>
                  </a:rPr>
                  <a:t>3</a:t>
                </a:r>
                <a:r>
                  <a:rPr lang="en-US" altLang="zh-CN" baseline="30000">
                    <a:solidFill>
                      <a:schemeClr val="tx1"/>
                    </a:solidFill>
                    <a:latin typeface="Times New Roman" panose="02020603050405020304" charset="0"/>
                  </a:rPr>
                  <a:t>-</a:t>
                </a: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</a:rPr>
                  <a:t>-N content (mg kg</a:t>
                </a:r>
                <a:r>
                  <a:rPr lang="en-US" altLang="zh-CN" sz="1000" b="0" i="0" u="none" strike="noStrike" baseline="30000">
                    <a:solidFill>
                      <a:schemeClr val="tx1"/>
                    </a:solidFill>
                    <a:effectLst/>
                    <a:latin typeface="Times New Roman" panose="02020603050405020304" charset="0"/>
                  </a:rPr>
                  <a:t>-1</a:t>
                </a: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</a:rPr>
                  <a:t>)</a:t>
                </a:r>
                <a:endParaRPr lang="zh-CN" altLang="en-US" baseline="0">
                  <a:solidFill>
                    <a:schemeClr val="tx1"/>
                  </a:solidFill>
                  <a:latin typeface="Times New Roman" panose="02020603050405020304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187505392"/>
        <c:crossesAt val="0"/>
        <c:crossBetween val="midCat"/>
      </c:valAx>
      <c:valAx>
        <c:axId val="18750539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N</a:t>
                </a:r>
                <a:r>
                  <a:rPr lang="en-US" altLang="zh-CN" baseline="-2500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2</a:t>
                </a:r>
                <a:r>
                  <a:rPr lang="en-US" altLang="zh-CN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O emission rate</a:t>
                </a: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 (ug kg</a:t>
                </a:r>
                <a:r>
                  <a:rPr lang="en-US" altLang="zh-CN" baseline="3000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-1</a:t>
                </a: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 d</a:t>
                </a:r>
                <a:r>
                  <a:rPr lang="en-US" altLang="zh-CN" baseline="3000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-1</a:t>
                </a: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)</a:t>
                </a:r>
                <a:endParaRPr lang="zh-CN" altLang="en-US">
                  <a:solidFill>
                    <a:schemeClr val="tx1"/>
                  </a:solidFill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0269869278546136"/>
              <c:y val="0.15432478353397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+mn-cs"/>
              </a:defRPr>
            </a:pPr>
          </a:p>
        </c:txPr>
        <c:crossAx val="18750158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155719653551"/>
          <c:y val="0.0254283318751823"/>
          <c:w val="0.710205116094212"/>
          <c:h val="0.812970982793817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Lbls>
            <c:delete val="1"/>
          </c:dLbls>
          <c:trendline>
            <c:spPr>
              <a:ln w="19050" cap="rnd">
                <a:solidFill>
                  <a:srgbClr val="FF0000"/>
                </a:solidFill>
                <a:prstDash val="sysDot"/>
              </a:ln>
              <a:effectLst/>
            </c:spPr>
            <c:trendlineType val="exp"/>
            <c:dispRSqr val="1"/>
            <c:dispEq val="1"/>
            <c:trendlineLbl>
              <c:layout>
                <c:manualLayout>
                  <c:x val="0.0338493248857558"/>
                  <c:y val="-0.473376690562934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baseline="0">
                        <a:solidFill>
                          <a:schemeClr val="tx1"/>
                        </a:solidFill>
                        <a:latin typeface="Times New Roman" panose="02020603050405020304" charset="0"/>
                      </a:rPr>
                      <a:t>y = 165.05e</a:t>
                    </a:r>
                    <a:r>
                      <a:rPr lang="en-US" altLang="zh-CN" baseline="30000">
                        <a:solidFill>
                          <a:schemeClr val="tx1"/>
                        </a:solidFill>
                        <a:latin typeface="Times New Roman" panose="02020603050405020304" charset="0"/>
                      </a:rPr>
                      <a:t>-0.032x</a:t>
                    </a:r>
                    <a:br>
                      <a:rPr lang="en-US" altLang="zh-CN" baseline="0">
                        <a:solidFill>
                          <a:schemeClr val="tx1"/>
                        </a:solidFill>
                        <a:latin typeface="Times New Roman" panose="02020603050405020304" charset="0"/>
                      </a:rPr>
                    </a:br>
                    <a:r>
                      <a:rPr lang="en-US" altLang="zh-CN" baseline="0">
                        <a:solidFill>
                          <a:schemeClr val="tx1"/>
                        </a:solidFill>
                        <a:latin typeface="Times New Roman" panose="02020603050405020304" charset="0"/>
                      </a:rPr>
                      <a:t>R² = 0.6442 (n=15)</a:t>
                    </a:r>
                    <a:endParaRPr lang="en-US" altLang="zh-CN">
                      <a:solidFill>
                        <a:schemeClr val="tx1"/>
                      </a:solidFill>
                      <a:latin typeface="Times New Roman" panose="02020603050405020304" charset="0"/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</c:trendlineLbl>
          </c:trendline>
          <c:xVal>
            <c:numRef>
              <c:f>Sheet1!$E$114:$E$134</c:f>
              <c:numCache>
                <c:formatCode>0.00</c:formatCode>
                <c:ptCount val="21"/>
                <c:pt idx="0">
                  <c:v>3.04636</c:v>
                </c:pt>
                <c:pt idx="1">
                  <c:v>8.21192</c:v>
                </c:pt>
                <c:pt idx="2">
                  <c:v>14.3046</c:v>
                </c:pt>
                <c:pt idx="3">
                  <c:v>18.2781</c:v>
                </c:pt>
                <c:pt idx="4">
                  <c:v>22.1192</c:v>
                </c:pt>
                <c:pt idx="5">
                  <c:v>24.7682</c:v>
                </c:pt>
                <c:pt idx="6">
                  <c:v>25.6954</c:v>
                </c:pt>
                <c:pt idx="7">
                  <c:v>5.03311</c:v>
                </c:pt>
                <c:pt idx="8">
                  <c:v>17.0861</c:v>
                </c:pt>
                <c:pt idx="9">
                  <c:v>25.0331</c:v>
                </c:pt>
                <c:pt idx="10">
                  <c:v>32.1854</c:v>
                </c:pt>
                <c:pt idx="11">
                  <c:v>37.8808</c:v>
                </c:pt>
                <c:pt idx="12">
                  <c:v>41.0596</c:v>
                </c:pt>
                <c:pt idx="13">
                  <c:v>42.5166</c:v>
                </c:pt>
                <c:pt idx="14">
                  <c:v>6.09272</c:v>
                </c:pt>
                <c:pt idx="15">
                  <c:v>13.245</c:v>
                </c:pt>
                <c:pt idx="16">
                  <c:v>26.755</c:v>
                </c:pt>
                <c:pt idx="17">
                  <c:v>36.2914</c:v>
                </c:pt>
                <c:pt idx="18">
                  <c:v>45.1656</c:v>
                </c:pt>
                <c:pt idx="19">
                  <c:v>49.404</c:v>
                </c:pt>
                <c:pt idx="20">
                  <c:v>51.1258</c:v>
                </c:pt>
              </c:numCache>
            </c:numRef>
          </c:xVal>
          <c:yVal>
            <c:numRef>
              <c:f>Sheet1!$H$114:$H$134</c:f>
              <c:numCache>
                <c:formatCode>General</c:formatCode>
                <c:ptCount val="21"/>
                <c:pt idx="2" c:formatCode="0.00">
                  <c:v>87.5</c:v>
                </c:pt>
                <c:pt idx="3" c:formatCode="0.00">
                  <c:v>75</c:v>
                </c:pt>
                <c:pt idx="4" c:formatCode="0.00">
                  <c:v>65</c:v>
                </c:pt>
                <c:pt idx="5" c:formatCode="0.00">
                  <c:v>68</c:v>
                </c:pt>
                <c:pt idx="6" c:formatCode="0.00">
                  <c:v>75</c:v>
                </c:pt>
                <c:pt idx="9" c:formatCode="0.00">
                  <c:v>125</c:v>
                </c:pt>
                <c:pt idx="10" c:formatCode="0.00">
                  <c:v>60</c:v>
                </c:pt>
                <c:pt idx="11" c:formatCode="0.00">
                  <c:v>37.5</c:v>
                </c:pt>
                <c:pt idx="12" c:formatCode="0.00">
                  <c:v>37.5</c:v>
                </c:pt>
                <c:pt idx="13" c:formatCode="0.00">
                  <c:v>37.5</c:v>
                </c:pt>
                <c:pt idx="16" c:formatCode="0.00">
                  <c:v>98</c:v>
                </c:pt>
                <c:pt idx="17" c:formatCode="0.00">
                  <c:v>92.5</c:v>
                </c:pt>
                <c:pt idx="18" c:formatCode="0.00">
                  <c:v>35</c:v>
                </c:pt>
                <c:pt idx="19" c:formatCode="0.00">
                  <c:v>30</c:v>
                </c:pt>
                <c:pt idx="20" c:formatCode="0.00">
                  <c:v>37.5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7502128"/>
        <c:axId val="187505936"/>
      </c:scatterChart>
      <c:valAx>
        <c:axId val="1875021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</a:rPr>
                  <a:t>Soil  NH</a:t>
                </a:r>
                <a:r>
                  <a:rPr lang="en-US" altLang="zh-CN" baseline="-25000">
                    <a:solidFill>
                      <a:schemeClr val="tx1"/>
                    </a:solidFill>
                    <a:latin typeface="Times New Roman" panose="02020603050405020304" charset="0"/>
                  </a:rPr>
                  <a:t>4</a:t>
                </a:r>
                <a:r>
                  <a:rPr lang="en-US" altLang="zh-CN" baseline="30000">
                    <a:solidFill>
                      <a:schemeClr val="tx1"/>
                    </a:solidFill>
                    <a:latin typeface="Times New Roman" panose="02020603050405020304" charset="0"/>
                  </a:rPr>
                  <a:t>+</a:t>
                </a: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</a:rPr>
                  <a:t>-N content (mg kg</a:t>
                </a:r>
                <a:r>
                  <a:rPr lang="en-US" altLang="zh-CN" sz="1000" b="0" i="0" u="none" strike="noStrike" baseline="30000">
                    <a:solidFill>
                      <a:schemeClr val="tx1"/>
                    </a:solidFill>
                    <a:effectLst/>
                    <a:latin typeface="Times New Roman" panose="02020603050405020304" charset="0"/>
                  </a:rPr>
                  <a:t>-1</a:t>
                </a: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</a:rPr>
                  <a:t>)</a:t>
                </a:r>
                <a:endParaRPr lang="zh-CN" altLang="en-US" baseline="0">
                  <a:solidFill>
                    <a:schemeClr val="tx1"/>
                  </a:solidFill>
                  <a:latin typeface="Times New Roman" panose="02020603050405020304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+mn-cs"/>
              </a:defRPr>
            </a:pPr>
          </a:p>
        </c:txPr>
        <c:crossAx val="187505936"/>
        <c:crosses val="autoZero"/>
        <c:crossBetween val="midCat"/>
      </c:valAx>
      <c:valAx>
        <c:axId val="18750593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N</a:t>
                </a:r>
                <a:r>
                  <a:rPr lang="en-US" altLang="zh-CN" baseline="-2500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2</a:t>
                </a:r>
                <a:r>
                  <a:rPr lang="en-US" altLang="zh-CN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O emission rate</a:t>
                </a: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 (ug kg</a:t>
                </a:r>
                <a:r>
                  <a:rPr lang="en-US" altLang="zh-CN" baseline="3000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-1</a:t>
                </a: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 d</a:t>
                </a:r>
                <a:r>
                  <a:rPr lang="en-US" altLang="zh-CN" baseline="3000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-1</a:t>
                </a: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)</a:t>
                </a:r>
                <a:endParaRPr lang="zh-CN" altLang="en-US">
                  <a:solidFill>
                    <a:schemeClr val="tx1"/>
                  </a:solidFill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+mn-cs"/>
              </a:defRPr>
            </a:pPr>
          </a:p>
        </c:txPr>
        <c:crossAx val="187502128"/>
        <c:crosses val="autoZero"/>
        <c:crossBetween val="midCat"/>
        <c:majorUnit val="3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138944150028"/>
          <c:y val="0.0254284976820386"/>
          <c:w val="0.688561965847687"/>
          <c:h val="0.813130835987367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Lbls>
            <c:delete val="1"/>
          </c:dLbls>
          <c:trendline>
            <c:spPr>
              <a:ln w="19050" cap="rnd">
                <a:solidFill>
                  <a:srgbClr val="FF0000"/>
                </a:solidFill>
                <a:prstDash val="sysDot"/>
              </a:ln>
              <a:effectLst/>
            </c:spPr>
            <c:trendlineType val="exp"/>
            <c:dispRSqr val="1"/>
            <c:dispEq val="1"/>
            <c:trendlineLbl>
              <c:layout>
                <c:manualLayout>
                  <c:x val="-0.122178477690289"/>
                  <c:y val="0.1101243638634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+mn-cs"/>
                      </a:defRPr>
                    </a:pPr>
                    <a:r>
                      <a:rPr lang="en-US" altLang="zh-CN" baseline="0">
                        <a:solidFill>
                          <a:schemeClr val="tx1"/>
                        </a:solidFill>
                        <a:latin typeface="Times New Roman" panose="02020603050405020304" charset="0"/>
                      </a:rPr>
                      <a:t>y = 272.45e</a:t>
                    </a:r>
                    <a:r>
                      <a:rPr lang="en-US" altLang="zh-CN" baseline="30000">
                        <a:solidFill>
                          <a:schemeClr val="tx1"/>
                        </a:solidFill>
                        <a:latin typeface="Times New Roman" panose="02020603050405020304" charset="0"/>
                      </a:rPr>
                      <a:t>-1.421x</a:t>
                    </a:r>
                    <a:br>
                      <a:rPr lang="en-US" altLang="zh-CN" baseline="0">
                        <a:solidFill>
                          <a:schemeClr val="tx1"/>
                        </a:solidFill>
                        <a:latin typeface="Times New Roman" panose="02020603050405020304" charset="0"/>
                      </a:rPr>
                    </a:br>
                    <a:r>
                      <a:rPr lang="en-US" altLang="zh-CN" baseline="0">
                        <a:solidFill>
                          <a:schemeClr val="tx1"/>
                        </a:solidFill>
                        <a:latin typeface="Times New Roman" panose="02020603050405020304" charset="0"/>
                      </a:rPr>
                      <a:t>R² = 0.3684 (n=15)</a:t>
                    </a:r>
                    <a:endParaRPr lang="en-US" altLang="zh-CN">
                      <a:solidFill>
                        <a:schemeClr val="tx1"/>
                      </a:solidFill>
                      <a:latin typeface="Times New Roman" panose="02020603050405020304" charset="0"/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tx1"/>
                      </a:solidFill>
                      <a:latin typeface="Times New Roman" panose="02020603050405020304" charset="0"/>
                      <a:ea typeface="+mn-ea"/>
                      <a:cs typeface="+mn-cs"/>
                    </a:defRPr>
                  </a:pPr>
                </a:p>
              </c:txPr>
            </c:trendlineLbl>
          </c:trendline>
          <c:xVal>
            <c:numRef>
              <c:f>Sheet1!$F$114:$F$134</c:f>
              <c:numCache>
                <c:formatCode>0.00</c:formatCode>
                <c:ptCount val="21"/>
                <c:pt idx="0">
                  <c:v>0.525373</c:v>
                </c:pt>
                <c:pt idx="1">
                  <c:v>0.608955</c:v>
                </c:pt>
                <c:pt idx="2">
                  <c:v>0.758209</c:v>
                </c:pt>
                <c:pt idx="3">
                  <c:v>0.81194</c:v>
                </c:pt>
                <c:pt idx="4">
                  <c:v>0.847761</c:v>
                </c:pt>
                <c:pt idx="5">
                  <c:v>0.901493</c:v>
                </c:pt>
                <c:pt idx="6">
                  <c:v>0.949254</c:v>
                </c:pt>
                <c:pt idx="7">
                  <c:v>0.706319</c:v>
                </c:pt>
                <c:pt idx="8">
                  <c:v>0.888462</c:v>
                </c:pt>
                <c:pt idx="9">
                  <c:v>1.00522</c:v>
                </c:pt>
                <c:pt idx="10">
                  <c:v>1.09396</c:v>
                </c:pt>
                <c:pt idx="11">
                  <c:v>1.13599</c:v>
                </c:pt>
                <c:pt idx="12">
                  <c:v>1.19203</c:v>
                </c:pt>
                <c:pt idx="13">
                  <c:v>1.25275</c:v>
                </c:pt>
                <c:pt idx="14">
                  <c:v>0.776374</c:v>
                </c:pt>
                <c:pt idx="15">
                  <c:v>1.00055</c:v>
                </c:pt>
                <c:pt idx="16">
                  <c:v>1.19203</c:v>
                </c:pt>
                <c:pt idx="17">
                  <c:v>1.20137</c:v>
                </c:pt>
                <c:pt idx="18">
                  <c:v>1.24341</c:v>
                </c:pt>
                <c:pt idx="19">
                  <c:v>1.31346</c:v>
                </c:pt>
                <c:pt idx="20">
                  <c:v>1.37418</c:v>
                </c:pt>
              </c:numCache>
            </c:numRef>
          </c:xVal>
          <c:yVal>
            <c:numRef>
              <c:f>Sheet1!$H$114:$H$134</c:f>
              <c:numCache>
                <c:formatCode>General</c:formatCode>
                <c:ptCount val="21"/>
                <c:pt idx="2" c:formatCode="0.00">
                  <c:v>87.5</c:v>
                </c:pt>
                <c:pt idx="3" c:formatCode="0.00">
                  <c:v>75</c:v>
                </c:pt>
                <c:pt idx="4" c:formatCode="0.00">
                  <c:v>65</c:v>
                </c:pt>
                <c:pt idx="5" c:formatCode="0.00">
                  <c:v>68</c:v>
                </c:pt>
                <c:pt idx="6" c:formatCode="0.00">
                  <c:v>75</c:v>
                </c:pt>
                <c:pt idx="9" c:formatCode="0.00">
                  <c:v>125</c:v>
                </c:pt>
                <c:pt idx="10" c:formatCode="0.00">
                  <c:v>60</c:v>
                </c:pt>
                <c:pt idx="11" c:formatCode="0.00">
                  <c:v>37.5</c:v>
                </c:pt>
                <c:pt idx="12" c:formatCode="0.00">
                  <c:v>37.5</c:v>
                </c:pt>
                <c:pt idx="13" c:formatCode="0.00">
                  <c:v>37.5</c:v>
                </c:pt>
                <c:pt idx="16" c:formatCode="0.00">
                  <c:v>98</c:v>
                </c:pt>
                <c:pt idx="17" c:formatCode="0.00">
                  <c:v>92.5</c:v>
                </c:pt>
                <c:pt idx="18" c:formatCode="0.00">
                  <c:v>35</c:v>
                </c:pt>
                <c:pt idx="19" c:formatCode="0.00">
                  <c:v>30</c:v>
                </c:pt>
                <c:pt idx="20" c:formatCode="0.00">
                  <c:v>37.5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7499408"/>
        <c:axId val="187499952"/>
      </c:scatterChart>
      <c:valAx>
        <c:axId val="187499408"/>
        <c:scaling>
          <c:orientation val="minMax"/>
          <c:min val="0.5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</a:rPr>
                  <a:t>Soil  NO</a:t>
                </a:r>
                <a:r>
                  <a:rPr lang="en-US" altLang="zh-CN" baseline="-25000">
                    <a:solidFill>
                      <a:schemeClr val="tx1"/>
                    </a:solidFill>
                    <a:latin typeface="Times New Roman" panose="02020603050405020304" charset="0"/>
                  </a:rPr>
                  <a:t>3</a:t>
                </a:r>
                <a:r>
                  <a:rPr lang="en-US" altLang="zh-CN" baseline="30000">
                    <a:solidFill>
                      <a:schemeClr val="tx1"/>
                    </a:solidFill>
                    <a:latin typeface="Times New Roman" panose="02020603050405020304" charset="0"/>
                  </a:rPr>
                  <a:t>-</a:t>
                </a: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</a:rPr>
                  <a:t>-N content (mg kg</a:t>
                </a:r>
                <a:r>
                  <a:rPr lang="en-US" altLang="zh-CN" sz="1000" b="0" i="0" u="none" strike="noStrike" baseline="30000">
                    <a:solidFill>
                      <a:schemeClr val="tx1"/>
                    </a:solidFill>
                    <a:effectLst/>
                    <a:latin typeface="Times New Roman" panose="02020603050405020304" charset="0"/>
                  </a:rPr>
                  <a:t>-1</a:t>
                </a: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</a:rPr>
                  <a:t>)</a:t>
                </a:r>
                <a:endParaRPr lang="zh-CN" altLang="en-US" baseline="0">
                  <a:solidFill>
                    <a:schemeClr val="tx1"/>
                  </a:solidFill>
                  <a:latin typeface="Times New Roman" panose="02020603050405020304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187499952"/>
        <c:crossesAt val="0"/>
        <c:crossBetween val="midCat"/>
      </c:valAx>
      <c:valAx>
        <c:axId val="18749995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N</a:t>
                </a:r>
                <a:r>
                  <a:rPr lang="en-US" altLang="zh-CN" baseline="-2500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2</a:t>
                </a:r>
                <a:r>
                  <a:rPr lang="en-US" altLang="zh-CN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O emission rate</a:t>
                </a: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 (ug kg</a:t>
                </a:r>
                <a:r>
                  <a:rPr lang="en-US" altLang="zh-CN" baseline="3000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-1</a:t>
                </a: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 d</a:t>
                </a:r>
                <a:r>
                  <a:rPr lang="en-US" altLang="zh-CN" baseline="3000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-1</a:t>
                </a:r>
                <a:r>
                  <a:rPr lang="en-US" altLang="zh-CN" baseline="0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)</a:t>
                </a:r>
                <a:endParaRPr lang="zh-CN" altLang="en-US">
                  <a:solidFill>
                    <a:schemeClr val="tx1"/>
                  </a:solidFill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0269869278546136"/>
              <c:y val="0.15432478353397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+mn-cs"/>
              </a:defRPr>
            </a:pPr>
          </a:p>
        </c:txPr>
        <c:crossAx val="18749940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0.183</cdr:x>
      <cdr:y>0.028</cdr:y>
    </cdr:from>
    <cdr:to>
      <cdr:x>0.43962</cdr:x>
      <cdr:y>0.12462</cdr:y>
    </cdr:to>
    <cdr:sp>
      <cdr:nvSpPr>
        <cdr:cNvPr id="2" name="矩形 1"/>
        <cdr:cNvSpPr/>
      </cdr:nvSpPr>
      <cdr:spPr xmlns:a="http://schemas.openxmlformats.org/drawingml/2006/main">
        <a:xfrm xmlns:a="http://schemas.openxmlformats.org/drawingml/2006/main">
          <a:off x="631963" y="76822"/>
          <a:ext cx="886239" cy="265044"/>
        </a:xfrm>
        <a:prstGeom xmlns:a="http://schemas.openxmlformats.org/drawingml/2006/main" prst="rect">
          <a:avLst/>
        </a:prstGeom>
      </cdr:spPr>
      <cdr:txBody xmlns:a="http://schemas.openxmlformats.org/drawingml/2006/main">
        <a:bodyPr vertOverflow="clip" vert="horz" wrap="none" lIns="45720" tIns="45720" rIns="45720" bIns="45720" rtlCol="0" anchor="t" anchorCtr="0">
          <a:normAutofit/>
        </a:bodyPr>
        <a:lstStyle/>
        <a:p>
          <a:r>
            <a:rPr lang="en-US" altLang="zh-CN" sz="1100">
              <a:latin typeface="Times New Roman" panose="02020603050405020304" charset="0"/>
              <a:cs typeface="Times New Roman" panose="02020603050405020304" charset="0"/>
            </a:rPr>
            <a:t>30%WHC</a:t>
          </a:r>
          <a:endParaRPr lang="zh-CN" altLang="en-US" sz="1100">
            <a:latin typeface="Times New Roman" panose="02020603050405020304" charset="0"/>
            <a:cs typeface="Times New Roman" panose="0202060305040502030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0.183</cdr:x>
      <cdr:y>0.028</cdr:y>
    </cdr:from>
    <cdr:to>
      <cdr:x>0.43962</cdr:x>
      <cdr:y>0.12462</cdr:y>
    </cdr:to>
    <cdr:sp>
      <cdr:nvSpPr>
        <cdr:cNvPr id="2" name="矩形 1"/>
        <cdr:cNvSpPr/>
      </cdr:nvSpPr>
      <cdr:spPr xmlns:a="http://schemas.openxmlformats.org/drawingml/2006/main">
        <a:xfrm xmlns:a="http://schemas.openxmlformats.org/drawingml/2006/main">
          <a:off x="631963" y="76822"/>
          <a:ext cx="886239" cy="265044"/>
        </a:xfrm>
        <a:prstGeom xmlns:a="http://schemas.openxmlformats.org/drawingml/2006/main" prst="rect">
          <a:avLst/>
        </a:prstGeom>
      </cdr:spPr>
      <cdr:txBody xmlns:a="http://schemas.openxmlformats.org/drawingml/2006/main">
        <a:bodyPr vertOverflow="clip" vert="horz" wrap="none" lIns="45720" tIns="45720" rIns="45720" bIns="45720" rtlCol="0" anchor="t" anchorCtr="0">
          <a:normAutofit/>
        </a:bodyPr>
        <a:lstStyle/>
        <a:p>
          <a:r>
            <a:rPr lang="en-US" altLang="zh-CN" sz="1100">
              <a:latin typeface="Times New Roman" panose="02020603050405020304" charset="0"/>
              <a:cs typeface="Times New Roman" panose="02020603050405020304" charset="0"/>
            </a:rPr>
            <a:t>30%WHC</a:t>
          </a:r>
          <a:endParaRPr lang="zh-CN" altLang="en-US" sz="1100">
            <a:latin typeface="Times New Roman" panose="02020603050405020304" charset="0"/>
            <a:cs typeface="Times New Roman" panose="0202060305040502030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0.183</cdr:x>
      <cdr:y>0.028</cdr:y>
    </cdr:from>
    <cdr:to>
      <cdr:x>0.43962</cdr:x>
      <cdr:y>0.12462</cdr:y>
    </cdr:to>
    <cdr:sp>
      <cdr:nvSpPr>
        <cdr:cNvPr id="2" name="矩形 1"/>
        <cdr:cNvSpPr/>
      </cdr:nvSpPr>
      <cdr:spPr xmlns:a="http://schemas.openxmlformats.org/drawingml/2006/main">
        <a:xfrm xmlns:a="http://schemas.openxmlformats.org/drawingml/2006/main">
          <a:off x="631963" y="76822"/>
          <a:ext cx="886239" cy="265044"/>
        </a:xfrm>
        <a:prstGeom xmlns:a="http://schemas.openxmlformats.org/drawingml/2006/main" prst="rect">
          <a:avLst/>
        </a:prstGeom>
      </cdr:spPr>
      <cdr:txBody xmlns:a="http://schemas.openxmlformats.org/drawingml/2006/main">
        <a:bodyPr vertOverflow="clip" vert="horz" wrap="none" lIns="45720" tIns="45720" rIns="45720" bIns="45720" rtlCol="0" anchor="t" anchorCtr="0">
          <a:normAutofit/>
        </a:bodyPr>
        <a:lstStyle/>
        <a:p>
          <a:r>
            <a:rPr lang="en-US" altLang="zh-CN" sz="1100">
              <a:latin typeface="Times New Roman" panose="02020603050405020304" charset="0"/>
              <a:cs typeface="Times New Roman" panose="02020603050405020304" charset="0"/>
            </a:rPr>
            <a:t>60%WHC</a:t>
          </a:r>
          <a:endParaRPr lang="zh-CN" altLang="en-US" sz="1100">
            <a:latin typeface="Times New Roman" panose="02020603050405020304" charset="0"/>
            <a:cs typeface="Times New Roman" panose="0202060305040502030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0.183</cdr:x>
      <cdr:y>0.028</cdr:y>
    </cdr:from>
    <cdr:to>
      <cdr:x>0.43962</cdr:x>
      <cdr:y>0.12462</cdr:y>
    </cdr:to>
    <cdr:sp>
      <cdr:nvSpPr>
        <cdr:cNvPr id="2" name="矩形 1"/>
        <cdr:cNvSpPr/>
      </cdr:nvSpPr>
      <cdr:spPr xmlns:a="http://schemas.openxmlformats.org/drawingml/2006/main">
        <a:xfrm xmlns:a="http://schemas.openxmlformats.org/drawingml/2006/main">
          <a:off x="631963" y="76822"/>
          <a:ext cx="886239" cy="265044"/>
        </a:xfrm>
        <a:prstGeom xmlns:a="http://schemas.openxmlformats.org/drawingml/2006/main" prst="rect">
          <a:avLst/>
        </a:prstGeom>
      </cdr:spPr>
      <cdr:txBody xmlns:a="http://schemas.openxmlformats.org/drawingml/2006/main">
        <a:bodyPr vertOverflow="clip" vert="horz" wrap="none" lIns="45720" tIns="45720" rIns="45720" bIns="45720" rtlCol="0" anchor="t" anchorCtr="0">
          <a:normAutofit/>
        </a:bodyPr>
        <a:lstStyle/>
        <a:p>
          <a:r>
            <a:rPr lang="en-US" altLang="zh-CN" sz="1100">
              <a:latin typeface="Times New Roman" panose="02020603050405020304" charset="0"/>
              <a:cs typeface="Times New Roman" panose="02020603050405020304" charset="0"/>
            </a:rPr>
            <a:t>90%WHC</a:t>
          </a:r>
          <a:endParaRPr lang="zh-CN" altLang="en-US" sz="1100">
            <a:latin typeface="Times New Roman" panose="02020603050405020304" charset="0"/>
            <a:cs typeface="Times New Roman" panose="02020603050405020304" charset="0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0.24824</cdr:x>
      <cdr:y>0.01399</cdr:y>
    </cdr:from>
    <cdr:to>
      <cdr:x>0.50486</cdr:x>
      <cdr:y>0.11061</cdr:y>
    </cdr:to>
    <cdr:sp>
      <cdr:nvSpPr>
        <cdr:cNvPr id="2" name="矩形 1"/>
        <cdr:cNvSpPr/>
      </cdr:nvSpPr>
      <cdr:spPr xmlns:a="http://schemas.openxmlformats.org/drawingml/2006/main">
        <a:xfrm xmlns:a="http://schemas.openxmlformats.org/drawingml/2006/main">
          <a:off x="584508" y="36518"/>
          <a:ext cx="604232" cy="252225"/>
        </a:xfrm>
        <a:prstGeom xmlns:a="http://schemas.openxmlformats.org/drawingml/2006/main" prst="rect">
          <a:avLst/>
        </a:prstGeom>
      </cdr:spPr>
      <cdr:txBody xmlns:a="http://schemas.openxmlformats.org/drawingml/2006/main">
        <a:bodyPr vertOverflow="clip" vert="horz" wrap="none" lIns="45720" tIns="45720" rIns="45720" bIns="45720" rtlCol="0" anchor="t" anchorCtr="0">
          <a:normAutofit/>
        </a:bodyPr>
        <a:lstStyle/>
        <a:p>
          <a:r>
            <a:rPr lang="en-US" altLang="zh-CN" sz="1100">
              <a:latin typeface="Times New Roman" panose="02020603050405020304" charset="0"/>
              <a:cs typeface="Times New Roman" panose="02020603050405020304" charset="0"/>
            </a:rPr>
            <a:t>90%WHC</a:t>
          </a:r>
          <a:endParaRPr lang="zh-CN" altLang="en-US" sz="1100">
            <a:latin typeface="Times New Roman" panose="02020603050405020304" charset="0"/>
            <a:cs typeface="Times New Roman" panose="02020603050405020304" charset="0"/>
          </a:endParaRP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0.35546</cdr:x>
      <cdr:y>0.0251</cdr:y>
    </cdr:from>
    <cdr:to>
      <cdr:x>0.61208</cdr:x>
      <cdr:y>0.12172</cdr:y>
    </cdr:to>
    <cdr:sp>
      <cdr:nvSpPr>
        <cdr:cNvPr id="2" name="矩形 1"/>
        <cdr:cNvSpPr/>
      </cdr:nvSpPr>
      <cdr:spPr xmlns:a="http://schemas.openxmlformats.org/drawingml/2006/main">
        <a:xfrm xmlns:a="http://schemas.openxmlformats.org/drawingml/2006/main">
          <a:off x="1212086" y="71740"/>
          <a:ext cx="875061" cy="276131"/>
        </a:xfrm>
        <a:prstGeom xmlns:a="http://schemas.openxmlformats.org/drawingml/2006/main" prst="rect">
          <a:avLst/>
        </a:prstGeom>
      </cdr:spPr>
      <cdr:txBody xmlns:a="http://schemas.openxmlformats.org/drawingml/2006/main">
        <a:bodyPr vertOverflow="clip" vert="horz" wrap="none" lIns="45720" tIns="45720" rIns="45720" bIns="45720" rtlCol="0" anchor="t" anchorCtr="0">
          <a:normAutofit/>
        </a:bodyPr>
        <a:lstStyle/>
        <a:p>
          <a:r>
            <a:rPr lang="en-US" altLang="zh-CN" sz="1100">
              <a:latin typeface="Times New Roman" panose="02020603050405020304" charset="0"/>
              <a:cs typeface="Times New Roman" panose="02020603050405020304" charset="0"/>
            </a:rPr>
            <a:t>60%WHC</a:t>
          </a:r>
          <a:endParaRPr lang="zh-CN" altLang="en-US" sz="1100">
            <a:latin typeface="Times New Roman" panose="02020603050405020304" charset="0"/>
            <a:cs typeface="Times New Roman" panose="0202060305040502030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296</Words>
  <Characters>1688</Characters>
  <Lines>14</Lines>
  <Paragraphs>3</Paragraphs>
  <TotalTime>21</TotalTime>
  <ScaleCrop>false</ScaleCrop>
  <LinksUpToDate>false</LinksUpToDate>
  <CharactersWithSpaces>1981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2022-04-04T12:15:00Z</dcterms:created>
  <dc:creator>胡 仁</dc:creator>
  <cp:lastModifiedBy>张丁月</cp:lastModifiedBy>
  <dcterms:modified xsi:type="dcterms:W3CDTF">2023-11-09T04:01:27Z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8BB48A8638BE49A8B2C3D61FD6D5CA56_12</vt:lpwstr>
  </property>
</Properties>
</file>