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4D6A" w14:textId="6436BF9D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  <w:r w:rsidRPr="00DD2077">
        <w:rPr>
          <w:rFonts w:ascii="Arial" w:hAnsi="Arial" w:cs="Arial"/>
          <w:sz w:val="28"/>
          <w:szCs w:val="28"/>
          <w:lang w:val="en-GB"/>
        </w:rPr>
        <w:t xml:space="preserve">SUPPLEMENTARY </w:t>
      </w:r>
      <w:r w:rsidR="00F81C50">
        <w:rPr>
          <w:rFonts w:ascii="Arial" w:hAnsi="Arial" w:cs="Arial"/>
          <w:sz w:val="28"/>
          <w:szCs w:val="28"/>
          <w:lang w:val="en-GB"/>
        </w:rPr>
        <w:t>MATERIALS AND METHODS</w:t>
      </w:r>
    </w:p>
    <w:p w14:paraId="7347AFA6" w14:textId="77777777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</w:p>
    <w:p w14:paraId="202A72D6" w14:textId="77777777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</w:p>
    <w:p w14:paraId="21061C39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>Long-term treatment</w:t>
      </w:r>
      <w:r w:rsidRPr="00FB78C8">
        <w:rPr>
          <w:rFonts w:ascii="Arial" w:eastAsia="Calibri" w:hAnsi="Arial" w:cs="Arial"/>
          <w:b/>
          <w:i/>
          <w:color w:val="303030"/>
          <w:sz w:val="32"/>
          <w:szCs w:val="30"/>
          <w:shd w:val="clear" w:color="auto" w:fill="FFFFFF"/>
          <w:lang w:val="en-US"/>
        </w:rPr>
        <w:t xml:space="preserve"> </w:t>
      </w: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>with</w:t>
      </w:r>
      <w:r w:rsidRPr="00FB78C8">
        <w:rPr>
          <w:rFonts w:ascii="Arial" w:eastAsia="Calibri" w:hAnsi="Arial" w:cs="Arial"/>
          <w:b/>
          <w:i/>
          <w:color w:val="303030"/>
          <w:sz w:val="32"/>
          <w:szCs w:val="30"/>
          <w:shd w:val="clear" w:color="auto" w:fill="FFFFFF"/>
          <w:lang w:val="en-US"/>
        </w:rPr>
        <w:t xml:space="preserve"> Alcaligenes faecalis</w:t>
      </w: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 xml:space="preserve"> A12C improves host resistance to pathogens in septic rats: possible contribution of curdlan-like immune-trainer</w:t>
      </w:r>
    </w:p>
    <w:p w14:paraId="027581A4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20"/>
          <w:szCs w:val="20"/>
          <w:shd w:val="clear" w:color="auto" w:fill="FFFFFF"/>
          <w:lang w:val="en-US"/>
        </w:rPr>
      </w:pPr>
    </w:p>
    <w:p w14:paraId="70FB1644" w14:textId="77777777" w:rsidR="00FB78C8" w:rsidRPr="00FB78C8" w:rsidRDefault="00FB78C8" w:rsidP="00FB78C8">
      <w:pPr>
        <w:spacing w:after="0" w:line="240" w:lineRule="auto"/>
        <w:jc w:val="center"/>
        <w:rPr>
          <w:rFonts w:ascii="Cambria" w:eastAsia="Calibri" w:hAnsi="Cambria" w:cs="Times New Roman"/>
          <w:b/>
          <w:color w:val="303030"/>
          <w:sz w:val="30"/>
          <w:szCs w:val="30"/>
          <w:shd w:val="clear" w:color="auto" w:fill="FFFFFF"/>
          <w:lang w:val="en-US"/>
        </w:rPr>
      </w:pPr>
    </w:p>
    <w:p w14:paraId="6B92168E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en-US"/>
        </w:rPr>
      </w:pPr>
    </w:p>
    <w:p w14:paraId="5E782D0F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#1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>C.J. Martel-Benítez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0000-0002-1580-4058)</w:t>
      </w:r>
    </w:p>
    <w:p w14:paraId="436592CF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#1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>R. Alayón-</w:t>
      </w:r>
      <w:proofErr w:type="spellStart"/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>Afonso</w:t>
      </w:r>
      <w:proofErr w:type="spellEnd"/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0000-0002-2928-0144)</w:t>
      </w:r>
    </w:p>
    <w:p w14:paraId="2ABDDA6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*1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D.F. Padilla Castillo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0000-0002-6678-5029)</w:t>
      </w:r>
    </w:p>
    <w:p w14:paraId="50716F86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2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F.J.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Chamizo López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color w:val="000000"/>
          <w:sz w:val="20"/>
          <w:szCs w:val="20"/>
        </w:rPr>
        <w:t>: 0000-0003-1328-1924)</w:t>
      </w:r>
    </w:p>
    <w:p w14:paraId="2AD03F0C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3,4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M. Isabel García-</w:t>
      </w:r>
      <w:proofErr w:type="spellStart"/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Laorden</w:t>
      </w:r>
      <w:proofErr w:type="spellEnd"/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(ORCID </w:t>
      </w:r>
      <w:proofErr w:type="spellStart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: 0000-0001-6270-6306)</w:t>
      </w:r>
    </w:p>
    <w:p w14:paraId="120F814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5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ª.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Espinosa de los Monteros y Zayas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color w:val="000000"/>
          <w:sz w:val="20"/>
          <w:szCs w:val="20"/>
        </w:rPr>
        <w:t>: 0000-0002-7736-3139)</w:t>
      </w:r>
    </w:p>
    <w:p w14:paraId="77DE88E8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6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J.C.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Rivero-Vera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0000-0003-3039-0030)</w:t>
      </w:r>
    </w:p>
    <w:p w14:paraId="2F37148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7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P. Nogueira Salgueiro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color w:val="000000"/>
          <w:sz w:val="20"/>
          <w:szCs w:val="20"/>
        </w:rPr>
        <w:t>: 0000-0002-8029-2685)</w:t>
      </w:r>
    </w:p>
    <w:p w14:paraId="6F1A8C2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1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F.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Real Valcárcel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(ORCID </w:t>
      </w:r>
      <w:proofErr w:type="spellStart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: 0000-0001-6526-0354)</w:t>
      </w:r>
    </w:p>
    <w:p w14:paraId="68808917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2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ª.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Bordes Benítez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(ORCID </w:t>
      </w:r>
      <w:proofErr w:type="spellStart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: 0000-0003-3243-7402)</w:t>
      </w:r>
    </w:p>
    <w:p w14:paraId="2618232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Cs/>
          <w:color w:val="000000"/>
          <w:sz w:val="20"/>
          <w:szCs w:val="20"/>
          <w:vertAlign w:val="superscript"/>
        </w:rPr>
        <w:t>8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ª. Martel Quintana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0000-0002-7450-0505)</w:t>
      </w:r>
    </w:p>
    <w:p w14:paraId="070A5DC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Cs/>
          <w:color w:val="000000"/>
          <w:sz w:val="20"/>
          <w:szCs w:val="20"/>
          <w:vertAlign w:val="superscript"/>
        </w:rPr>
        <w:t>9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C. Almeida Peña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0000-0001-9283-4851)</w:t>
      </w:r>
    </w:p>
    <w:p w14:paraId="33BD3CE4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7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C. Domínguez Cabrera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: 0000-0003-2600-1637)</w:t>
      </w:r>
    </w:p>
    <w:p w14:paraId="7DD5D23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10</w:t>
      </w:r>
      <w:r w:rsidRPr="00FB78C8">
        <w:rPr>
          <w:rFonts w:ascii="Arial" w:eastAsia="Calibri" w:hAnsi="Arial" w:cs="Arial"/>
          <w:b/>
          <w:sz w:val="20"/>
          <w:szCs w:val="20"/>
        </w:rPr>
        <w:t>J.M.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 xml:space="preserve">González-Martín </w:t>
      </w:r>
      <w:r w:rsidRPr="00FB78C8">
        <w:rPr>
          <w:rFonts w:ascii="Arial" w:eastAsia="Calibri" w:hAnsi="Arial" w:cs="Arial"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</w:rPr>
        <w:t>: 0000-0001-6816-4157)</w:t>
      </w:r>
    </w:p>
    <w:p w14:paraId="0EEF5F15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11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J.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Martín Caballero </w:t>
      </w:r>
      <w:r w:rsidRPr="00FB78C8">
        <w:rPr>
          <w:rFonts w:ascii="Arial" w:eastAsia="Calibri" w:hAnsi="Arial" w:cs="Arial"/>
          <w:bCs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sz w:val="20"/>
          <w:szCs w:val="20"/>
        </w:rPr>
        <w:t>: 0000-0002-1579-2739)</w:t>
      </w:r>
    </w:p>
    <w:p w14:paraId="101F51EB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12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R.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Frías Beneyto </w:t>
      </w:r>
      <w:r w:rsidRPr="00FB78C8">
        <w:rPr>
          <w:rFonts w:ascii="Arial" w:eastAsia="Calibri" w:hAnsi="Arial" w:cs="Arial"/>
          <w:bCs/>
          <w:sz w:val="20"/>
          <w:szCs w:val="20"/>
        </w:rPr>
        <w:t xml:space="preserve">(ORCID </w:t>
      </w:r>
      <w:proofErr w:type="spellStart"/>
      <w:r w:rsidRPr="00FB78C8">
        <w:rPr>
          <w:rFonts w:ascii="Arial" w:eastAsia="Calibri" w:hAnsi="Arial" w:cs="Arial"/>
          <w:bCs/>
          <w:sz w:val="20"/>
          <w:szCs w:val="20"/>
        </w:rPr>
        <w:t>iD</w:t>
      </w:r>
      <w:proofErr w:type="spellEnd"/>
      <w:r w:rsidRPr="00FB78C8">
        <w:rPr>
          <w:rFonts w:ascii="Arial" w:eastAsia="Calibri" w:hAnsi="Arial" w:cs="Arial"/>
          <w:bCs/>
          <w:sz w:val="20"/>
          <w:szCs w:val="20"/>
        </w:rPr>
        <w:t>: 0000-0001-7569-5693)</w:t>
      </w:r>
    </w:p>
    <w:p w14:paraId="1C965B1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3,4</w:t>
      </w:r>
      <w:r w:rsidRPr="00FB78C8">
        <w:rPr>
          <w:rFonts w:ascii="Arial" w:eastAsia="Calibri" w:hAnsi="Arial" w:cs="Arial"/>
          <w:b/>
          <w:sz w:val="20"/>
          <w:szCs w:val="20"/>
        </w:rPr>
        <w:t>Jesús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 xml:space="preserve">Villar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(ORCID </w:t>
      </w:r>
      <w:proofErr w:type="spellStart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: 0000-0001-5687-3562)</w:t>
      </w:r>
    </w:p>
    <w:p w14:paraId="4F308BF1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1,13,14,15</w:t>
      </w:r>
      <w:r w:rsidRPr="00FB78C8">
        <w:rPr>
          <w:rFonts w:ascii="Arial" w:eastAsia="Calibri" w:hAnsi="Arial" w:cs="Arial"/>
          <w:b/>
          <w:sz w:val="20"/>
          <w:szCs w:val="20"/>
        </w:rPr>
        <w:t>J.L.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>Martín-</w:t>
      </w:r>
      <w:proofErr w:type="spellStart"/>
      <w:proofErr w:type="gramStart"/>
      <w:r w:rsidRPr="00FB78C8">
        <w:rPr>
          <w:rFonts w:ascii="Arial" w:eastAsia="Calibri" w:hAnsi="Arial" w:cs="Arial"/>
          <w:b/>
          <w:sz w:val="20"/>
          <w:szCs w:val="20"/>
        </w:rPr>
        <w:t>Barrasa</w:t>
      </w:r>
      <w:proofErr w:type="spellEnd"/>
      <w:r w:rsidRPr="00FB78C8">
        <w:rPr>
          <w:rFonts w:ascii="Arial" w:eastAsia="Calibri" w:hAnsi="Arial" w:cs="Arial"/>
          <w:b/>
          <w:sz w:val="20"/>
          <w:szCs w:val="20"/>
        </w:rPr>
        <w:t xml:space="preserve">, 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</w:t>
      </w:r>
      <w:proofErr w:type="gram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ORCID </w:t>
      </w:r>
      <w:proofErr w:type="spellStart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iD</w:t>
      </w:r>
      <w:proofErr w:type="spellEnd"/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: 0000-0002-3280-9838)</w:t>
      </w:r>
    </w:p>
    <w:p w14:paraId="1475848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B6AF38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510E82B9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FB78C8">
        <w:rPr>
          <w:rFonts w:ascii="Arial" w:eastAsia="Calibri" w:hAnsi="Arial" w:cs="Arial"/>
          <w:color w:val="000000"/>
          <w:sz w:val="20"/>
          <w:szCs w:val="20"/>
          <w:lang w:val="en-US"/>
        </w:rPr>
        <w:t xml:space="preserve">From </w:t>
      </w:r>
    </w:p>
    <w:p w14:paraId="34B9E20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(1) Fish Health and Infectious Diseases Group, University Institute of Animal Health and Food Safety (IUSA), University of Las Palmas de Gran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Canaria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, Carretera de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Trasmontana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 s/n, 35416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Arucas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, Spain;</w:t>
      </w:r>
    </w:p>
    <w:p w14:paraId="5A20F2D2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3D1038A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(2)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Microbiology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Department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. Hospital Universitario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Dr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325B559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4F018D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(3) CIBER de Enfermedades Respiratorias, Instituto de Salud Carlos III, Monforte de Lemos 3-5, Pabellón 11, 28029 Madrid,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39F4C6E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E7FF9D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(4)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Multidisciplinary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Organ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Dysfunction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Evaluation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Research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Network,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Research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Unit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, Hospital Universitario de Gran Canaria Dr.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0E9F959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B3B044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(5) Morphology Department. University Institute of Animal Health and Food Safety (IUSA).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Universidad de Las Palmas de Gran Canaria. Arucas. Las Palmas.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422098C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792A4F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(6)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Pathology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Service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. Hospital Universitario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Dr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4FD0B12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4287824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6F95AA2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(7)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Clinical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Biochemistry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Department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. Hospital Universitario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Dr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5BAEB44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 w:rsidDel="003C4BDB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(8) Banco Español de Algas, Instituto de Oceanografía y Cambio Global, Universidad de Las Palmas de Gran Canaria, Telde,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5845D9B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0ABEDD0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lastRenderedPageBreak/>
        <w:t xml:space="preserve">(9) Banco Español de Algas, Fundación Parque Científico Tecnológico, Universidad de Las Palmas de Gran Canaria, Telde,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57317C2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2074C9A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(10)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Statistics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Service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Research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Unit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, Hospital Universitario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Dr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3B67B05A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3E5538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(11) Barcelona Biomedical Research Park (PRBB), Barcelona, Spain;</w:t>
      </w:r>
    </w:p>
    <w:p w14:paraId="5FC11111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0CB8A28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(12) Comparative Medicine, Karolinska 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Institutet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, Stockholm, Sweden;</w:t>
      </w:r>
    </w:p>
    <w:p w14:paraId="223FD75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06358E6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(13) Animal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Facility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Research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Unit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, Hospital Universitario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Dr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Negrín, Barranco de la Ballena s/n, 35019 Las Palmas de Gran Canaria,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4FA414A6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64B91658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(14) Fundación Canaria del Instituto de Investigación Sanitaria de Canarias (FIISC), Las Palmas de Gran Canaria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;</w:t>
      </w:r>
    </w:p>
    <w:p w14:paraId="2B9B1958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828039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(15) CIBER de Enfermedades Infecciosas (CIBERINFEC), Instituto de Salud Carlos III, Madrid,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Spain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.</w:t>
      </w:r>
    </w:p>
    <w:p w14:paraId="321F4BD1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5AC6A2A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#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Contributed equally</w:t>
      </w:r>
    </w:p>
    <w:p w14:paraId="7271B3E8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</w:p>
    <w:p w14:paraId="0F0FC5CB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6B23AF9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Cambria Math" w:eastAsia="Calibri" w:hAnsi="Cambria Math" w:cs="Cambria Math"/>
          <w:b/>
          <w:color w:val="333333"/>
          <w:sz w:val="20"/>
          <w:szCs w:val="20"/>
          <w:shd w:val="clear" w:color="auto" w:fill="FFFFFF"/>
          <w:lang w:val="en-US"/>
        </w:rPr>
        <w:t>∗</w:t>
      </w:r>
      <w:r w:rsidRPr="00FB78C8">
        <w:rPr>
          <w:rFonts w:ascii="Arial" w:eastAsia="Calibri" w:hAnsi="Arial" w:cs="Arial"/>
          <w:b/>
          <w:color w:val="333333"/>
          <w:sz w:val="20"/>
          <w:szCs w:val="20"/>
          <w:shd w:val="clear" w:color="auto" w:fill="FFFFFF"/>
          <w:lang w:val="en-US"/>
        </w:rPr>
        <w:t xml:space="preserve">Corresponding author: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DF Padilla Castillo</w:t>
      </w:r>
      <w:r w:rsidRPr="00FB78C8">
        <w:rPr>
          <w:rFonts w:ascii="Arial" w:eastAsia="Calibri" w:hAnsi="Arial" w:cs="Arial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Animal Infectious Diseases and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Ictiopathology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, University Institute of Animal Health and Food Safety, Universidad de Las Palmas de Gran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Canaria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, Carretera de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Trasmontaña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 s/n, 35416 </w:t>
      </w:r>
      <w:proofErr w:type="spellStart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Arucas</w:t>
      </w:r>
      <w:proofErr w:type="spellEnd"/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, Spain.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Phone: +(34)928459741. E-mail: daniel.padilla@ulpgc.es</w:t>
      </w:r>
    </w:p>
    <w:p w14:paraId="40B3998A" w14:textId="77777777" w:rsidR="007E1445" w:rsidRDefault="007E1445" w:rsidP="00DD2077">
      <w:pPr>
        <w:spacing w:after="0" w:line="240" w:lineRule="auto"/>
        <w:ind w:right="1985"/>
        <w:jc w:val="both"/>
        <w:rPr>
          <w:rFonts w:ascii="Arial" w:hAnsi="Arial" w:cs="Arial"/>
          <w:sz w:val="28"/>
          <w:szCs w:val="28"/>
          <w:lang w:val="en-GB"/>
        </w:rPr>
      </w:pPr>
    </w:p>
    <w:p w14:paraId="7E832A50" w14:textId="77777777" w:rsidR="00F311F8" w:rsidRDefault="00F311F8" w:rsidP="00DD2077">
      <w:pPr>
        <w:spacing w:after="0" w:line="240" w:lineRule="auto"/>
        <w:ind w:right="1985"/>
        <w:jc w:val="both"/>
        <w:rPr>
          <w:rFonts w:ascii="Arial" w:hAnsi="Arial" w:cs="Arial"/>
          <w:sz w:val="28"/>
          <w:szCs w:val="28"/>
          <w:lang w:val="en-GB"/>
        </w:rPr>
      </w:pPr>
    </w:p>
    <w:p w14:paraId="01D41993" w14:textId="77777777" w:rsidR="007E1445" w:rsidRPr="00F311F8" w:rsidRDefault="007E1445" w:rsidP="00EA0225">
      <w:pPr>
        <w:tabs>
          <w:tab w:val="left" w:pos="1101"/>
        </w:tabs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F311F8">
        <w:rPr>
          <w:rFonts w:ascii="Arial" w:hAnsi="Arial" w:cs="Arial"/>
          <w:b/>
          <w:bCs/>
          <w:sz w:val="20"/>
          <w:szCs w:val="20"/>
          <w:lang w:val="en-GB"/>
        </w:rPr>
        <w:t>Animals</w:t>
      </w:r>
    </w:p>
    <w:p w14:paraId="364234DA" w14:textId="670F1FBA" w:rsidR="00F74D4D" w:rsidRPr="00F311F8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EA0225">
        <w:rPr>
          <w:rFonts w:ascii="Arial" w:hAnsi="Arial" w:cs="Arial"/>
          <w:sz w:val="20"/>
          <w:szCs w:val="20"/>
          <w:lang w:val="en-GB"/>
        </w:rPr>
        <w:t xml:space="preserve">Before the study, all rats underwent a 21-day acclimatization period. Each rat's health was confirmed through individual physical examinations, and they were declared pathogen-free following routine microbiological screening in adherence to European recommendations </w:t>
      </w:r>
      <w:r w:rsidR="007E1445" w:rsidRPr="00F311F8">
        <w:rPr>
          <w:rFonts w:ascii="Arial" w:hAnsi="Arial" w:cs="Arial"/>
          <w:sz w:val="20"/>
          <w:szCs w:val="20"/>
          <w:lang w:val="en-GB"/>
        </w:rPr>
        <w:t>[28]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267BE748" w14:textId="77777777" w:rsidR="00F311F8" w:rsidRDefault="00F311F8" w:rsidP="00EA0225">
      <w:pPr>
        <w:tabs>
          <w:tab w:val="left" w:pos="1101"/>
        </w:tabs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F311F8">
        <w:rPr>
          <w:rFonts w:ascii="Arial" w:hAnsi="Arial" w:cs="Arial"/>
          <w:b/>
          <w:bCs/>
          <w:sz w:val="20"/>
          <w:szCs w:val="20"/>
          <w:lang w:val="en-GB"/>
        </w:rPr>
        <w:t>Preparation of A. faecalis A12C</w:t>
      </w:r>
    </w:p>
    <w:p w14:paraId="157C876A" w14:textId="3093F6A9" w:rsidR="00EA0225" w:rsidRP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proofErr w:type="gramStart"/>
      <w:r w:rsidRPr="00EA0225">
        <w:rPr>
          <w:rFonts w:ascii="Arial" w:hAnsi="Arial" w:cs="Arial"/>
          <w:i/>
          <w:iCs/>
          <w:sz w:val="20"/>
          <w:szCs w:val="20"/>
          <w:lang w:val="en-GB"/>
        </w:rPr>
        <w:t>A.faecalis</w:t>
      </w:r>
      <w:proofErr w:type="spellEnd"/>
      <w:proofErr w:type="gramEnd"/>
      <w:r w:rsidRPr="00EA0225">
        <w:rPr>
          <w:rFonts w:ascii="Arial" w:hAnsi="Arial" w:cs="Arial"/>
          <w:sz w:val="20"/>
          <w:szCs w:val="20"/>
          <w:lang w:val="en-GB"/>
        </w:rPr>
        <w:t xml:space="preserve"> was suspended in drinking mineral water (</w:t>
      </w:r>
      <w:proofErr w:type="spellStart"/>
      <w:r w:rsidRPr="00EA0225">
        <w:rPr>
          <w:rFonts w:ascii="Arial" w:hAnsi="Arial" w:cs="Arial"/>
          <w:sz w:val="20"/>
          <w:szCs w:val="20"/>
          <w:lang w:val="en-GB"/>
        </w:rPr>
        <w:t>Fonteide</w:t>
      </w:r>
      <w:proofErr w:type="spellEnd"/>
      <w:r w:rsidRPr="00EA0225">
        <w:rPr>
          <w:rFonts w:ascii="Arial" w:hAnsi="Arial" w:cs="Arial"/>
          <w:sz w:val="20"/>
          <w:szCs w:val="20"/>
          <w:lang w:val="en-GB"/>
        </w:rPr>
        <w:t>®), and its bacterial concentration was measured at 600 nm using a spectrometer. The suspension was adjusted with mineral water (</w:t>
      </w:r>
      <w:proofErr w:type="spellStart"/>
      <w:r w:rsidRPr="00EA0225">
        <w:rPr>
          <w:rFonts w:ascii="Arial" w:hAnsi="Arial" w:cs="Arial"/>
          <w:sz w:val="20"/>
          <w:szCs w:val="20"/>
          <w:lang w:val="en-GB"/>
        </w:rPr>
        <w:t>Fonteide</w:t>
      </w:r>
      <w:proofErr w:type="spellEnd"/>
      <w:r w:rsidRPr="00EA0225">
        <w:rPr>
          <w:rFonts w:ascii="Arial" w:hAnsi="Arial" w:cs="Arial"/>
          <w:sz w:val="20"/>
          <w:szCs w:val="20"/>
          <w:lang w:val="en-GB"/>
        </w:rPr>
        <w:t>®) to achieve a concentration of 6 × 10</w:t>
      </w:r>
      <w:r w:rsidRPr="001F6C3C">
        <w:rPr>
          <w:rFonts w:ascii="Arial" w:hAnsi="Arial" w:cs="Arial"/>
          <w:sz w:val="20"/>
          <w:szCs w:val="20"/>
          <w:vertAlign w:val="superscript"/>
          <w:lang w:val="en-GB"/>
        </w:rPr>
        <w:t>8</w:t>
      </w:r>
      <w:r w:rsidRPr="00EA0225">
        <w:rPr>
          <w:rFonts w:ascii="Arial" w:hAnsi="Arial" w:cs="Arial"/>
          <w:sz w:val="20"/>
          <w:szCs w:val="20"/>
          <w:lang w:val="en-GB"/>
        </w:rPr>
        <w:t xml:space="preserve"> CFU/</w:t>
      </w:r>
      <w:proofErr w:type="spellStart"/>
      <w:r w:rsidRPr="00EA0225">
        <w:rPr>
          <w:rFonts w:ascii="Arial" w:hAnsi="Arial" w:cs="Arial"/>
          <w:sz w:val="20"/>
          <w:szCs w:val="20"/>
          <w:lang w:val="en-GB"/>
        </w:rPr>
        <w:t>mL.</w:t>
      </w:r>
      <w:proofErr w:type="spellEnd"/>
      <w:r w:rsidRPr="00EA0225">
        <w:rPr>
          <w:rFonts w:ascii="Arial" w:hAnsi="Arial" w:cs="Arial"/>
          <w:sz w:val="20"/>
          <w:szCs w:val="20"/>
          <w:lang w:val="en-GB"/>
        </w:rPr>
        <w:t xml:space="preserve"> This suspension was stored for a maximum of 48 hours at 4 °C, shielded from light, and renewed every 48 hours.</w:t>
      </w:r>
    </w:p>
    <w:p w14:paraId="5F1B522C" w14:textId="73296109" w:rsidR="00F311F8" w:rsidRDefault="00F311F8" w:rsidP="00EA022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F311F8">
        <w:rPr>
          <w:rFonts w:ascii="Arial" w:hAnsi="Arial" w:cs="Arial"/>
          <w:b/>
          <w:bCs/>
          <w:sz w:val="20"/>
          <w:szCs w:val="20"/>
          <w:lang w:val="en-GB"/>
        </w:rPr>
        <w:t xml:space="preserve">Sepsis model </w:t>
      </w:r>
    </w:p>
    <w:p w14:paraId="651ACDBC" w14:textId="7777777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EA0225">
        <w:rPr>
          <w:rFonts w:ascii="Arial" w:hAnsi="Arial" w:cs="Arial"/>
          <w:sz w:val="20"/>
          <w:szCs w:val="20"/>
          <w:lang w:val="en-GB"/>
        </w:rPr>
        <w:t xml:space="preserve">The CLP model was employed to closely replicate human sepsis through peritonitis. Animal welfare was monitored every 8 hours, considering the signs outlined in Supplementary Table 1 </w:t>
      </w:r>
      <w:r w:rsidR="006B3716" w:rsidRPr="00F311F8">
        <w:rPr>
          <w:rFonts w:ascii="Arial" w:hAnsi="Arial" w:cs="Arial"/>
          <w:sz w:val="20"/>
          <w:szCs w:val="20"/>
          <w:lang w:val="en-GB"/>
        </w:rPr>
        <w:t>[30</w:t>
      </w:r>
      <w:r w:rsidR="006B3716">
        <w:rPr>
          <w:rFonts w:ascii="Arial" w:hAnsi="Arial" w:cs="Arial"/>
          <w:sz w:val="20"/>
          <w:szCs w:val="20"/>
          <w:lang w:val="en-GB"/>
        </w:rPr>
        <w:t>]</w:t>
      </w:r>
      <w:r w:rsidR="00206DC3">
        <w:rPr>
          <w:rFonts w:ascii="Arial" w:hAnsi="Arial" w:cs="Arial"/>
          <w:sz w:val="20"/>
          <w:szCs w:val="20"/>
          <w:lang w:val="en-GB"/>
        </w:rPr>
        <w:t>.</w:t>
      </w:r>
      <w:r w:rsidR="00F311F8" w:rsidRPr="00F311F8">
        <w:rPr>
          <w:rFonts w:ascii="Arial" w:hAnsi="Arial" w:cs="Arial"/>
          <w:sz w:val="20"/>
          <w:szCs w:val="20"/>
          <w:lang w:val="en-GB"/>
        </w:rPr>
        <w:t xml:space="preserve"> </w:t>
      </w:r>
      <w:r w:rsidRPr="00EA0225">
        <w:rPr>
          <w:rFonts w:ascii="Arial" w:hAnsi="Arial" w:cs="Arial"/>
          <w:sz w:val="20"/>
          <w:szCs w:val="20"/>
          <w:lang w:val="en-GB"/>
        </w:rPr>
        <w:t>For post-operative pain management, buprenorphine (</w:t>
      </w:r>
      <w:proofErr w:type="spellStart"/>
      <w:r w:rsidRPr="00EA0225">
        <w:rPr>
          <w:rFonts w:ascii="Arial" w:hAnsi="Arial" w:cs="Arial"/>
          <w:sz w:val="20"/>
          <w:szCs w:val="20"/>
          <w:lang w:val="en-GB"/>
        </w:rPr>
        <w:t>Buprex</w:t>
      </w:r>
      <w:proofErr w:type="spellEnd"/>
      <w:r w:rsidRPr="00EA0225">
        <w:rPr>
          <w:rFonts w:ascii="Arial" w:hAnsi="Arial" w:cs="Arial"/>
          <w:sz w:val="20"/>
          <w:szCs w:val="20"/>
          <w:lang w:val="en-GB"/>
        </w:rPr>
        <w:t xml:space="preserve">®, Indivior Europe Ltd, </w:t>
      </w:r>
      <w:r w:rsidRPr="00EA0225">
        <w:rPr>
          <w:rFonts w:ascii="Arial" w:hAnsi="Arial" w:cs="Arial"/>
          <w:sz w:val="20"/>
          <w:szCs w:val="20"/>
          <w:lang w:val="en-GB"/>
        </w:rPr>
        <w:lastRenderedPageBreak/>
        <w:t>Dublin, Ireland) was administered at a dose of 0.05 mg/kg every 8 hours. If the clinical welfare indicators were not met, analgesics could be administered every 6 hours.</w:t>
      </w:r>
    </w:p>
    <w:p w14:paraId="77E1A0B3" w14:textId="2A99B0A7" w:rsidR="00B31537" w:rsidRPr="00F311F8" w:rsidRDefault="00B31537" w:rsidP="00EA022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F311F8">
        <w:rPr>
          <w:rFonts w:ascii="Arial" w:hAnsi="Arial" w:cs="Arial"/>
          <w:b/>
          <w:bCs/>
          <w:sz w:val="20"/>
          <w:szCs w:val="20"/>
          <w:lang w:val="en-US"/>
        </w:rPr>
        <w:t>Blood Count and Blood Chemistry</w:t>
      </w:r>
    </w:p>
    <w:p w14:paraId="5D8E95FF" w14:textId="7777777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 xml:space="preserve">Whole blood samples were drawn from the jugular vein and collected in EDTA K3 vacutainers. Analysis was conducted using an autoanalyzer IDEXX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ProCyte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DxTM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(IDEXX Laboratories Inc., Westbrook, Maine, USA) with settings tailored for rats.</w:t>
      </w:r>
    </w:p>
    <w:p w14:paraId="399B859B" w14:textId="7777777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 xml:space="preserve">Biochemical parameters were assessed using whole blood obtained via cardiac puncture and analyzed with the Cobas 8000 Modular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Analyser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Series (Roche Diagnostics, Basel, Switzerland). </w:t>
      </w:r>
    </w:p>
    <w:p w14:paraId="79FCE255" w14:textId="76085B1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>Serum levels of C-reactive protein (CRP) were determined using an ELISA kit in accordance with the manufacturer's protocol.</w:t>
      </w:r>
    </w:p>
    <w:p w14:paraId="703C8B0F" w14:textId="57F20028" w:rsidR="006D69A2" w:rsidRPr="003D321F" w:rsidRDefault="006D69A2" w:rsidP="00EA0225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3D321F">
        <w:rPr>
          <w:rFonts w:ascii="Arial" w:hAnsi="Arial" w:cs="Arial"/>
          <w:b/>
          <w:sz w:val="20"/>
          <w:szCs w:val="20"/>
          <w:lang w:val="en-US"/>
        </w:rPr>
        <w:t>Cytokine Assays</w:t>
      </w:r>
    </w:p>
    <w:p w14:paraId="4116CCD7" w14:textId="7777777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 xml:space="preserve">Cytokines were quantified via ELISA using a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DuoSet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kit (R&amp;D Systems, Abingdon, United Kingdom), following the manufacturer's instructions. The minimum limits of detection were as follows: IL-1β 10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/mL; IL-6 10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/mL; IL-10 1.8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/mL; TNF-α 2.8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/mL; and IFN-γ 2.7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pg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mL.</w:t>
      </w:r>
      <w:proofErr w:type="spellEnd"/>
    </w:p>
    <w:p w14:paraId="15E65DF5" w14:textId="601FDAB9" w:rsidR="006D69A2" w:rsidRPr="003D321F" w:rsidRDefault="006D69A2" w:rsidP="00EA0225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3D321F">
        <w:rPr>
          <w:rFonts w:ascii="Arial" w:hAnsi="Arial" w:cs="Arial"/>
          <w:b/>
          <w:sz w:val="20"/>
          <w:szCs w:val="20"/>
          <w:lang w:val="en-US"/>
        </w:rPr>
        <w:t>Curdlan Measurement</w:t>
      </w:r>
    </w:p>
    <w:p w14:paraId="20D1CFF7" w14:textId="77777777" w:rsidR="00EA0225" w:rsidRDefault="00EA0225" w:rsidP="00EA0225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>Curdlan content was determined using the K-EBHLG Enzymatic Yeast b-Glucan Assay Kit (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Megazyme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>, Bray, Ireland), with procedures specified by the manufacturer. Samples were lyophilized prior to analysis, and concentrations were expressed as a percentage of curdlan in the dry weight of the samples.</w:t>
      </w:r>
    </w:p>
    <w:p w14:paraId="6C1C090B" w14:textId="1A509787" w:rsidR="00E22F27" w:rsidRPr="00326097" w:rsidRDefault="00E22F27" w:rsidP="00EA0225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26097">
        <w:rPr>
          <w:rFonts w:ascii="Arial" w:hAnsi="Arial" w:cs="Arial"/>
          <w:b/>
          <w:sz w:val="20"/>
          <w:szCs w:val="20"/>
          <w:lang w:val="en-US"/>
        </w:rPr>
        <w:t xml:space="preserve">PLF, BALF and Urine Cytology </w:t>
      </w:r>
    </w:p>
    <w:p w14:paraId="25A1BDBE" w14:textId="77777777" w:rsidR="00EA0225" w:rsidRDefault="00EA0225" w:rsidP="00EA0225">
      <w:pPr>
        <w:spacing w:before="240" w:after="0"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t>Fluid samples were collected in 200 µL K3-EDTA microtubes (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Microvette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, Sarstedt,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Nümbrecht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, Germany) and analyzed using the IDEXX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ProCyte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A0225">
        <w:rPr>
          <w:rFonts w:ascii="Arial" w:hAnsi="Arial" w:cs="Arial"/>
          <w:sz w:val="20"/>
          <w:szCs w:val="20"/>
          <w:lang w:val="en-US"/>
        </w:rPr>
        <w:t>DxTM</w:t>
      </w:r>
      <w:proofErr w:type="spellEnd"/>
      <w:r w:rsidRPr="00EA0225">
        <w:rPr>
          <w:rFonts w:ascii="Arial" w:hAnsi="Arial" w:cs="Arial"/>
          <w:sz w:val="20"/>
          <w:szCs w:val="20"/>
          <w:lang w:val="en-US"/>
        </w:rPr>
        <w:t xml:space="preserve"> automated hematology instrument. The instrument employs flow cytometry with laser light scatter and cell staining to identify various cell types.</w:t>
      </w:r>
    </w:p>
    <w:p w14:paraId="228D341C" w14:textId="2CCF3E9C" w:rsidR="00CB02C1" w:rsidRPr="007A6A06" w:rsidRDefault="00CB02C1" w:rsidP="00EA0225">
      <w:pPr>
        <w:spacing w:before="240" w:after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7A6A06">
        <w:rPr>
          <w:rFonts w:ascii="Arial" w:hAnsi="Arial" w:cs="Arial"/>
          <w:b/>
          <w:sz w:val="20"/>
          <w:szCs w:val="20"/>
          <w:lang w:val="en-US"/>
        </w:rPr>
        <w:t xml:space="preserve">Histological Evaluation and </w:t>
      </w:r>
      <w:r w:rsidRPr="007A6A06">
        <w:rPr>
          <w:rFonts w:ascii="Arial" w:hAnsi="Arial" w:cs="Arial"/>
          <w:b/>
          <w:bCs/>
          <w:sz w:val="20"/>
          <w:szCs w:val="20"/>
          <w:lang w:val="en-US"/>
        </w:rPr>
        <w:t>Wet-to-Dry Lung Weight Ratio</w:t>
      </w:r>
    </w:p>
    <w:p w14:paraId="15EE0756" w14:textId="3360166D" w:rsidR="004657B7" w:rsidRPr="00326097" w:rsidRDefault="00EA0225" w:rsidP="00EA0225">
      <w:pPr>
        <w:spacing w:before="240" w:after="0" w:line="48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0225">
        <w:rPr>
          <w:rFonts w:ascii="Arial" w:hAnsi="Arial" w:cs="Arial"/>
          <w:sz w:val="20"/>
          <w:szCs w:val="20"/>
          <w:lang w:val="en-US"/>
        </w:rPr>
        <w:lastRenderedPageBreak/>
        <w:t>Organ samples from the second phase of the experiment were preserved in 4% formalin for 24 hours, embedded in paraffin, and sectioned into 4µ sections for histological examination. Slides were stained with hematoxylin-eosin and examined using a light microscope. Additionally, kidney and liver samples were stained with periodic acid-Schiff reagent (PAS).</w:t>
      </w:r>
    </w:p>
    <w:sectPr w:rsidR="004657B7" w:rsidRPr="00326097" w:rsidSect="00274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4F"/>
    <w:rsid w:val="00037D95"/>
    <w:rsid w:val="00047D1B"/>
    <w:rsid w:val="000527F9"/>
    <w:rsid w:val="000874D6"/>
    <w:rsid w:val="00091288"/>
    <w:rsid w:val="000A0ECF"/>
    <w:rsid w:val="000E5111"/>
    <w:rsid w:val="00194BE7"/>
    <w:rsid w:val="001B0AF1"/>
    <w:rsid w:val="001C0569"/>
    <w:rsid w:val="001F6C3C"/>
    <w:rsid w:val="00203927"/>
    <w:rsid w:val="00206DC3"/>
    <w:rsid w:val="002113A0"/>
    <w:rsid w:val="00235874"/>
    <w:rsid w:val="00242762"/>
    <w:rsid w:val="00255AF3"/>
    <w:rsid w:val="00274D8A"/>
    <w:rsid w:val="00283597"/>
    <w:rsid w:val="00283A77"/>
    <w:rsid w:val="00285ABE"/>
    <w:rsid w:val="002F553F"/>
    <w:rsid w:val="00326097"/>
    <w:rsid w:val="00337519"/>
    <w:rsid w:val="003B0AC1"/>
    <w:rsid w:val="003C3FCB"/>
    <w:rsid w:val="003D2A34"/>
    <w:rsid w:val="00405932"/>
    <w:rsid w:val="00442BDB"/>
    <w:rsid w:val="004657B7"/>
    <w:rsid w:val="004A0BFF"/>
    <w:rsid w:val="004B2B07"/>
    <w:rsid w:val="004E5875"/>
    <w:rsid w:val="005048D4"/>
    <w:rsid w:val="00512F00"/>
    <w:rsid w:val="0054043E"/>
    <w:rsid w:val="005519EB"/>
    <w:rsid w:val="005776B1"/>
    <w:rsid w:val="00584CF5"/>
    <w:rsid w:val="0059660B"/>
    <w:rsid w:val="005D4001"/>
    <w:rsid w:val="006076F7"/>
    <w:rsid w:val="00641856"/>
    <w:rsid w:val="006B3716"/>
    <w:rsid w:val="006D69A2"/>
    <w:rsid w:val="00707999"/>
    <w:rsid w:val="007722D4"/>
    <w:rsid w:val="007850DE"/>
    <w:rsid w:val="0078597D"/>
    <w:rsid w:val="00791389"/>
    <w:rsid w:val="007B0B18"/>
    <w:rsid w:val="007C1EF9"/>
    <w:rsid w:val="007E1445"/>
    <w:rsid w:val="0083538D"/>
    <w:rsid w:val="008833ED"/>
    <w:rsid w:val="008A70C5"/>
    <w:rsid w:val="008F68EC"/>
    <w:rsid w:val="0090211F"/>
    <w:rsid w:val="00923091"/>
    <w:rsid w:val="00926E0D"/>
    <w:rsid w:val="00967F6B"/>
    <w:rsid w:val="00997F49"/>
    <w:rsid w:val="00A02CDF"/>
    <w:rsid w:val="00AA2B1E"/>
    <w:rsid w:val="00B31537"/>
    <w:rsid w:val="00B31C17"/>
    <w:rsid w:val="00B463A3"/>
    <w:rsid w:val="00B85B1B"/>
    <w:rsid w:val="00C72E3F"/>
    <w:rsid w:val="00C9074F"/>
    <w:rsid w:val="00CB02C1"/>
    <w:rsid w:val="00CF6D85"/>
    <w:rsid w:val="00D16E95"/>
    <w:rsid w:val="00D334BB"/>
    <w:rsid w:val="00DD2077"/>
    <w:rsid w:val="00E04FF0"/>
    <w:rsid w:val="00E22F27"/>
    <w:rsid w:val="00E42E4D"/>
    <w:rsid w:val="00EA0225"/>
    <w:rsid w:val="00EB3A98"/>
    <w:rsid w:val="00F311F8"/>
    <w:rsid w:val="00F426ED"/>
    <w:rsid w:val="00F5682D"/>
    <w:rsid w:val="00F63671"/>
    <w:rsid w:val="00F74D4D"/>
    <w:rsid w:val="00F81C50"/>
    <w:rsid w:val="00FA05FE"/>
    <w:rsid w:val="00FB7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2A50"/>
  <w15:docId w15:val="{EDDAD584-A9CE-45E1-ABD4-FFE2CEB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90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per">
    <w:name w:val="paper"/>
    <w:basedOn w:val="Tablanormal"/>
    <w:uiPriority w:val="99"/>
    <w:qFormat/>
    <w:rsid w:val="000E5111"/>
    <w:pPr>
      <w:spacing w:after="0" w:line="240" w:lineRule="auto"/>
      <w:jc w:val="right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  <w:tblStylePr w:type="firstRow">
      <w:pPr>
        <w:keepNext/>
        <w:keepLines/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color w:val="auto"/>
        <w:sz w:val="20"/>
      </w:rPr>
      <w:tblPr/>
      <w:tcPr>
        <w:shd w:val="clear" w:color="auto" w:fill="F2F2F2" w:themeFill="background1" w:themeFillShade="F2"/>
      </w:tcPr>
    </w:tblStylePr>
    <w:tblStylePr w:type="lastRow">
      <w:rPr>
        <w:rFonts w:asciiTheme="minorHAnsi" w:hAnsiTheme="minorHAnsi"/>
        <w:i/>
        <w:sz w:val="20"/>
      </w:rPr>
      <w:tblPr/>
      <w:tcPr>
        <w:shd w:val="clear" w:color="auto" w:fill="FBE4D5" w:themeFill="accent2" w:themeFillTint="33"/>
      </w:tcPr>
    </w:tblStylePr>
    <w:tblStylePr w:type="firstCol">
      <w:pPr>
        <w:jc w:val="left"/>
      </w:pPr>
      <w:rPr>
        <w:rFonts w:asciiTheme="minorHAnsi" w:hAnsiTheme="minorHAnsi"/>
        <w:sz w:val="20"/>
      </w:rPr>
    </w:tblStylePr>
    <w:tblStylePr w:type="lastCol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insideV w:val="nil"/>
        </w:tcBorders>
      </w:tc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</w:style>
  <w:style w:type="character" w:styleId="Hipervnculo">
    <w:name w:val="Hyperlink"/>
    <w:basedOn w:val="Fuentedeprrafopredeter"/>
    <w:uiPriority w:val="99"/>
    <w:unhideWhenUsed/>
    <w:rsid w:val="0040593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932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30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309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EB3A9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3A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3A9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28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1018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García</dc:creator>
  <cp:keywords/>
  <dc:description/>
  <cp:lastModifiedBy>Carlos Martel Benítez</cp:lastModifiedBy>
  <cp:revision>27</cp:revision>
  <dcterms:created xsi:type="dcterms:W3CDTF">2021-02-01T11:00:00Z</dcterms:created>
  <dcterms:modified xsi:type="dcterms:W3CDTF">2023-11-02T10:52:00Z</dcterms:modified>
</cp:coreProperties>
</file>