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5E45" w14:textId="7E6474F3" w:rsidR="00261E3E" w:rsidRDefault="00261E3E" w:rsidP="00261E3E">
      <w:pPr>
        <w:spacing w:line="480" w:lineRule="auto"/>
        <w:jc w:val="both"/>
        <w:rPr>
          <w:rFonts w:ascii="Times New Roman" w:hAnsi="Times New Roman" w:cs="Times New Roman"/>
          <w:b/>
          <w:bCs/>
          <w:sz w:val="24"/>
          <w:szCs w:val="24"/>
          <w:lang w:val="en-AU"/>
        </w:rPr>
      </w:pPr>
      <w:r>
        <w:rPr>
          <w:rFonts w:ascii="Times New Roman" w:hAnsi="Times New Roman" w:cs="Times New Roman"/>
          <w:b/>
          <w:bCs/>
          <w:sz w:val="24"/>
          <w:szCs w:val="24"/>
          <w:lang w:val="en-AU"/>
        </w:rPr>
        <w:t>SUPPLEMENTARY</w:t>
      </w:r>
    </w:p>
    <w:p w14:paraId="7BF16B4E" w14:textId="37E9693F" w:rsidR="00261E3E" w:rsidRPr="00261E3E" w:rsidRDefault="00261E3E" w:rsidP="00261E3E">
      <w:pPr>
        <w:spacing w:line="480" w:lineRule="auto"/>
        <w:jc w:val="both"/>
        <w:rPr>
          <w:rFonts w:ascii="Times New Roman" w:hAnsi="Times New Roman" w:cs="Times New Roman"/>
          <w:b/>
          <w:bCs/>
          <w:sz w:val="24"/>
          <w:szCs w:val="24"/>
          <w:lang w:val="en-AU"/>
        </w:rPr>
      </w:pPr>
      <w:r w:rsidRPr="00261E3E">
        <w:rPr>
          <w:rFonts w:ascii="Times New Roman" w:hAnsi="Times New Roman" w:cs="Times New Roman"/>
          <w:b/>
          <w:bCs/>
          <w:sz w:val="24"/>
          <w:szCs w:val="24"/>
          <w:lang w:val="en-AU"/>
        </w:rPr>
        <w:t>GVHD prophylaxis</w:t>
      </w:r>
    </w:p>
    <w:p w14:paraId="6E2B235F" w14:textId="3DCCFC22" w:rsidR="00261E3E" w:rsidRDefault="00261E3E" w:rsidP="00261E3E">
      <w:pPr>
        <w:spacing w:line="480" w:lineRule="auto"/>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GVHD prophylaxis included anti-thymocyte globulin (ATG), Ciclosporin-A (CSA), and Methotrexate for transplant from a matched unrelated donor and one antigen mismatched related donor. For the matched related donors, GVHD prophylaxis was performed with CSA and Methotrexate when the stem cell source was bone marrow, and ATG was added when the stem cell source was peripheral blood. </w:t>
      </w:r>
      <w:r w:rsidRPr="00E9452F">
        <w:rPr>
          <w:rFonts w:ascii="Times New Roman" w:hAnsi="Times New Roman" w:cs="Times New Roman"/>
          <w:sz w:val="24"/>
          <w:szCs w:val="24"/>
          <w:lang w:val="en-AU"/>
        </w:rPr>
        <w:t xml:space="preserve">In </w:t>
      </w:r>
      <w:r>
        <w:rPr>
          <w:rFonts w:ascii="Times New Roman" w:hAnsi="Times New Roman" w:cs="Times New Roman"/>
          <w:sz w:val="24"/>
          <w:szCs w:val="24"/>
          <w:lang w:val="en-AU"/>
        </w:rPr>
        <w:t xml:space="preserve">the </w:t>
      </w:r>
      <w:r w:rsidRPr="00E9452F">
        <w:rPr>
          <w:rFonts w:ascii="Times New Roman" w:hAnsi="Times New Roman" w:cs="Times New Roman"/>
          <w:sz w:val="24"/>
          <w:szCs w:val="24"/>
          <w:lang w:val="en-AU"/>
        </w:rPr>
        <w:t xml:space="preserve">case of </w:t>
      </w:r>
      <w:r>
        <w:rPr>
          <w:rFonts w:ascii="Times New Roman" w:hAnsi="Times New Roman" w:cs="Times New Roman"/>
          <w:sz w:val="24"/>
          <w:szCs w:val="24"/>
          <w:lang w:val="en-AU"/>
        </w:rPr>
        <w:t xml:space="preserve">a </w:t>
      </w:r>
      <w:r w:rsidRPr="00E9452F">
        <w:rPr>
          <w:rFonts w:ascii="Times New Roman" w:hAnsi="Times New Roman" w:cs="Times New Roman"/>
          <w:sz w:val="24"/>
          <w:szCs w:val="24"/>
          <w:lang w:val="en-AU"/>
        </w:rPr>
        <w:t>related haploidentical donor, G</w:t>
      </w:r>
      <w:r>
        <w:rPr>
          <w:rFonts w:ascii="Times New Roman" w:hAnsi="Times New Roman" w:cs="Times New Roman"/>
          <w:sz w:val="24"/>
          <w:szCs w:val="24"/>
          <w:lang w:val="en-AU"/>
        </w:rPr>
        <w:t>V</w:t>
      </w:r>
      <w:r w:rsidRPr="00E9452F">
        <w:rPr>
          <w:rFonts w:ascii="Times New Roman" w:hAnsi="Times New Roman" w:cs="Times New Roman"/>
          <w:sz w:val="24"/>
          <w:szCs w:val="24"/>
          <w:lang w:val="en-AU"/>
        </w:rPr>
        <w:t>HD prophylaxis included</w:t>
      </w:r>
      <w:r>
        <w:rPr>
          <w:rFonts w:ascii="Times New Roman" w:hAnsi="Times New Roman" w:cs="Times New Roman"/>
          <w:sz w:val="24"/>
          <w:szCs w:val="24"/>
          <w:lang w:val="en-AU"/>
        </w:rPr>
        <w:t xml:space="preserve"> post-transplant Cyclophosphamide</w:t>
      </w:r>
      <w:r w:rsidRPr="00E9452F">
        <w:rPr>
          <w:rFonts w:ascii="Times New Roman" w:hAnsi="Times New Roman" w:cs="Times New Roman"/>
          <w:sz w:val="24"/>
          <w:szCs w:val="24"/>
          <w:lang w:val="en-AU"/>
        </w:rPr>
        <w:t xml:space="preserve"> </w:t>
      </w:r>
      <w:r>
        <w:rPr>
          <w:rFonts w:ascii="Times New Roman" w:hAnsi="Times New Roman" w:cs="Times New Roman"/>
          <w:sz w:val="24"/>
          <w:szCs w:val="24"/>
          <w:lang w:val="en-AU"/>
        </w:rPr>
        <w:t>(</w:t>
      </w:r>
      <w:proofErr w:type="spellStart"/>
      <w:r w:rsidRPr="00E9452F">
        <w:rPr>
          <w:rFonts w:ascii="Times New Roman" w:hAnsi="Times New Roman" w:cs="Times New Roman"/>
          <w:sz w:val="24"/>
          <w:szCs w:val="24"/>
          <w:lang w:val="en-AU"/>
        </w:rPr>
        <w:t>PTCy</w:t>
      </w:r>
      <w:proofErr w:type="spellEnd"/>
      <w:r>
        <w:rPr>
          <w:rFonts w:ascii="Times New Roman" w:hAnsi="Times New Roman" w:cs="Times New Roman"/>
          <w:sz w:val="24"/>
          <w:szCs w:val="24"/>
          <w:lang w:val="en-AU"/>
        </w:rPr>
        <w:t>)</w:t>
      </w:r>
      <w:r w:rsidRPr="00E9452F">
        <w:rPr>
          <w:rFonts w:ascii="Times New Roman" w:hAnsi="Times New Roman" w:cs="Times New Roman"/>
          <w:sz w:val="24"/>
          <w:szCs w:val="24"/>
          <w:lang w:val="en-AU"/>
        </w:rPr>
        <w:t xml:space="preserve"> at 50 mg/kg/day on </w:t>
      </w:r>
      <w:r>
        <w:rPr>
          <w:rFonts w:ascii="Times New Roman" w:hAnsi="Times New Roman" w:cs="Times New Roman"/>
          <w:sz w:val="24"/>
          <w:szCs w:val="24"/>
          <w:lang w:val="en-AU"/>
        </w:rPr>
        <w:t>days</w:t>
      </w:r>
      <w:r w:rsidRPr="00E9452F">
        <w:rPr>
          <w:rFonts w:ascii="Times New Roman" w:hAnsi="Times New Roman" w:cs="Times New Roman"/>
          <w:sz w:val="24"/>
          <w:szCs w:val="24"/>
          <w:lang w:val="en-AU"/>
        </w:rPr>
        <w:t xml:space="preserve"> 3 and 4 after </w:t>
      </w:r>
      <w:proofErr w:type="spellStart"/>
      <w:r w:rsidRPr="00E9452F">
        <w:rPr>
          <w:rFonts w:ascii="Times New Roman" w:hAnsi="Times New Roman" w:cs="Times New Roman"/>
          <w:sz w:val="24"/>
          <w:szCs w:val="24"/>
          <w:lang w:val="en-AU"/>
        </w:rPr>
        <w:t>allo</w:t>
      </w:r>
      <w:proofErr w:type="spellEnd"/>
      <w:r w:rsidRPr="00E9452F">
        <w:rPr>
          <w:rFonts w:ascii="Times New Roman" w:hAnsi="Times New Roman" w:cs="Times New Roman"/>
          <w:sz w:val="24"/>
          <w:szCs w:val="24"/>
          <w:lang w:val="en-AU"/>
        </w:rPr>
        <w:t>-HCT</w:t>
      </w:r>
      <w:r>
        <w:rPr>
          <w:rFonts w:ascii="Times New Roman" w:hAnsi="Times New Roman" w:cs="Times New Roman"/>
          <w:sz w:val="24"/>
          <w:szCs w:val="24"/>
          <w:lang w:val="en-AU"/>
        </w:rPr>
        <w:t>, CSA from day +5, and mofetil mycophenolate from day +5 until day +35 after transplant</w:t>
      </w:r>
      <w:r w:rsidRPr="00E9452F">
        <w:rPr>
          <w:rFonts w:ascii="Times New Roman" w:hAnsi="Times New Roman" w:cs="Times New Roman"/>
          <w:sz w:val="24"/>
          <w:szCs w:val="24"/>
          <w:lang w:val="en-AU"/>
        </w:rPr>
        <w:t>.</w:t>
      </w:r>
    </w:p>
    <w:p w14:paraId="3D5283DC" w14:textId="773921DB" w:rsidR="00261E3E" w:rsidRPr="00261E3E" w:rsidRDefault="00261E3E" w:rsidP="00261E3E">
      <w:pPr>
        <w:spacing w:line="480" w:lineRule="auto"/>
        <w:jc w:val="both"/>
        <w:rPr>
          <w:rFonts w:ascii="Times New Roman" w:hAnsi="Times New Roman" w:cs="Times New Roman"/>
          <w:b/>
          <w:bCs/>
          <w:sz w:val="24"/>
          <w:szCs w:val="24"/>
          <w:lang w:val="en-AU"/>
        </w:rPr>
      </w:pPr>
      <w:r>
        <w:rPr>
          <w:rFonts w:ascii="Times New Roman" w:hAnsi="Times New Roman" w:cs="Times New Roman"/>
          <w:b/>
          <w:bCs/>
          <w:sz w:val="24"/>
          <w:szCs w:val="24"/>
          <w:lang w:val="en-AU"/>
        </w:rPr>
        <w:t xml:space="preserve">Engraftment </w:t>
      </w:r>
      <w:r w:rsidRPr="00261E3E">
        <w:rPr>
          <w:rFonts w:ascii="Times New Roman" w:hAnsi="Times New Roman" w:cs="Times New Roman"/>
          <w:b/>
          <w:bCs/>
          <w:sz w:val="24"/>
          <w:szCs w:val="24"/>
          <w:lang w:val="en-AU"/>
        </w:rPr>
        <w:t>Definitions and Transfusion Policy</w:t>
      </w:r>
    </w:p>
    <w:p w14:paraId="2199659E" w14:textId="77777777" w:rsidR="00261E3E" w:rsidRPr="00CC65AF" w:rsidRDefault="00261E3E" w:rsidP="00261E3E">
      <w:pPr>
        <w:spacing w:line="480" w:lineRule="auto"/>
        <w:jc w:val="both"/>
        <w:rPr>
          <w:rFonts w:ascii="Times New Roman" w:hAnsi="Times New Roman" w:cs="Times New Roman"/>
          <w:sz w:val="24"/>
          <w:szCs w:val="24"/>
        </w:rPr>
      </w:pPr>
      <w:r>
        <w:rPr>
          <w:rFonts w:ascii="Times New Roman" w:hAnsi="Times New Roman" w:cs="Times New Roman"/>
          <w:sz w:val="24"/>
          <w:szCs w:val="24"/>
        </w:rPr>
        <w:t>Neutrophil engraftment was</w:t>
      </w:r>
      <w:r w:rsidRPr="00CE752C">
        <w:rPr>
          <w:rFonts w:ascii="Times New Roman" w:hAnsi="Times New Roman" w:cs="Times New Roman"/>
          <w:sz w:val="24"/>
          <w:szCs w:val="24"/>
        </w:rPr>
        <w:t xml:space="preserve"> defined as the first of 3 consecutive days with an absolute neutro</w:t>
      </w:r>
      <w:r>
        <w:rPr>
          <w:rFonts w:ascii="Times New Roman" w:hAnsi="Times New Roman" w:cs="Times New Roman"/>
          <w:sz w:val="24"/>
          <w:szCs w:val="24"/>
        </w:rPr>
        <w:t>phil count higher than 0.5 × 10</w:t>
      </w:r>
      <w:r>
        <w:rPr>
          <w:rFonts w:ascii="Times New Roman" w:hAnsi="Times New Roman" w:cs="Times New Roman"/>
          <w:sz w:val="24"/>
          <w:szCs w:val="24"/>
          <w:vertAlign w:val="superscript"/>
        </w:rPr>
        <w:t>9</w:t>
      </w:r>
      <w:r w:rsidRPr="00CE752C">
        <w:rPr>
          <w:rFonts w:ascii="Times New Roman" w:hAnsi="Times New Roman" w:cs="Times New Roman"/>
          <w:sz w:val="24"/>
          <w:szCs w:val="24"/>
        </w:rPr>
        <w:t>/L</w:t>
      </w:r>
      <w:r>
        <w:rPr>
          <w:rFonts w:ascii="Times New Roman" w:hAnsi="Times New Roman" w:cs="Times New Roman"/>
          <w:sz w:val="24"/>
          <w:szCs w:val="24"/>
        </w:rPr>
        <w:t xml:space="preserve">. Platelet engraftment was defined </w:t>
      </w:r>
      <w:r w:rsidRPr="00CE752C">
        <w:rPr>
          <w:rFonts w:ascii="Times New Roman" w:hAnsi="Times New Roman" w:cs="Times New Roman"/>
          <w:sz w:val="24"/>
          <w:szCs w:val="24"/>
        </w:rPr>
        <w:t xml:space="preserve">as the first of 3 consecutive days with </w:t>
      </w:r>
      <w:r>
        <w:rPr>
          <w:rFonts w:ascii="Times New Roman" w:hAnsi="Times New Roman" w:cs="Times New Roman"/>
          <w:sz w:val="24"/>
          <w:szCs w:val="24"/>
        </w:rPr>
        <w:t>a sustained platelet count higher than &gt;20 × 10</w:t>
      </w:r>
      <w:r>
        <w:rPr>
          <w:rFonts w:ascii="Times New Roman" w:hAnsi="Times New Roman" w:cs="Times New Roman"/>
          <w:sz w:val="24"/>
          <w:szCs w:val="24"/>
          <w:vertAlign w:val="superscript"/>
        </w:rPr>
        <w:t>9</w:t>
      </w:r>
      <w:r w:rsidRPr="00CE752C">
        <w:rPr>
          <w:rFonts w:ascii="Times New Roman" w:hAnsi="Times New Roman" w:cs="Times New Roman"/>
          <w:sz w:val="24"/>
          <w:szCs w:val="24"/>
        </w:rPr>
        <w:t>/L platelets</w:t>
      </w:r>
      <w:r>
        <w:rPr>
          <w:rFonts w:ascii="Times New Roman" w:hAnsi="Times New Roman" w:cs="Times New Roman"/>
          <w:sz w:val="24"/>
          <w:szCs w:val="24"/>
        </w:rPr>
        <w:t>. Patients were defined as transfusion-independent when they did not receive any transfusion for at least three months</w:t>
      </w:r>
      <w:sdt>
        <w:sdtPr>
          <w:rPr>
            <w:rFonts w:ascii="Times New Roman" w:hAnsi="Times New Roman" w:cs="Times New Roman"/>
            <w:color w:val="000000"/>
            <w:sz w:val="24"/>
            <w:szCs w:val="24"/>
            <w:vertAlign w:val="superscript"/>
          </w:rPr>
          <w:tag w:val="MENDELEY_CITATION_v3_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"/>
          <w:id w:val="-873696106"/>
          <w:placeholder>
            <w:docPart w:val="05519BF174BB4E4A8F2A76FA5CE845CA"/>
          </w:placeholder>
        </w:sdtPr>
        <w:sdtContent>
          <w:r w:rsidRPr="005C04BB">
            <w:rPr>
              <w:rFonts w:ascii="Times New Roman" w:hAnsi="Times New Roman" w:cs="Times New Roman"/>
              <w:color w:val="000000"/>
              <w:sz w:val="24"/>
              <w:szCs w:val="24"/>
              <w:vertAlign w:val="superscript"/>
            </w:rPr>
            <w:t>17</w:t>
          </w:r>
        </w:sdtContent>
      </w:sdt>
      <w:r>
        <w:t xml:space="preserve">.  </w:t>
      </w:r>
    </w:p>
    <w:p w14:paraId="14DC17F2" w14:textId="77777777" w:rsidR="00261E3E" w:rsidRDefault="00261E3E" w:rsidP="00261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Primary graft failure was defined as ANC &lt;0.5 × 10</w:t>
      </w:r>
      <w:r>
        <w:rPr>
          <w:rFonts w:ascii="Times New Roman" w:hAnsi="Times New Roman" w:cs="Times New Roman"/>
          <w:sz w:val="24"/>
          <w:szCs w:val="24"/>
          <w:vertAlign w:val="superscript"/>
        </w:rPr>
        <w:t>9</w:t>
      </w:r>
      <w:r>
        <w:rPr>
          <w:rFonts w:ascii="Times New Roman" w:hAnsi="Times New Roman" w:cs="Times New Roman"/>
          <w:sz w:val="24"/>
          <w:szCs w:val="24"/>
        </w:rPr>
        <w:t>/L by day +28 after transplant, h</w:t>
      </w:r>
      <w:r w:rsidRPr="00200732">
        <w:rPr>
          <w:rFonts w:ascii="Times New Roman" w:hAnsi="Times New Roman" w:cs="Times New Roman"/>
          <w:sz w:val="24"/>
          <w:szCs w:val="24"/>
        </w:rPr>
        <w:t>e</w:t>
      </w:r>
      <w:r>
        <w:rPr>
          <w:rFonts w:ascii="Times New Roman" w:hAnsi="Times New Roman" w:cs="Times New Roman"/>
          <w:sz w:val="24"/>
          <w:szCs w:val="24"/>
        </w:rPr>
        <w:t xml:space="preserve">moglobin &lt;80 g/L, and platelets </w:t>
      </w:r>
      <w:r w:rsidRPr="00200732">
        <w:rPr>
          <w:rFonts w:ascii="Times New Roman" w:hAnsi="Times New Roman" w:cs="Times New Roman"/>
          <w:sz w:val="24"/>
          <w:szCs w:val="24"/>
        </w:rPr>
        <w:t>&lt;20 × 1</w:t>
      </w:r>
      <w:r>
        <w:rPr>
          <w:rFonts w:ascii="Times New Roman" w:hAnsi="Times New Roman" w:cs="Times New Roman"/>
          <w:sz w:val="24"/>
          <w:szCs w:val="24"/>
        </w:rPr>
        <w:t>0</w:t>
      </w:r>
      <w:r>
        <w:rPr>
          <w:rFonts w:ascii="Times New Roman" w:hAnsi="Times New Roman" w:cs="Times New Roman"/>
          <w:sz w:val="24"/>
          <w:szCs w:val="24"/>
          <w:vertAlign w:val="superscript"/>
        </w:rPr>
        <w:t>9</w:t>
      </w:r>
      <w:r w:rsidRPr="00200732">
        <w:rPr>
          <w:rFonts w:ascii="Times New Roman" w:hAnsi="Times New Roman" w:cs="Times New Roman"/>
          <w:sz w:val="24"/>
          <w:szCs w:val="24"/>
        </w:rPr>
        <w:t>/L</w:t>
      </w:r>
      <w:r>
        <w:rPr>
          <w:rFonts w:ascii="Times New Roman" w:hAnsi="Times New Roman" w:cs="Times New Roman"/>
          <w:sz w:val="24"/>
          <w:szCs w:val="24"/>
        </w:rPr>
        <w:t>, with c</w:t>
      </w:r>
      <w:r w:rsidRPr="00200732">
        <w:rPr>
          <w:rFonts w:ascii="Times New Roman" w:hAnsi="Times New Roman" w:cs="Times New Roman"/>
          <w:sz w:val="24"/>
          <w:szCs w:val="24"/>
        </w:rPr>
        <w:t xml:space="preserve">onfirmation of donor cell origin </w:t>
      </w:r>
      <w:r>
        <w:rPr>
          <w:rFonts w:ascii="Times New Roman" w:hAnsi="Times New Roman" w:cs="Times New Roman"/>
          <w:sz w:val="24"/>
          <w:szCs w:val="24"/>
        </w:rPr>
        <w:t>required for RIC regimen transplant. Secondary graft failure was defined as ANC &lt;0.5 × 10</w:t>
      </w:r>
      <w:r>
        <w:rPr>
          <w:rFonts w:ascii="Times New Roman" w:hAnsi="Times New Roman" w:cs="Times New Roman"/>
          <w:sz w:val="24"/>
          <w:szCs w:val="24"/>
          <w:vertAlign w:val="superscript"/>
        </w:rPr>
        <w:t>9</w:t>
      </w:r>
      <w:r>
        <w:rPr>
          <w:rFonts w:ascii="Times New Roman" w:hAnsi="Times New Roman" w:cs="Times New Roman"/>
          <w:sz w:val="24"/>
          <w:szCs w:val="24"/>
        </w:rPr>
        <w:t>/L after initial engraftment not related to relapse, infection, or drug toxicity. For RIC transplant, requires the loss of donor hematopoiesis to &lt; 5%</w:t>
      </w:r>
      <w:sdt>
        <w:sdtPr>
          <w:rPr>
            <w:rFonts w:ascii="Times New Roman" w:hAnsi="Times New Roman" w:cs="Times New Roman"/>
            <w:color w:val="000000"/>
            <w:sz w:val="24"/>
            <w:szCs w:val="24"/>
            <w:vertAlign w:val="superscript"/>
          </w:rPr>
          <w:tag w:val="MENDELEY_CITATION_v3_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"/>
          <w:id w:val="-2065712864"/>
          <w:placeholder>
            <w:docPart w:val="05519BF174BB4E4A8F2A76FA5CE845CA"/>
          </w:placeholder>
        </w:sdtPr>
        <w:sdtContent>
          <w:r w:rsidRPr="005C04BB">
            <w:rPr>
              <w:rFonts w:ascii="Times New Roman" w:hAnsi="Times New Roman" w:cs="Times New Roman"/>
              <w:color w:val="000000"/>
              <w:sz w:val="24"/>
              <w:szCs w:val="24"/>
              <w:vertAlign w:val="superscript"/>
            </w:rPr>
            <w:t>18</w:t>
          </w:r>
        </w:sdtContent>
      </w:sdt>
      <w:r>
        <w:rPr>
          <w:rFonts w:ascii="Times New Roman" w:hAnsi="Times New Roman" w:cs="Times New Roman"/>
          <w:sz w:val="24"/>
          <w:szCs w:val="24"/>
        </w:rPr>
        <w:t xml:space="preserve">. </w:t>
      </w:r>
    </w:p>
    <w:p w14:paraId="5A8F6592" w14:textId="77777777" w:rsidR="00261E3E" w:rsidRDefault="00261E3E" w:rsidP="00261E3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Poor graft function was defined </w:t>
      </w:r>
      <w:r w:rsidRPr="00AE6418">
        <w:rPr>
          <w:rFonts w:ascii="Times New Roman" w:hAnsi="Times New Roman" w:cs="Times New Roman"/>
          <w:sz w:val="24"/>
          <w:szCs w:val="24"/>
        </w:rPr>
        <w:t xml:space="preserve">as </w:t>
      </w:r>
      <w:r>
        <w:rPr>
          <w:rFonts w:ascii="Times New Roman" w:hAnsi="Times New Roman" w:cs="Times New Roman"/>
          <w:sz w:val="24"/>
          <w:szCs w:val="24"/>
        </w:rPr>
        <w:t xml:space="preserve">two or three </w:t>
      </w:r>
      <w:proofErr w:type="spellStart"/>
      <w:r>
        <w:rPr>
          <w:rFonts w:ascii="Times New Roman" w:hAnsi="Times New Roman" w:cs="Times New Roman"/>
          <w:sz w:val="24"/>
          <w:szCs w:val="24"/>
        </w:rPr>
        <w:t>cytopenias</w:t>
      </w:r>
      <w:proofErr w:type="spellEnd"/>
      <w:r>
        <w:rPr>
          <w:rFonts w:ascii="Times New Roman" w:hAnsi="Times New Roman" w:cs="Times New Roman"/>
          <w:sz w:val="24"/>
          <w:szCs w:val="24"/>
        </w:rPr>
        <w:t xml:space="preserve"> lasting for more than </w:t>
      </w:r>
      <w:r w:rsidRPr="00AE6418">
        <w:rPr>
          <w:rFonts w:ascii="Times New Roman" w:hAnsi="Times New Roman" w:cs="Times New Roman"/>
          <w:sz w:val="24"/>
          <w:szCs w:val="24"/>
        </w:rPr>
        <w:t>2 weeks, after day +28</w:t>
      </w:r>
      <w:r>
        <w:rPr>
          <w:rFonts w:ascii="Times New Roman" w:hAnsi="Times New Roman" w:cs="Times New Roman"/>
          <w:sz w:val="24"/>
          <w:szCs w:val="24"/>
        </w:rPr>
        <w:t xml:space="preserve"> and</w:t>
      </w:r>
      <w:r w:rsidRPr="00AE6418">
        <w:rPr>
          <w:rFonts w:ascii="Times New Roman" w:hAnsi="Times New Roman" w:cs="Times New Roman"/>
          <w:sz w:val="24"/>
          <w:szCs w:val="24"/>
        </w:rPr>
        <w:t> in the presence of donor chimerism &gt;</w:t>
      </w:r>
      <w:r>
        <w:rPr>
          <w:rFonts w:ascii="Times New Roman" w:hAnsi="Times New Roman" w:cs="Times New Roman"/>
          <w:sz w:val="24"/>
          <w:szCs w:val="24"/>
        </w:rPr>
        <w:t>9</w:t>
      </w:r>
      <w:r w:rsidRPr="00AE6418">
        <w:rPr>
          <w:rFonts w:ascii="Times New Roman" w:hAnsi="Times New Roman" w:cs="Times New Roman"/>
          <w:sz w:val="24"/>
          <w:szCs w:val="24"/>
        </w:rPr>
        <w:t>5%</w:t>
      </w:r>
      <w:r>
        <w:rPr>
          <w:rFonts w:ascii="Times New Roman" w:hAnsi="Times New Roman" w:cs="Times New Roman"/>
          <w:sz w:val="24"/>
          <w:szCs w:val="24"/>
        </w:rPr>
        <w:t xml:space="preserve">. </w:t>
      </w:r>
    </w:p>
    <w:p w14:paraId="4A3876E4" w14:textId="77777777" w:rsidR="00261E3E" w:rsidRDefault="00261E3E" w:rsidP="00261E3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Monitoring of cytomegalovirus (CMV) infection was performed by detection of CMV-DNA on peripheral blood two times weekly until day +100 after transplant, and then on a patient-based schedule. CMV reactivation was defined as detection of CMV-DNA ≥1000 copies/ml. CMV </w:t>
      </w:r>
      <w:r>
        <w:rPr>
          <w:rFonts w:ascii="Times New Roman" w:hAnsi="Times New Roman" w:cs="Times New Roman"/>
          <w:sz w:val="24"/>
          <w:szCs w:val="24"/>
        </w:rPr>
        <w:lastRenderedPageBreak/>
        <w:t>reactivation was treated with pre-emptive therapy according to current guidelines</w:t>
      </w:r>
      <w:sdt>
        <w:sdtPr>
          <w:rPr>
            <w:rFonts w:ascii="Times New Roman" w:hAnsi="Times New Roman" w:cs="Times New Roman"/>
            <w:color w:val="000000"/>
            <w:sz w:val="24"/>
            <w:szCs w:val="24"/>
            <w:vertAlign w:val="superscript"/>
          </w:rPr>
          <w:tag w:val="MENDELEY_CITATION_v3_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"/>
          <w:id w:val="2007635227"/>
          <w:placeholder>
            <w:docPart w:val="05519BF174BB4E4A8F2A76FA5CE845CA"/>
          </w:placeholder>
        </w:sdtPr>
        <w:sdtContent>
          <w:r w:rsidRPr="005C04BB">
            <w:rPr>
              <w:rFonts w:ascii="Times New Roman" w:hAnsi="Times New Roman" w:cs="Times New Roman"/>
              <w:color w:val="000000"/>
              <w:sz w:val="24"/>
              <w:szCs w:val="24"/>
              <w:vertAlign w:val="superscript"/>
            </w:rPr>
            <w:t>19</w:t>
          </w:r>
        </w:sdtContent>
      </w:sdt>
      <w:r>
        <w:rPr>
          <w:rFonts w:ascii="Times New Roman" w:hAnsi="Times New Roman" w:cs="Times New Roman"/>
          <w:sz w:val="24"/>
          <w:szCs w:val="24"/>
        </w:rPr>
        <w:t xml:space="preserve">. None of the patients received </w:t>
      </w:r>
      <w:proofErr w:type="spellStart"/>
      <w:r>
        <w:rPr>
          <w:rFonts w:ascii="Times New Roman" w:hAnsi="Times New Roman" w:cs="Times New Roman"/>
          <w:sz w:val="24"/>
          <w:szCs w:val="24"/>
        </w:rPr>
        <w:t>Letermovir</w:t>
      </w:r>
      <w:proofErr w:type="spellEnd"/>
      <w:r>
        <w:rPr>
          <w:rFonts w:ascii="Times New Roman" w:hAnsi="Times New Roman" w:cs="Times New Roman"/>
          <w:sz w:val="24"/>
          <w:szCs w:val="24"/>
        </w:rPr>
        <w:t xml:space="preserve"> as CMV-reactivation prophylaxis since it was not available yet during the observation time of the study. </w:t>
      </w:r>
    </w:p>
    <w:p w14:paraId="7335F565" w14:textId="77777777" w:rsidR="00261E3E" w:rsidRDefault="00261E3E" w:rsidP="00261E3E">
      <w:pPr>
        <w:spacing w:line="480" w:lineRule="auto"/>
        <w:contextualSpacing/>
        <w:jc w:val="both"/>
        <w:rPr>
          <w:rFonts w:ascii="Times New Roman" w:hAnsi="Times New Roman" w:cs="Times New Roman"/>
          <w:sz w:val="24"/>
          <w:szCs w:val="24"/>
        </w:rPr>
      </w:pPr>
      <w:r w:rsidRPr="00454C98">
        <w:rPr>
          <w:rFonts w:ascii="Times New Roman" w:hAnsi="Times New Roman" w:cs="Times New Roman"/>
          <w:sz w:val="24"/>
          <w:szCs w:val="24"/>
        </w:rPr>
        <w:t>Major ABO incompatibility was defined as recipient 0 / donor A, B</w:t>
      </w:r>
      <w:r>
        <w:rPr>
          <w:rFonts w:ascii="Times New Roman" w:hAnsi="Times New Roman" w:cs="Times New Roman"/>
          <w:sz w:val="24"/>
          <w:szCs w:val="24"/>
        </w:rPr>
        <w:t>,</w:t>
      </w:r>
      <w:r w:rsidRPr="00454C98">
        <w:rPr>
          <w:rFonts w:ascii="Times New Roman" w:hAnsi="Times New Roman" w:cs="Times New Roman"/>
          <w:sz w:val="24"/>
          <w:szCs w:val="24"/>
        </w:rPr>
        <w:t xml:space="preserve"> or AB; recipient </w:t>
      </w:r>
      <w:r>
        <w:rPr>
          <w:rFonts w:ascii="Times New Roman" w:hAnsi="Times New Roman" w:cs="Times New Roman"/>
          <w:sz w:val="24"/>
          <w:szCs w:val="24"/>
        </w:rPr>
        <w:t>A/donor</w:t>
      </w:r>
      <w:r w:rsidRPr="00454C98">
        <w:rPr>
          <w:rFonts w:ascii="Times New Roman" w:hAnsi="Times New Roman" w:cs="Times New Roman"/>
          <w:sz w:val="24"/>
          <w:szCs w:val="24"/>
        </w:rPr>
        <w:t xml:space="preserve"> AB; recipient B/ donor AB; </w:t>
      </w:r>
      <w:r>
        <w:rPr>
          <w:rFonts w:ascii="Times New Roman" w:hAnsi="Times New Roman" w:cs="Times New Roman"/>
          <w:sz w:val="24"/>
          <w:szCs w:val="24"/>
        </w:rPr>
        <w:t>bidirectional incompatibility was defined</w:t>
      </w:r>
      <w:r w:rsidRPr="00454C98">
        <w:rPr>
          <w:rFonts w:ascii="Times New Roman" w:hAnsi="Times New Roman" w:cs="Times New Roman"/>
          <w:sz w:val="24"/>
          <w:szCs w:val="24"/>
        </w:rPr>
        <w:t xml:space="preserve"> as recipient </w:t>
      </w:r>
      <w:r>
        <w:rPr>
          <w:rFonts w:ascii="Times New Roman" w:hAnsi="Times New Roman" w:cs="Times New Roman"/>
          <w:sz w:val="24"/>
          <w:szCs w:val="24"/>
        </w:rPr>
        <w:t>A/donor</w:t>
      </w:r>
      <w:r w:rsidRPr="00454C98">
        <w:rPr>
          <w:rFonts w:ascii="Times New Roman" w:hAnsi="Times New Roman" w:cs="Times New Roman"/>
          <w:sz w:val="24"/>
          <w:szCs w:val="24"/>
        </w:rPr>
        <w:t xml:space="preserve"> B; recipient B / donor A.  </w:t>
      </w:r>
    </w:p>
    <w:p w14:paraId="78142B75" w14:textId="77777777" w:rsidR="00261E3E" w:rsidRDefault="00261E3E" w:rsidP="00261E3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hemoglobin threshold for red blood cell transfusion was 80 g/L. Patients with cardiac comorbidities or symptomatic dyspnea were transfused to keep hemoglobin level &gt; 90 g/L. All blood components were white blood cell-depleted and irradiated. The blood group choice for transfusions was made according to the published standard recommendation for </w:t>
      </w:r>
      <w:r w:rsidRPr="00121058">
        <w:rPr>
          <w:rFonts w:ascii="Times New Roman" w:hAnsi="Times New Roman" w:cs="Times New Roman"/>
          <w:sz w:val="24"/>
          <w:szCs w:val="24"/>
        </w:rPr>
        <w:t>transfusions in ABO-incompatible HSCT</w:t>
      </w:r>
      <w:sdt>
        <w:sdtPr>
          <w:rPr>
            <w:rFonts w:ascii="Times New Roman" w:hAnsi="Times New Roman" w:cs="Times New Roman"/>
            <w:color w:val="000000"/>
            <w:sz w:val="24"/>
            <w:szCs w:val="24"/>
            <w:vertAlign w:val="superscript"/>
          </w:rPr>
          <w:tag w:val="MENDELEY_CITATION_v3_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"/>
          <w:id w:val="1701277729"/>
          <w:placeholder>
            <w:docPart w:val="05519BF174BB4E4A8F2A76FA5CE845CA"/>
          </w:placeholder>
        </w:sdtPr>
        <w:sdtContent>
          <w:r w:rsidRPr="005C04BB">
            <w:rPr>
              <w:rFonts w:ascii="Times New Roman" w:hAnsi="Times New Roman" w:cs="Times New Roman"/>
              <w:color w:val="000000"/>
              <w:sz w:val="24"/>
              <w:szCs w:val="24"/>
              <w:vertAlign w:val="superscript"/>
            </w:rPr>
            <w:t>18</w:t>
          </w:r>
        </w:sdtContent>
      </w:sdt>
      <w:r>
        <w:rPr>
          <w:rFonts w:ascii="Times New Roman" w:hAnsi="Times New Roman" w:cs="Times New Roman"/>
          <w:sz w:val="24"/>
          <w:szCs w:val="24"/>
        </w:rPr>
        <w:t xml:space="preserve">. </w:t>
      </w:r>
    </w:p>
    <w:p w14:paraId="38D42CCD" w14:textId="77777777" w:rsidR="00261E3E" w:rsidRPr="00AE6418" w:rsidRDefault="00261E3E" w:rsidP="00261E3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Pure red cell aplasia (PRCA) was defined as anemia, reticulocytopenia, and red blood cell transfusion dependence together with bone marrow aspirate or biopsy showing isolated depletion or nearly depletion of erythroid precursors in otherwise normal marrow</w:t>
      </w:r>
      <w:sdt>
        <w:sdtPr>
          <w:rPr>
            <w:rFonts w:ascii="Times New Roman" w:hAnsi="Times New Roman" w:cs="Times New Roman"/>
            <w:color w:val="000000"/>
            <w:sz w:val="24"/>
            <w:szCs w:val="24"/>
            <w:vertAlign w:val="superscript"/>
          </w:rPr>
          <w:tag w:val="MENDELEY_CITATION_v3_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"/>
          <w:id w:val="-1478603091"/>
          <w:placeholder>
            <w:docPart w:val="05519BF174BB4E4A8F2A76FA5CE845CA"/>
          </w:placeholder>
        </w:sdtPr>
        <w:sdtContent>
          <w:r w:rsidRPr="005C04BB">
            <w:rPr>
              <w:rFonts w:ascii="Times New Roman" w:hAnsi="Times New Roman" w:cs="Times New Roman"/>
              <w:color w:val="000000"/>
              <w:sz w:val="24"/>
              <w:szCs w:val="24"/>
              <w:vertAlign w:val="superscript"/>
            </w:rPr>
            <w:t>3</w:t>
          </w:r>
        </w:sdtContent>
      </w:sdt>
      <w:r>
        <w:rPr>
          <w:rFonts w:ascii="Times New Roman" w:hAnsi="Times New Roman" w:cs="Times New Roman"/>
          <w:sz w:val="24"/>
          <w:szCs w:val="24"/>
        </w:rPr>
        <w:t>.</w:t>
      </w:r>
    </w:p>
    <w:p w14:paraId="31D11655" w14:textId="77777777" w:rsidR="00261E3E" w:rsidRPr="00261E3E" w:rsidRDefault="00261E3E" w:rsidP="00261E3E">
      <w:pPr>
        <w:spacing w:line="480" w:lineRule="auto"/>
        <w:jc w:val="both"/>
        <w:rPr>
          <w:rFonts w:ascii="Times New Roman" w:hAnsi="Times New Roman" w:cs="Times New Roman"/>
          <w:sz w:val="24"/>
          <w:szCs w:val="24"/>
        </w:rPr>
      </w:pPr>
    </w:p>
    <w:p w14:paraId="5CA2CA77" w14:textId="77777777" w:rsidR="00645FE5" w:rsidRPr="00261E3E" w:rsidRDefault="00645FE5">
      <w:pPr>
        <w:rPr>
          <w:lang w:val="en-AU"/>
        </w:rPr>
      </w:pPr>
    </w:p>
    <w:sectPr w:rsidR="00645FE5" w:rsidRPr="00261E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3E"/>
    <w:rsid w:val="00261E3E"/>
    <w:rsid w:val="00481FF3"/>
    <w:rsid w:val="00645FE5"/>
    <w:rsid w:val="00CA7B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1F2A"/>
  <w15:chartTrackingRefBased/>
  <w15:docId w15:val="{11BCE631-B22C-4D4B-A144-96359097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1E3E"/>
    <w:rPr>
      <w:kern w:val="0"/>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519BF174BB4E4A8F2A76FA5CE845CA"/>
        <w:category>
          <w:name w:val="Generale"/>
          <w:gallery w:val="placeholder"/>
        </w:category>
        <w:types>
          <w:type w:val="bbPlcHdr"/>
        </w:types>
        <w:behaviors>
          <w:behavior w:val="content"/>
        </w:behaviors>
        <w:guid w:val="{C2316970-4337-4250-B06B-061D65EDBF93}"/>
      </w:docPartPr>
      <w:docPartBody>
        <w:p w:rsidR="00BF3E59" w:rsidRDefault="00BF3E59" w:rsidP="00BF3E59">
          <w:pPr>
            <w:pStyle w:val="05519BF174BB4E4A8F2A76FA5CE845CA"/>
          </w:pPr>
          <w:r w:rsidRPr="000E0CD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59"/>
    <w:rsid w:val="00BF3E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F3E59"/>
    <w:rPr>
      <w:color w:val="808080"/>
    </w:rPr>
  </w:style>
  <w:style w:type="paragraph" w:customStyle="1" w:styleId="05519BF174BB4E4A8F2A76FA5CE845CA">
    <w:name w:val="05519BF174BB4E4A8F2A76FA5CE845CA"/>
    <w:rsid w:val="00BF3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CHIARA FINAZZI</dc:creator>
  <cp:keywords/>
  <dc:description/>
  <cp:lastModifiedBy>MARIA CHIARA FINAZZI</cp:lastModifiedBy>
  <cp:revision>1</cp:revision>
  <dcterms:created xsi:type="dcterms:W3CDTF">2023-11-06T09:09:00Z</dcterms:created>
  <dcterms:modified xsi:type="dcterms:W3CDTF">2023-11-06T09:13:00Z</dcterms:modified>
</cp:coreProperties>
</file>