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3ED52C" w14:textId="301C9C17" w:rsidR="00BC5B86" w:rsidRDefault="00BC5B86" w:rsidP="00BC5B86">
      <w:pPr>
        <w:jc w:val="both"/>
        <w:rPr>
          <w:b/>
          <w:bCs/>
          <w:lang w:val="en-US"/>
        </w:rPr>
      </w:pPr>
      <w:r>
        <w:rPr>
          <w:b/>
          <w:bCs/>
          <w:lang w:val="en-US"/>
        </w:rPr>
        <w:t>Supplementary file 1: Figures S1-S7</w:t>
      </w:r>
    </w:p>
    <w:p w14:paraId="7CE11234" w14:textId="77777777" w:rsidR="00BC5B86" w:rsidRPr="00BC5B86" w:rsidRDefault="00BC5B86" w:rsidP="00BC5B86">
      <w:pPr>
        <w:jc w:val="both"/>
        <w:rPr>
          <w:b/>
          <w:bCs/>
          <w:lang w:val="en-US"/>
        </w:rPr>
      </w:pPr>
    </w:p>
    <w:p w14:paraId="5B667951" w14:textId="1F7E242F" w:rsidR="00BC5B86" w:rsidRPr="002E5A98" w:rsidRDefault="00BC5B86" w:rsidP="00BC5B86">
      <w:pPr>
        <w:jc w:val="both"/>
        <w:rPr>
          <w:lang w:val="en-US"/>
        </w:rPr>
      </w:pPr>
      <w:r>
        <w:rPr>
          <w:noProof/>
        </w:rPr>
        <w:drawing>
          <wp:inline distT="0" distB="0" distL="0" distR="0" wp14:anchorId="1CB4AB51" wp14:editId="5A1D124C">
            <wp:extent cx="5041900" cy="2893171"/>
            <wp:effectExtent l="0" t="0" r="6350" b="254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31465" t="4727" r="35520" b="61591"/>
                    <a:stretch/>
                  </pic:blipFill>
                  <pic:spPr bwMode="auto">
                    <a:xfrm>
                      <a:off x="0" y="0"/>
                      <a:ext cx="5056130" cy="2901336"/>
                    </a:xfrm>
                    <a:prstGeom prst="rect">
                      <a:avLst/>
                    </a:prstGeom>
                    <a:ln>
                      <a:noFill/>
                    </a:ln>
                    <a:extLst>
                      <a:ext uri="{53640926-AAD7-44D8-BBD7-CCE9431645EC}">
                        <a14:shadowObscured xmlns:a14="http://schemas.microsoft.com/office/drawing/2010/main"/>
                      </a:ext>
                    </a:extLst>
                  </pic:spPr>
                </pic:pic>
              </a:graphicData>
            </a:graphic>
          </wp:inline>
        </w:drawing>
      </w:r>
    </w:p>
    <w:p w14:paraId="0548FF4E" w14:textId="1F486B60" w:rsidR="00BC5B86" w:rsidRDefault="00BC5B86" w:rsidP="00BC5B86">
      <w:pPr>
        <w:jc w:val="both"/>
        <w:rPr>
          <w:lang w:val="en-US"/>
        </w:rPr>
      </w:pPr>
      <w:r w:rsidRPr="00A5257C">
        <w:rPr>
          <w:b/>
          <w:bCs/>
          <w:lang w:val="en-US"/>
        </w:rPr>
        <w:t xml:space="preserve">Figure S1. NA recombinant proteins quality control. </w:t>
      </w:r>
      <w:r w:rsidRPr="009A38E8">
        <w:rPr>
          <w:lang w:val="en-US"/>
        </w:rPr>
        <w:t xml:space="preserve">(a) </w:t>
      </w:r>
      <w:r>
        <w:rPr>
          <w:lang w:val="en-US"/>
        </w:rPr>
        <w:t>Representative image of purified</w:t>
      </w:r>
      <w:r w:rsidRPr="009A38E8">
        <w:rPr>
          <w:lang w:val="en-US"/>
        </w:rPr>
        <w:t xml:space="preserve"> recombinant soluble </w:t>
      </w:r>
      <w:r>
        <w:rPr>
          <w:lang w:val="en-US"/>
        </w:rPr>
        <w:t xml:space="preserve">N1 NC13 and N2 HK68 </w:t>
      </w:r>
      <w:r w:rsidRPr="009A38E8">
        <w:rPr>
          <w:lang w:val="en-US"/>
        </w:rPr>
        <w:t xml:space="preserve">proteins </w:t>
      </w:r>
      <w:r>
        <w:rPr>
          <w:lang w:val="en-US"/>
        </w:rPr>
        <w:t xml:space="preserve">separated on Coomassie stained SDS-PAGE under reducing conditions. (b) Enzymatic activity of purified recombinant NA proteins determined in a MUNANA assay. </w:t>
      </w:r>
    </w:p>
    <w:p w14:paraId="5C7715DF" w14:textId="77777777" w:rsidR="00BC5B86" w:rsidRDefault="00BC5B86" w:rsidP="00BC5B86">
      <w:pPr>
        <w:rPr>
          <w:b/>
          <w:bCs/>
          <w:lang w:val="en-US"/>
        </w:rPr>
      </w:pPr>
      <w:r w:rsidRPr="009A38E8">
        <w:rPr>
          <w:b/>
          <w:bCs/>
          <w:lang w:val="en-US"/>
        </w:rPr>
        <w:br w:type="page"/>
      </w:r>
      <w:r>
        <w:rPr>
          <w:noProof/>
        </w:rPr>
        <w:lastRenderedPageBreak/>
        <w:drawing>
          <wp:inline distT="0" distB="0" distL="0" distR="0" wp14:anchorId="2853DF94" wp14:editId="34B4EECF">
            <wp:extent cx="5441811" cy="5038725"/>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5621" r="66320" b="40557"/>
                    <a:stretch/>
                  </pic:blipFill>
                  <pic:spPr bwMode="auto">
                    <a:xfrm>
                      <a:off x="0" y="0"/>
                      <a:ext cx="5447271" cy="5043781"/>
                    </a:xfrm>
                    <a:prstGeom prst="rect">
                      <a:avLst/>
                    </a:prstGeom>
                    <a:ln>
                      <a:noFill/>
                    </a:ln>
                    <a:extLst>
                      <a:ext uri="{53640926-AAD7-44D8-BBD7-CCE9431645EC}">
                        <a14:shadowObscured xmlns:a14="http://schemas.microsoft.com/office/drawing/2010/main"/>
                      </a:ext>
                    </a:extLst>
                  </pic:spPr>
                </pic:pic>
              </a:graphicData>
            </a:graphic>
          </wp:inline>
        </w:drawing>
      </w:r>
      <w:r>
        <w:rPr>
          <w:b/>
          <w:bCs/>
          <w:lang w:val="en-US"/>
        </w:rPr>
        <w:t xml:space="preserve"> </w:t>
      </w:r>
    </w:p>
    <w:p w14:paraId="5F8EF13D" w14:textId="458E658B" w:rsidR="00BC5B86" w:rsidRDefault="00BC5B86" w:rsidP="00BC5B86">
      <w:pPr>
        <w:jc w:val="both"/>
        <w:rPr>
          <w:lang w:val="en-US"/>
        </w:rPr>
      </w:pPr>
      <w:r w:rsidRPr="000A7240">
        <w:rPr>
          <w:b/>
          <w:bCs/>
          <w:lang w:val="en-US"/>
        </w:rPr>
        <w:t xml:space="preserve">Figure S2. </w:t>
      </w:r>
      <w:r>
        <w:rPr>
          <w:b/>
          <w:bCs/>
          <w:lang w:val="en-US"/>
        </w:rPr>
        <w:t>Structural characterization of NA antigens</w:t>
      </w:r>
      <w:r w:rsidRPr="000A7240">
        <w:rPr>
          <w:b/>
          <w:bCs/>
          <w:lang w:val="en-US"/>
        </w:rPr>
        <w:t>.</w:t>
      </w:r>
      <w:r w:rsidRPr="000A7240">
        <w:rPr>
          <w:lang w:val="en-US"/>
        </w:rPr>
        <w:t xml:space="preserve"> (a) </w:t>
      </w:r>
      <w:r w:rsidR="00A90F23">
        <w:rPr>
          <w:lang w:val="en-US"/>
        </w:rPr>
        <w:t>N1 NC13 c</w:t>
      </w:r>
      <w:r w:rsidRPr="000A7240">
        <w:rPr>
          <w:lang w:val="en-US"/>
        </w:rPr>
        <w:t xml:space="preserve">ryo-EM </w:t>
      </w:r>
      <w:r w:rsidR="00A90F23">
        <w:rPr>
          <w:lang w:val="en-US"/>
        </w:rPr>
        <w:t xml:space="preserve">map </w:t>
      </w:r>
      <w:r w:rsidRPr="000A7240">
        <w:rPr>
          <w:lang w:val="en-US"/>
        </w:rPr>
        <w:t>with the atomic model</w:t>
      </w:r>
      <w:r w:rsidR="00A90F23">
        <w:rPr>
          <w:lang w:val="en-US"/>
        </w:rPr>
        <w:t xml:space="preserve"> built</w:t>
      </w:r>
      <w:r w:rsidRPr="000A7240">
        <w:rPr>
          <w:lang w:val="en-US"/>
        </w:rPr>
        <w:t>. (b) Zoom in of</w:t>
      </w:r>
      <w:r w:rsidR="00525B60">
        <w:rPr>
          <w:lang w:val="en-US"/>
        </w:rPr>
        <w:t xml:space="preserve"> the</w:t>
      </w:r>
      <w:r w:rsidRPr="000A7240">
        <w:rPr>
          <w:lang w:val="en-US"/>
        </w:rPr>
        <w:t xml:space="preserve"> box</w:t>
      </w:r>
      <w:r w:rsidR="00525B60">
        <w:rPr>
          <w:lang w:val="en-US"/>
        </w:rPr>
        <w:t>ed region</w:t>
      </w:r>
      <w:r w:rsidRPr="000A7240">
        <w:rPr>
          <w:lang w:val="en-US"/>
        </w:rPr>
        <w:t xml:space="preserve"> in (a) </w:t>
      </w:r>
      <w:r w:rsidR="00A90F23">
        <w:rPr>
          <w:lang w:val="en-US"/>
        </w:rPr>
        <w:t>with</w:t>
      </w:r>
      <w:r w:rsidRPr="000A7240">
        <w:rPr>
          <w:lang w:val="en-US"/>
        </w:rPr>
        <w:t xml:space="preserve"> </w:t>
      </w:r>
      <w:r w:rsidR="00A90F23">
        <w:rPr>
          <w:lang w:val="en-US"/>
        </w:rPr>
        <w:t xml:space="preserve">a </w:t>
      </w:r>
      <w:r w:rsidRPr="000A7240">
        <w:rPr>
          <w:lang w:val="en-US"/>
        </w:rPr>
        <w:t xml:space="preserve">stick </w:t>
      </w:r>
      <w:r w:rsidR="00A90F23">
        <w:rPr>
          <w:lang w:val="en-US"/>
        </w:rPr>
        <w:t>representation of the atomic model</w:t>
      </w:r>
      <w:r w:rsidRPr="000A7240">
        <w:rPr>
          <w:lang w:val="en-US"/>
        </w:rPr>
        <w:t>. (c) FSC curve of masked map after B-factor sharpening</w:t>
      </w:r>
      <w:r w:rsidR="00525B60">
        <w:rPr>
          <w:lang w:val="en-US"/>
        </w:rPr>
        <w:t>. The</w:t>
      </w:r>
      <w:r w:rsidRPr="000A7240">
        <w:rPr>
          <w:lang w:val="en-US"/>
        </w:rPr>
        <w:t xml:space="preserve"> dotted line represents</w:t>
      </w:r>
      <w:r w:rsidR="00A90F23">
        <w:rPr>
          <w:lang w:val="en-US"/>
        </w:rPr>
        <w:t xml:space="preserve"> the</w:t>
      </w:r>
      <w:r w:rsidRPr="000A7240">
        <w:rPr>
          <w:lang w:val="en-US"/>
        </w:rPr>
        <w:t xml:space="preserve"> cut</w:t>
      </w:r>
      <w:r w:rsidR="00A90F23">
        <w:rPr>
          <w:lang w:val="en-US"/>
        </w:rPr>
        <w:t>-</w:t>
      </w:r>
      <w:r w:rsidRPr="000A7240">
        <w:rPr>
          <w:lang w:val="en-US"/>
        </w:rPr>
        <w:t xml:space="preserve">off at 0.143. </w:t>
      </w:r>
      <w:r w:rsidRPr="000A7240">
        <w:rPr>
          <w:rFonts w:ascii="Calibri" w:eastAsia="Calibri" w:hAnsi="Calibri" w:cs="Calibri"/>
          <w:lang w:val="en-US"/>
        </w:rPr>
        <w:t>(d) Negative stain of 2D classes of recombinant N2 HK68 stabilized with tetrabrachion domain display the closed conformation, top views marked in red.</w:t>
      </w:r>
      <w:r>
        <w:rPr>
          <w:rFonts w:ascii="Calibri" w:eastAsia="Calibri" w:hAnsi="Calibri" w:cs="Calibri"/>
          <w:lang w:val="en-US"/>
        </w:rPr>
        <w:t xml:space="preserve"> </w:t>
      </w:r>
    </w:p>
    <w:p w14:paraId="09C99A37" w14:textId="77777777" w:rsidR="00BC5B86" w:rsidRDefault="00BC5B86" w:rsidP="00BC5B86">
      <w:pPr>
        <w:jc w:val="both"/>
        <w:rPr>
          <w:lang w:val="en-US"/>
        </w:rPr>
      </w:pPr>
    </w:p>
    <w:p w14:paraId="162DD66C" w14:textId="77777777" w:rsidR="00BC5B86" w:rsidRDefault="00BC5B86" w:rsidP="00BC5B86">
      <w:pPr>
        <w:jc w:val="both"/>
        <w:rPr>
          <w:lang w:val="en-US"/>
        </w:rPr>
      </w:pPr>
      <w:r>
        <w:rPr>
          <w:noProof/>
        </w:rPr>
        <w:lastRenderedPageBreak/>
        <w:drawing>
          <wp:inline distT="0" distB="0" distL="0" distR="0" wp14:anchorId="1C3A3DF6" wp14:editId="0167DA24">
            <wp:extent cx="5689600" cy="7732924"/>
            <wp:effectExtent l="0" t="0" r="6350" b="190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30690" r="33525" b="13532"/>
                    <a:stretch/>
                  </pic:blipFill>
                  <pic:spPr bwMode="auto">
                    <a:xfrm>
                      <a:off x="0" y="0"/>
                      <a:ext cx="5693416" cy="7738110"/>
                    </a:xfrm>
                    <a:prstGeom prst="rect">
                      <a:avLst/>
                    </a:prstGeom>
                    <a:ln>
                      <a:noFill/>
                    </a:ln>
                    <a:extLst>
                      <a:ext uri="{53640926-AAD7-44D8-BBD7-CCE9431645EC}">
                        <a14:shadowObscured xmlns:a14="http://schemas.microsoft.com/office/drawing/2010/main"/>
                      </a:ext>
                    </a:extLst>
                  </pic:spPr>
                </pic:pic>
              </a:graphicData>
            </a:graphic>
          </wp:inline>
        </w:drawing>
      </w:r>
    </w:p>
    <w:p w14:paraId="7787A7AD" w14:textId="77777777" w:rsidR="00BC5B86" w:rsidRDefault="00BC5B86" w:rsidP="00BC5B86">
      <w:pPr>
        <w:jc w:val="both"/>
        <w:rPr>
          <w:lang w:val="en-US"/>
        </w:rPr>
      </w:pPr>
      <w:r>
        <w:rPr>
          <w:b/>
          <w:bCs/>
          <w:lang w:val="en-US"/>
        </w:rPr>
        <w:t xml:space="preserve">Figure S3. Conjugation of NA antigens to Mi3 nanoparticles. </w:t>
      </w:r>
      <w:r>
        <w:rPr>
          <w:lang w:val="en-US"/>
        </w:rPr>
        <w:t>(a) Conjugation of NA-</w:t>
      </w:r>
      <w:proofErr w:type="spellStart"/>
      <w:r>
        <w:rPr>
          <w:lang w:val="en-US"/>
        </w:rPr>
        <w:t>SpyTag</w:t>
      </w:r>
      <w:proofErr w:type="spellEnd"/>
      <w:r>
        <w:rPr>
          <w:lang w:val="en-US"/>
        </w:rPr>
        <w:t xml:space="preserve"> to Mi3-SpyCatcher nanoparticles in varying ratios was demonstrated by reduced electrophoretic mobility on SDS-PAGE. Marker and first two lanes with NA proteins are the same as depicted in Fig. S1a. (b) Electron micrograph of negatively stained Mi3 nanoparticles. (c) Electron micrograph of negatively </w:t>
      </w:r>
      <w:r>
        <w:rPr>
          <w:lang w:val="en-US"/>
        </w:rPr>
        <w:lastRenderedPageBreak/>
        <w:t>stained Mi3-N1 nanoparticles. (d) Enzymatic activity of unconjugated N1 and N1-Mi3 were compared at equal molar concentrations of N1 in the MUNANA assay.</w:t>
      </w:r>
    </w:p>
    <w:p w14:paraId="2A388BC3" w14:textId="77777777" w:rsidR="00BC5B86" w:rsidRDefault="00BC5B86" w:rsidP="00BC5B86">
      <w:pPr>
        <w:rPr>
          <w:lang w:val="en-US"/>
        </w:rPr>
      </w:pPr>
      <w:r>
        <w:rPr>
          <w:lang w:val="en-US"/>
        </w:rPr>
        <w:br w:type="page"/>
      </w:r>
    </w:p>
    <w:p w14:paraId="565691AE" w14:textId="77777777" w:rsidR="00BC5B86" w:rsidRDefault="00BC5B86" w:rsidP="00BC5B86">
      <w:pPr>
        <w:jc w:val="both"/>
        <w:rPr>
          <w:b/>
          <w:bCs/>
          <w:lang w:val="en-US"/>
        </w:rPr>
      </w:pPr>
      <w:r>
        <w:rPr>
          <w:noProof/>
        </w:rPr>
        <w:lastRenderedPageBreak/>
        <w:drawing>
          <wp:inline distT="0" distB="0" distL="0" distR="0" wp14:anchorId="08284D68" wp14:editId="0D2E3659">
            <wp:extent cx="3737046" cy="4614203"/>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30930" r="41339" b="39128"/>
                    <a:stretch/>
                  </pic:blipFill>
                  <pic:spPr bwMode="auto">
                    <a:xfrm>
                      <a:off x="0" y="0"/>
                      <a:ext cx="3758342" cy="4640498"/>
                    </a:xfrm>
                    <a:prstGeom prst="rect">
                      <a:avLst/>
                    </a:prstGeom>
                    <a:ln>
                      <a:noFill/>
                    </a:ln>
                    <a:extLst>
                      <a:ext uri="{53640926-AAD7-44D8-BBD7-CCE9431645EC}">
                        <a14:shadowObscured xmlns:a14="http://schemas.microsoft.com/office/drawing/2010/main"/>
                      </a:ext>
                    </a:extLst>
                  </pic:spPr>
                </pic:pic>
              </a:graphicData>
            </a:graphic>
          </wp:inline>
        </w:drawing>
      </w:r>
    </w:p>
    <w:p w14:paraId="521F91E2" w14:textId="77777777" w:rsidR="00BC5B86" w:rsidRDefault="00BC5B86" w:rsidP="00BC5B86">
      <w:pPr>
        <w:jc w:val="both"/>
        <w:rPr>
          <w:lang w:val="nn-NO"/>
        </w:rPr>
      </w:pPr>
      <w:r w:rsidRPr="000B6B04">
        <w:rPr>
          <w:b/>
          <w:bCs/>
          <w:lang w:val="en-US"/>
        </w:rPr>
        <w:t>Figure S</w:t>
      </w:r>
      <w:r>
        <w:rPr>
          <w:b/>
          <w:bCs/>
          <w:lang w:val="en-US"/>
        </w:rPr>
        <w:t>4</w:t>
      </w:r>
      <w:r w:rsidRPr="000B6B04">
        <w:rPr>
          <w:b/>
          <w:bCs/>
          <w:lang w:val="en-US"/>
        </w:rPr>
        <w:t xml:space="preserve">. </w:t>
      </w:r>
      <w:r w:rsidRPr="0049762E">
        <w:rPr>
          <w:b/>
          <w:bCs/>
          <w:lang w:val="en-US"/>
        </w:rPr>
        <w:t xml:space="preserve">NA-binding endpoint titers prime vs. boost serum. </w:t>
      </w:r>
      <w:r>
        <w:rPr>
          <w:lang w:val="en-US"/>
        </w:rPr>
        <w:t xml:space="preserve">Endpoint titers of antibodies binding N1 WI13 (a) from mice immunized with N1 NC13 and N1 NC13-Mi3 (Fig. 2b and c) and N2 HK68 (b) from mice immunized with N2 HK68 and N2 HK68-Mi3 (Fig. 3a and b). Data from sera taken after prime and boost immunizations are graphed to display the increase in endpoint titers. </w:t>
      </w:r>
      <w:r w:rsidRPr="006D344C">
        <w:rPr>
          <w:lang w:val="en-US"/>
        </w:rPr>
        <w:t xml:space="preserve">Open symbols: day 21 (post-prime). Closed symbols: day 42 (post-boost). </w:t>
      </w:r>
      <w:r w:rsidRPr="00C35493">
        <w:rPr>
          <w:lang w:val="en-US"/>
        </w:rPr>
        <w:t>Bars represent the</w:t>
      </w:r>
      <w:r>
        <w:rPr>
          <w:lang w:val="en-US"/>
        </w:rPr>
        <w:t xml:space="preserve"> geometric</w:t>
      </w:r>
      <w:r w:rsidRPr="00C35493">
        <w:rPr>
          <w:lang w:val="en-US"/>
        </w:rPr>
        <w:t xml:space="preserve"> means for each group</w:t>
      </w:r>
      <w:r>
        <w:rPr>
          <w:lang w:val="en-US"/>
        </w:rPr>
        <w:t xml:space="preserve">. </w:t>
      </w:r>
      <w:r w:rsidRPr="00C35493">
        <w:rPr>
          <w:lang w:val="en-US"/>
        </w:rPr>
        <w:t xml:space="preserve">Groups were compared with </w:t>
      </w:r>
      <w:r>
        <w:rPr>
          <w:lang w:val="en-US"/>
        </w:rPr>
        <w:t xml:space="preserve">Mann-Whitney U test </w:t>
      </w:r>
      <w:r w:rsidRPr="00C35493">
        <w:rPr>
          <w:lang w:val="en-US"/>
        </w:rPr>
        <w:t>using Graph</w:t>
      </w:r>
      <w:r>
        <w:rPr>
          <w:lang w:val="en-US"/>
        </w:rPr>
        <w:t>P</w:t>
      </w:r>
      <w:r w:rsidRPr="00C35493">
        <w:rPr>
          <w:lang w:val="en-US"/>
        </w:rPr>
        <w:t xml:space="preserve">ad Prism 9.3.1 and statistical significance is </w:t>
      </w:r>
      <w:r w:rsidRPr="00DE45C1">
        <w:rPr>
          <w:lang w:val="en-US"/>
        </w:rPr>
        <w:t xml:space="preserve">indicated </w:t>
      </w:r>
      <w:r w:rsidRPr="00DE45C1">
        <w:rPr>
          <w:lang w:val="nn-NO"/>
        </w:rPr>
        <w:t>(*, P &lt; 0.05; ***, P &lt; 0.001).</w:t>
      </w:r>
    </w:p>
    <w:p w14:paraId="202C647E" w14:textId="77777777" w:rsidR="00BC5B86" w:rsidRDefault="00BC5B86" w:rsidP="00BC5B86">
      <w:pPr>
        <w:rPr>
          <w:lang w:val="nn-NO"/>
        </w:rPr>
      </w:pPr>
      <w:r>
        <w:rPr>
          <w:lang w:val="nn-NO"/>
        </w:rPr>
        <w:br w:type="page"/>
      </w:r>
    </w:p>
    <w:p w14:paraId="621803FF" w14:textId="77777777" w:rsidR="00BC5B86" w:rsidRDefault="00BC5B86" w:rsidP="00BC5B86">
      <w:pPr>
        <w:jc w:val="both"/>
        <w:rPr>
          <w:lang w:val="nn-NO"/>
        </w:rPr>
      </w:pPr>
      <w:r>
        <w:object w:dxaOrig="5695" w:dyaOrig="3254" w14:anchorId="5A5BBA5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4pt;height:163pt" o:ole="">
            <v:imagedata r:id="rId10" o:title=""/>
          </v:shape>
          <o:OLEObject Type="Embed" ProgID="Prism9.Document" ShapeID="_x0000_i1025" DrawAspect="Content" ObjectID="_1759517145" r:id="rId11"/>
        </w:object>
      </w:r>
    </w:p>
    <w:p w14:paraId="4E5E3FC1" w14:textId="77777777" w:rsidR="00BC5B86" w:rsidRDefault="00BC5B86" w:rsidP="00BC5B86">
      <w:pPr>
        <w:jc w:val="both"/>
        <w:rPr>
          <w:lang w:val="nn-NO"/>
        </w:rPr>
      </w:pPr>
      <w:r>
        <w:rPr>
          <w:b/>
          <w:bCs/>
          <w:lang w:val="nn-NO"/>
        </w:rPr>
        <w:t xml:space="preserve">Figure S5. H3N2 HK68 has higher NA enzymatic activity than H1N1 Bel/09. </w:t>
      </w:r>
      <w:r>
        <w:rPr>
          <w:lang w:val="nn-NO"/>
        </w:rPr>
        <w:t xml:space="preserve">NA activity of H3N2 HK68 and H1N1 Bel/09 quantified in an ELLA assay. A dilution series of the viruses was incubated in wells coated with the glycoprotein fetuin and the removal of sialic acids was detected by binding of PNA lectin (mean </w:t>
      </w:r>
      <w:r>
        <w:rPr>
          <w:rFonts w:cstheme="minorHAnsi"/>
          <w:lang w:val="nn-NO"/>
        </w:rPr>
        <w:t>±</w:t>
      </w:r>
      <w:r>
        <w:rPr>
          <w:lang w:val="nn-NO"/>
        </w:rPr>
        <w:t xml:space="preserve">SD). </w:t>
      </w:r>
      <w:r>
        <w:rPr>
          <w:lang w:val="nn-NO"/>
        </w:rPr>
        <w:br w:type="page"/>
      </w:r>
    </w:p>
    <w:p w14:paraId="10C09B18" w14:textId="77777777" w:rsidR="00BC5B86" w:rsidRDefault="00BC5B86" w:rsidP="00BC5B86">
      <w:pPr>
        <w:jc w:val="both"/>
        <w:rPr>
          <w:b/>
          <w:bCs/>
        </w:rPr>
      </w:pPr>
      <w:r>
        <w:rPr>
          <w:noProof/>
        </w:rPr>
        <w:lastRenderedPageBreak/>
        <w:drawing>
          <wp:inline distT="0" distB="0" distL="0" distR="0" wp14:anchorId="40E7AFB7" wp14:editId="134CC43B">
            <wp:extent cx="5511800" cy="5591221"/>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30689" r="30867" b="30667"/>
                    <a:stretch/>
                  </pic:blipFill>
                  <pic:spPr bwMode="auto">
                    <a:xfrm>
                      <a:off x="0" y="0"/>
                      <a:ext cx="5523447" cy="5603036"/>
                    </a:xfrm>
                    <a:prstGeom prst="rect">
                      <a:avLst/>
                    </a:prstGeom>
                    <a:ln>
                      <a:noFill/>
                    </a:ln>
                    <a:extLst>
                      <a:ext uri="{53640926-AAD7-44D8-BBD7-CCE9431645EC}">
                        <a14:shadowObscured xmlns:a14="http://schemas.microsoft.com/office/drawing/2010/main"/>
                      </a:ext>
                    </a:extLst>
                  </pic:spPr>
                </pic:pic>
              </a:graphicData>
            </a:graphic>
          </wp:inline>
        </w:drawing>
      </w:r>
    </w:p>
    <w:p w14:paraId="480AA23D" w14:textId="77777777" w:rsidR="00BC5B86" w:rsidRDefault="00BC5B86" w:rsidP="00BC5B86">
      <w:pPr>
        <w:jc w:val="both"/>
        <w:rPr>
          <w:b/>
          <w:bCs/>
          <w:lang w:val="en-US"/>
        </w:rPr>
      </w:pPr>
      <w:r w:rsidRPr="003E606F">
        <w:rPr>
          <w:b/>
          <w:bCs/>
          <w:lang w:val="en-US"/>
        </w:rPr>
        <w:t>Figure S</w:t>
      </w:r>
      <w:r>
        <w:rPr>
          <w:b/>
          <w:bCs/>
          <w:lang w:val="en-US"/>
        </w:rPr>
        <w:t>6</w:t>
      </w:r>
      <w:r w:rsidRPr="003E606F">
        <w:rPr>
          <w:b/>
          <w:bCs/>
          <w:lang w:val="en-US"/>
        </w:rPr>
        <w:t xml:space="preserve">. Cross-reactivity </w:t>
      </w:r>
      <w:r>
        <w:rPr>
          <w:b/>
          <w:bCs/>
          <w:lang w:val="en-US"/>
        </w:rPr>
        <w:t xml:space="preserve">of serum from mice immunized with NA-Mi3 nanoparticles </w:t>
      </w:r>
      <w:r w:rsidRPr="003E606F">
        <w:rPr>
          <w:b/>
          <w:bCs/>
          <w:lang w:val="en-US"/>
        </w:rPr>
        <w:t>w</w:t>
      </w:r>
      <w:r>
        <w:rPr>
          <w:b/>
          <w:bCs/>
          <w:lang w:val="en-US"/>
        </w:rPr>
        <w:t xml:space="preserve">ith heterologous NAs. </w:t>
      </w:r>
      <w:r>
        <w:rPr>
          <w:lang w:val="en-US"/>
        </w:rPr>
        <w:t xml:space="preserve">Sera from mice (n=12) immunized with homotypic, mix, or mosaic NA-Mi3 formulations taken at day 42 post-immunization were pooled for the individual groups. NA-binding antibodies in the pooled serum samples were quantified in ELISA. (a and c) Reactivity against homologous N1 WI13 and N2 HK68. (b, d, and e) Reactivity against heterologous N1 (HU02) and N2 (SI57 and GE18) NAs. Symbols indicate the mean of three technical replicates and error bars indicate the standard deviation. </w:t>
      </w:r>
    </w:p>
    <w:p w14:paraId="5AFED2AE" w14:textId="77777777" w:rsidR="00BC5B86" w:rsidRDefault="00BC5B86" w:rsidP="00BC5B86">
      <w:pPr>
        <w:jc w:val="both"/>
        <w:rPr>
          <w:b/>
          <w:bCs/>
          <w:lang w:val="en-US"/>
        </w:rPr>
      </w:pPr>
      <w:r>
        <w:rPr>
          <w:b/>
          <w:bCs/>
          <w:lang w:val="en-US"/>
        </w:rPr>
        <w:br w:type="page"/>
      </w:r>
    </w:p>
    <w:p w14:paraId="7CE532DA" w14:textId="77777777" w:rsidR="00BC5B86" w:rsidRDefault="00BC5B86" w:rsidP="00BC5B86">
      <w:pPr>
        <w:jc w:val="both"/>
        <w:rPr>
          <w:b/>
          <w:bCs/>
        </w:rPr>
      </w:pPr>
      <w:r w:rsidRPr="009D1460">
        <w:rPr>
          <w:b/>
          <w:bCs/>
        </w:rPr>
        <w:object w:dxaOrig="4869" w:dyaOrig="5628" w14:anchorId="0C0949F2">
          <v:shape id="_x0000_i1026" type="#_x0000_t75" style="width:244pt;height:281pt" o:ole="">
            <v:imagedata r:id="rId13" o:title=""/>
          </v:shape>
          <o:OLEObject Type="Embed" ProgID="Prism9.Document" ShapeID="_x0000_i1026" DrawAspect="Content" ObjectID="_1759517146" r:id="rId14"/>
        </w:object>
      </w:r>
    </w:p>
    <w:p w14:paraId="663CC1B8" w14:textId="0D3B3BCC" w:rsidR="006A52F7" w:rsidRPr="00BC5B86" w:rsidRDefault="00BC5B86" w:rsidP="00BC5B86">
      <w:pPr>
        <w:jc w:val="both"/>
        <w:rPr>
          <w:lang w:val="en-US"/>
        </w:rPr>
      </w:pPr>
      <w:r w:rsidRPr="006D344C">
        <w:rPr>
          <w:b/>
          <w:bCs/>
          <w:lang w:val="en-US"/>
        </w:rPr>
        <w:t>Figure S</w:t>
      </w:r>
      <w:r>
        <w:rPr>
          <w:b/>
          <w:bCs/>
          <w:lang w:val="en-US"/>
        </w:rPr>
        <w:t>7</w:t>
      </w:r>
      <w:r w:rsidRPr="006D344C">
        <w:rPr>
          <w:b/>
          <w:bCs/>
          <w:lang w:val="en-US"/>
        </w:rPr>
        <w:t xml:space="preserve">. Anti-scaffold antibodies induced by (NA)-Mi3 nanoparticles. </w:t>
      </w:r>
      <w:r>
        <w:rPr>
          <w:lang w:val="en-US"/>
        </w:rPr>
        <w:t xml:space="preserve">Antibodies binding the Mi3 nanoparticle carrier in sera from mice (n=12) immunized with homotypic NA-Mi3 or combined formulations taken at day 42 post-immunization were quantified in ELISA and endpoint titers were determined. </w:t>
      </w:r>
      <w:r w:rsidRPr="00C35493">
        <w:rPr>
          <w:lang w:val="en-US"/>
        </w:rPr>
        <w:t xml:space="preserve">Groups were compared with </w:t>
      </w:r>
      <w:r>
        <w:rPr>
          <w:lang w:val="en-US"/>
        </w:rPr>
        <w:t>Kruskal-Wallis and Dunn’s</w:t>
      </w:r>
      <w:r w:rsidRPr="00C35493">
        <w:rPr>
          <w:lang w:val="en-US"/>
        </w:rPr>
        <w:t xml:space="preserve"> post-hoc test using Graph</w:t>
      </w:r>
      <w:r>
        <w:rPr>
          <w:lang w:val="en-US"/>
        </w:rPr>
        <w:t>P</w:t>
      </w:r>
      <w:r w:rsidRPr="00C35493">
        <w:rPr>
          <w:lang w:val="en-US"/>
        </w:rPr>
        <w:t xml:space="preserve">ad Prism 9.3.1 </w:t>
      </w:r>
      <w:r w:rsidRPr="00C35493">
        <w:rPr>
          <w:lang w:val="nn-NO"/>
        </w:rPr>
        <w:t>(**, P &lt; 0.01).</w:t>
      </w:r>
    </w:p>
    <w:sectPr w:rsidR="006A52F7" w:rsidRPr="00BC5B8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7EEC82" w14:textId="77777777" w:rsidR="00CB3D83" w:rsidRDefault="00CB3D83" w:rsidP="00525B60">
      <w:pPr>
        <w:spacing w:after="0" w:line="240" w:lineRule="auto"/>
      </w:pPr>
      <w:r>
        <w:separator/>
      </w:r>
    </w:p>
  </w:endnote>
  <w:endnote w:type="continuationSeparator" w:id="0">
    <w:p w14:paraId="544A4DA3" w14:textId="77777777" w:rsidR="00CB3D83" w:rsidRDefault="00CB3D83" w:rsidP="00525B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2460D5" w14:textId="77777777" w:rsidR="00CB3D83" w:rsidRDefault="00CB3D83" w:rsidP="00525B60">
      <w:pPr>
        <w:spacing w:after="0" w:line="240" w:lineRule="auto"/>
      </w:pPr>
      <w:r>
        <w:separator/>
      </w:r>
    </w:p>
  </w:footnote>
  <w:footnote w:type="continuationSeparator" w:id="0">
    <w:p w14:paraId="78A59BFB" w14:textId="77777777" w:rsidR="00CB3D83" w:rsidRDefault="00CB3D83" w:rsidP="00525B6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5B86"/>
    <w:rsid w:val="002F49F1"/>
    <w:rsid w:val="00525B60"/>
    <w:rsid w:val="0068368E"/>
    <w:rsid w:val="006A52F7"/>
    <w:rsid w:val="007D4F36"/>
    <w:rsid w:val="009B62C0"/>
    <w:rsid w:val="00A90F23"/>
    <w:rsid w:val="00B4148B"/>
    <w:rsid w:val="00BC5B86"/>
    <w:rsid w:val="00CB3D83"/>
    <w:rsid w:val="00D66EC1"/>
    <w:rsid w:val="00F0310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1925A3B4"/>
  <w15:chartTrackingRefBased/>
  <w15:docId w15:val="{AA79A6E9-B98F-4CE8-8CC7-CA5310A4C5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5B8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25B60"/>
    <w:pPr>
      <w:tabs>
        <w:tab w:val="center" w:pos="4513"/>
        <w:tab w:val="right" w:pos="9026"/>
      </w:tabs>
      <w:spacing w:after="0" w:line="240" w:lineRule="auto"/>
    </w:pPr>
  </w:style>
  <w:style w:type="character" w:customStyle="1" w:styleId="HeaderChar">
    <w:name w:val="Header Char"/>
    <w:basedOn w:val="DefaultParagraphFont"/>
    <w:link w:val="Header"/>
    <w:uiPriority w:val="99"/>
    <w:rsid w:val="00525B60"/>
  </w:style>
  <w:style w:type="paragraph" w:styleId="Footer">
    <w:name w:val="footer"/>
    <w:basedOn w:val="Normal"/>
    <w:link w:val="FooterChar"/>
    <w:uiPriority w:val="99"/>
    <w:unhideWhenUsed/>
    <w:rsid w:val="00525B60"/>
    <w:pPr>
      <w:tabs>
        <w:tab w:val="center" w:pos="4513"/>
        <w:tab w:val="right" w:pos="9026"/>
      </w:tabs>
      <w:spacing w:after="0" w:line="240" w:lineRule="auto"/>
    </w:pPr>
  </w:style>
  <w:style w:type="character" w:customStyle="1" w:styleId="FooterChar">
    <w:name w:val="Footer Char"/>
    <w:basedOn w:val="DefaultParagraphFont"/>
    <w:link w:val="Footer"/>
    <w:uiPriority w:val="99"/>
    <w:rsid w:val="00525B60"/>
  </w:style>
  <w:style w:type="paragraph" w:styleId="Revision">
    <w:name w:val="Revision"/>
    <w:hidden/>
    <w:uiPriority w:val="99"/>
    <w:semiHidden/>
    <w:rsid w:val="007D4F3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emf"/><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6.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oleObject" Target="embeddings/oleObject1.bin"/><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emf"/><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oleObject" Target="embeddings/oleObject2.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516</Words>
  <Characters>2839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Utrecht University</Company>
  <LinksUpToDate>false</LinksUpToDate>
  <CharactersWithSpaces>3349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Pascha, M.N. (Mirte)</dc:creator>
  <cp:keywords/>
  <dc:description/>
  <cp:lastModifiedBy>Pascha, M.N. (Mirte)</cp:lastModifiedBy>
  <cp:revision>2</cp:revision>
  <dcterms:created xsi:type="dcterms:W3CDTF">2023-10-22T19:59:00Z</dcterms:created>
  <dcterms:modified xsi:type="dcterms:W3CDTF">2023-10-22T19:59:00Z</dcterms:modified>
</cp:coreProperties>
</file>