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0B49B4" w14:textId="77777777" w:rsidR="007C3609" w:rsidRPr="006548B9" w:rsidRDefault="007C3609" w:rsidP="007C3609">
      <w:pPr>
        <w:pStyle w:val="Standard"/>
        <w:widowControl/>
        <w:spacing w:after="144"/>
        <w:jc w:val="center"/>
        <w:rPr>
          <w:b/>
        </w:rPr>
      </w:pPr>
      <w:r>
        <w:rPr>
          <w:rFonts w:eastAsia="Calibri" w:cs="Times New Roman"/>
          <w:b/>
          <w:bCs/>
          <w:sz w:val="28"/>
          <w:szCs w:val="28"/>
          <w:lang w:val="en-GB"/>
        </w:rPr>
        <w:t xml:space="preserve"> </w:t>
      </w:r>
      <w:r w:rsidRPr="006548B9">
        <w:rPr>
          <w:b/>
        </w:rPr>
        <w:t>Supplemental Tables and Figures</w:t>
      </w:r>
    </w:p>
    <w:p w14:paraId="67633BD0" w14:textId="7211B819" w:rsidR="004D6053" w:rsidRPr="00FD0E64" w:rsidRDefault="007C3609" w:rsidP="007C3609">
      <w:pPr>
        <w:pStyle w:val="ListParagraph"/>
        <w:spacing w:after="0" w:line="228" w:lineRule="auto"/>
        <w:ind w:left="340" w:hanging="340"/>
        <w:rPr>
          <w:rFonts w:ascii="Times New Roman" w:eastAsia="Times New Roman" w:hAnsi="Times New Roman" w:cs="Times New Roman"/>
          <w:sz w:val="18"/>
          <w:szCs w:val="18"/>
          <w:lang w:val="en-GB" w:eastAsia="et-EE"/>
        </w:rPr>
      </w:pPr>
      <w:r>
        <w:rPr>
          <w:rFonts w:ascii="Times New Roman" w:hAnsi="Times New Roman" w:cs="Times New Roman"/>
          <w:b/>
          <w:bCs/>
          <w:sz w:val="18"/>
          <w:szCs w:val="18"/>
          <w:lang w:val="en-GB"/>
        </w:rPr>
        <w:t xml:space="preserve"> </w:t>
      </w:r>
    </w:p>
    <w:p w14:paraId="18775A91" w14:textId="0531E266" w:rsidR="007250CD" w:rsidRPr="00FD0E64" w:rsidRDefault="00E152A0" w:rsidP="004D6053">
      <w:pPr>
        <w:autoSpaceDE w:val="0"/>
        <w:autoSpaceDN w:val="0"/>
        <w:adjustRightInd w:val="0"/>
        <w:spacing w:before="240" w:after="120" w:line="228" w:lineRule="auto"/>
        <w:rPr>
          <w:rFonts w:ascii="Times New Roman" w:eastAsia="Times New Roman" w:hAnsi="Times New Roman" w:cs="Times New Roman"/>
          <w:b/>
          <w:color w:val="252525"/>
          <w:sz w:val="18"/>
          <w:szCs w:val="18"/>
          <w:lang w:val="en-GB" w:eastAsia="et-EE"/>
        </w:rPr>
      </w:pPr>
      <w:r>
        <w:rPr>
          <w:noProof/>
          <w:lang w:eastAsia="et-EE"/>
        </w:rPr>
        <w:drawing>
          <wp:inline distT="0" distB="0" distL="0" distR="0" wp14:anchorId="65C726F0" wp14:editId="242DB4C2">
            <wp:extent cx="5105400" cy="2983230"/>
            <wp:effectExtent l="0" t="0" r="0" b="7620"/>
            <wp:docPr id="1" name="Chart 1">
              <a:extLst xmlns:a="http://schemas.openxmlformats.org/drawingml/2006/main">
                <a:ext uri="{FF2B5EF4-FFF2-40B4-BE49-F238E27FC236}">
                  <a16:creationId xmlns:a16="http://schemas.microsoft.com/office/drawing/2014/main" id="{88527355-80C1-4912-B050-33D10F7E5C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0A1F837" w14:textId="4C2AAA56" w:rsidR="00A70984" w:rsidRPr="00FD0E64" w:rsidRDefault="00071D5B" w:rsidP="004D6053">
      <w:pPr>
        <w:autoSpaceDE w:val="0"/>
        <w:autoSpaceDN w:val="0"/>
        <w:adjustRightInd w:val="0"/>
        <w:spacing w:before="120" w:after="240" w:line="228" w:lineRule="auto"/>
        <w:rPr>
          <w:rFonts w:ascii="Times New Roman" w:eastAsia="GillSansMT" w:hAnsi="Times New Roman" w:cs="Times New Roman"/>
          <w:sz w:val="18"/>
          <w:szCs w:val="18"/>
          <w:lang w:val="en-GB"/>
        </w:rPr>
      </w:pPr>
      <w:r w:rsidRPr="00FD0E64">
        <w:rPr>
          <w:rFonts w:ascii="Times New Roman" w:eastAsia="Times New Roman" w:hAnsi="Times New Roman" w:cs="Times New Roman"/>
          <w:b/>
          <w:color w:val="252525"/>
          <w:sz w:val="18"/>
          <w:szCs w:val="18"/>
          <w:lang w:val="en-GB" w:eastAsia="et-EE"/>
        </w:rPr>
        <w:t>Fig S1</w:t>
      </w:r>
      <w:r w:rsidR="00A70984" w:rsidRPr="00FD0E64">
        <w:rPr>
          <w:rFonts w:ascii="Times New Roman" w:eastAsia="Times New Roman" w:hAnsi="Times New Roman" w:cs="Times New Roman"/>
          <w:b/>
          <w:color w:val="252525"/>
          <w:sz w:val="18"/>
          <w:szCs w:val="18"/>
          <w:lang w:val="en-GB" w:eastAsia="et-EE"/>
        </w:rPr>
        <w:t xml:space="preserve"> </w:t>
      </w:r>
      <w:r w:rsidR="00C11651" w:rsidRPr="00FD0E64">
        <w:rPr>
          <w:rFonts w:ascii="Times New Roman" w:eastAsia="Times New Roman" w:hAnsi="Times New Roman" w:cs="Times New Roman"/>
          <w:color w:val="252525"/>
          <w:sz w:val="18"/>
          <w:szCs w:val="18"/>
          <w:lang w:val="en-GB" w:eastAsia="et-EE"/>
        </w:rPr>
        <w:t>Relationship</w:t>
      </w:r>
      <w:r w:rsidR="00C11651" w:rsidRPr="00FD0E64">
        <w:rPr>
          <w:rFonts w:ascii="Times New Roman" w:eastAsia="GillSansMT" w:hAnsi="Times New Roman" w:cs="Times New Roman"/>
          <w:sz w:val="18"/>
          <w:szCs w:val="18"/>
          <w:lang w:val="en-GB"/>
        </w:rPr>
        <w:t xml:space="preserve"> between</w:t>
      </w:r>
      <w:r w:rsidR="00A70984" w:rsidRPr="00FD0E64">
        <w:rPr>
          <w:rFonts w:ascii="Times New Roman" w:eastAsia="GillSansMT" w:hAnsi="Times New Roman" w:cs="Times New Roman"/>
          <w:sz w:val="18"/>
          <w:szCs w:val="18"/>
          <w:lang w:val="en-GB"/>
        </w:rPr>
        <w:t xml:space="preserve"> length of growing period (days) </w:t>
      </w:r>
      <w:r w:rsidR="00C11651" w:rsidRPr="00FD0E64">
        <w:rPr>
          <w:rFonts w:ascii="Times New Roman" w:eastAsia="GillSansMT" w:hAnsi="Times New Roman" w:cs="Times New Roman"/>
          <w:sz w:val="18"/>
          <w:szCs w:val="18"/>
          <w:lang w:val="en-GB"/>
        </w:rPr>
        <w:t>and</w:t>
      </w:r>
      <w:r w:rsidR="00A70984" w:rsidRPr="00FD0E64">
        <w:rPr>
          <w:rFonts w:ascii="Times New Roman" w:eastAsia="GillSansMT" w:hAnsi="Times New Roman" w:cs="Times New Roman"/>
          <w:sz w:val="18"/>
          <w:szCs w:val="18"/>
          <w:lang w:val="en-GB"/>
        </w:rPr>
        <w:t xml:space="preserve"> protein content (%) of 300 spring wheat genotypes evaluated in 8 environments (combination of year x location)</w:t>
      </w:r>
    </w:p>
    <w:p w14:paraId="0C088691" w14:textId="7BE4A819" w:rsidR="00142DEB" w:rsidRPr="00FD0E64" w:rsidRDefault="00E152A0" w:rsidP="004D6053">
      <w:pPr>
        <w:autoSpaceDE w:val="0"/>
        <w:autoSpaceDN w:val="0"/>
        <w:adjustRightInd w:val="0"/>
        <w:spacing w:before="120" w:after="240" w:line="228" w:lineRule="auto"/>
        <w:rPr>
          <w:rFonts w:ascii="Times New Roman" w:eastAsia="GillSansMT" w:hAnsi="Times New Roman" w:cs="Times New Roman"/>
          <w:sz w:val="18"/>
          <w:szCs w:val="18"/>
          <w:lang w:val="en-GB"/>
        </w:rPr>
      </w:pPr>
      <w:r>
        <w:rPr>
          <w:noProof/>
          <w:lang w:eastAsia="et-EE"/>
        </w:rPr>
        <w:drawing>
          <wp:inline distT="0" distB="0" distL="0" distR="0" wp14:anchorId="0E11BE4C" wp14:editId="59BE1CC9">
            <wp:extent cx="5057775" cy="2956560"/>
            <wp:effectExtent l="0" t="0" r="0" b="0"/>
            <wp:docPr id="40" name="Chart 4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Start w:id="0" w:name="_GoBack"/>
      <w:bookmarkEnd w:id="0"/>
    </w:p>
    <w:p w14:paraId="5AA77A0C" w14:textId="0EEFF7C0" w:rsidR="00A70984" w:rsidRPr="00FD0E64" w:rsidRDefault="00071D5B" w:rsidP="004D6053">
      <w:pPr>
        <w:autoSpaceDE w:val="0"/>
        <w:autoSpaceDN w:val="0"/>
        <w:adjustRightInd w:val="0"/>
        <w:spacing w:before="120" w:after="240" w:line="228" w:lineRule="auto"/>
        <w:rPr>
          <w:rFonts w:ascii="Times New Roman" w:eastAsia="GillSansMT" w:hAnsi="Times New Roman" w:cs="Times New Roman"/>
          <w:sz w:val="18"/>
          <w:szCs w:val="18"/>
          <w:lang w:val="en-GB"/>
        </w:rPr>
      </w:pPr>
      <w:r w:rsidRPr="00FD0E64">
        <w:rPr>
          <w:rFonts w:ascii="Times New Roman" w:eastAsia="Times New Roman" w:hAnsi="Times New Roman" w:cs="Times New Roman"/>
          <w:b/>
          <w:color w:val="252525"/>
          <w:sz w:val="18"/>
          <w:szCs w:val="18"/>
          <w:lang w:val="en-GB" w:eastAsia="et-EE"/>
        </w:rPr>
        <w:t>Fig S</w:t>
      </w:r>
      <w:r w:rsidR="00F47AF4" w:rsidRPr="00FD0E64">
        <w:rPr>
          <w:rFonts w:ascii="Times New Roman" w:eastAsia="Times New Roman" w:hAnsi="Times New Roman" w:cs="Times New Roman"/>
          <w:b/>
          <w:color w:val="252525"/>
          <w:sz w:val="18"/>
          <w:szCs w:val="18"/>
          <w:lang w:val="en-GB" w:eastAsia="et-EE"/>
        </w:rPr>
        <w:t>2</w:t>
      </w:r>
      <w:r w:rsidRPr="00FD0E64">
        <w:rPr>
          <w:rFonts w:ascii="Times New Roman" w:eastAsia="Times New Roman" w:hAnsi="Times New Roman" w:cs="Times New Roman"/>
          <w:color w:val="252525"/>
          <w:sz w:val="18"/>
          <w:szCs w:val="18"/>
          <w:lang w:val="en-GB" w:eastAsia="et-EE"/>
        </w:rPr>
        <w:t xml:space="preserve"> </w:t>
      </w:r>
      <w:r w:rsidR="00C11651" w:rsidRPr="00FD0E64">
        <w:rPr>
          <w:rFonts w:ascii="Times New Roman" w:eastAsia="Times New Roman" w:hAnsi="Times New Roman" w:cs="Times New Roman"/>
          <w:color w:val="252525"/>
          <w:sz w:val="18"/>
          <w:szCs w:val="18"/>
          <w:lang w:val="en-GB" w:eastAsia="et-EE"/>
        </w:rPr>
        <w:t>Relationship between</w:t>
      </w:r>
      <w:r w:rsidR="00A70984" w:rsidRPr="00FD0E64">
        <w:rPr>
          <w:rFonts w:ascii="Times New Roman" w:eastAsia="GillSansMT" w:hAnsi="Times New Roman" w:cs="Times New Roman"/>
          <w:sz w:val="18"/>
          <w:szCs w:val="18"/>
          <w:lang w:val="en-GB"/>
        </w:rPr>
        <w:t xml:space="preserve"> </w:t>
      </w:r>
      <w:r w:rsidR="001222FA" w:rsidRPr="00FD0E64">
        <w:rPr>
          <w:rFonts w:ascii="Times New Roman" w:eastAsia="GillSansMT" w:hAnsi="Times New Roman" w:cs="Times New Roman"/>
          <w:sz w:val="18"/>
          <w:szCs w:val="18"/>
          <w:lang w:val="en-GB"/>
        </w:rPr>
        <w:t>protein content (%)</w:t>
      </w:r>
      <w:r w:rsidR="00A70984" w:rsidRPr="00FD0E64">
        <w:rPr>
          <w:rFonts w:ascii="Times New Roman" w:eastAsia="GillSansMT" w:hAnsi="Times New Roman" w:cs="Times New Roman"/>
          <w:sz w:val="18"/>
          <w:szCs w:val="18"/>
          <w:lang w:val="en-GB"/>
        </w:rPr>
        <w:t xml:space="preserve"> </w:t>
      </w:r>
      <w:r w:rsidR="00C11651" w:rsidRPr="00FD0E64">
        <w:rPr>
          <w:rFonts w:ascii="Times New Roman" w:eastAsia="GillSansMT" w:hAnsi="Times New Roman" w:cs="Times New Roman"/>
          <w:sz w:val="18"/>
          <w:szCs w:val="18"/>
          <w:lang w:val="en-GB"/>
        </w:rPr>
        <w:t>and</w:t>
      </w:r>
      <w:r w:rsidR="00A70984" w:rsidRPr="00FD0E64">
        <w:rPr>
          <w:rFonts w:ascii="Times New Roman" w:eastAsia="GillSansMT" w:hAnsi="Times New Roman" w:cs="Times New Roman"/>
          <w:sz w:val="18"/>
          <w:szCs w:val="18"/>
          <w:lang w:val="en-GB"/>
        </w:rPr>
        <w:t xml:space="preserve"> grain yield </w:t>
      </w:r>
      <w:r w:rsidR="001222FA" w:rsidRPr="00FD0E64">
        <w:rPr>
          <w:rFonts w:ascii="Times New Roman" w:eastAsia="GillSansMT" w:hAnsi="Times New Roman" w:cs="Times New Roman"/>
          <w:sz w:val="18"/>
          <w:szCs w:val="18"/>
          <w:lang w:val="en-GB"/>
        </w:rPr>
        <w:t>(g m</w:t>
      </w:r>
      <w:r w:rsidR="007529A5" w:rsidRPr="00FD0E64">
        <w:rPr>
          <w:rFonts w:ascii="Times New Roman" w:eastAsia="Times New Roman" w:hAnsi="Times New Roman" w:cs="Times New Roman"/>
          <w:color w:val="252525"/>
          <w:sz w:val="20"/>
          <w:szCs w:val="20"/>
          <w:vertAlign w:val="superscript"/>
          <w:lang w:val="en-GB" w:eastAsia="et-EE"/>
        </w:rPr>
        <w:t>-</w:t>
      </w:r>
      <w:r w:rsidR="001222FA" w:rsidRPr="00FD0E64">
        <w:rPr>
          <w:rFonts w:ascii="Times New Roman" w:eastAsia="GillSansMT" w:hAnsi="Times New Roman" w:cs="Times New Roman"/>
          <w:sz w:val="18"/>
          <w:szCs w:val="18"/>
          <w:vertAlign w:val="superscript"/>
          <w:lang w:val="en-GB"/>
        </w:rPr>
        <w:t>2</w:t>
      </w:r>
      <w:r w:rsidR="001222FA" w:rsidRPr="00FD0E64">
        <w:rPr>
          <w:rFonts w:ascii="Times New Roman" w:eastAsia="GillSansMT" w:hAnsi="Times New Roman" w:cs="Times New Roman"/>
          <w:sz w:val="18"/>
          <w:szCs w:val="18"/>
          <w:lang w:val="en-GB"/>
        </w:rPr>
        <w:t xml:space="preserve">) </w:t>
      </w:r>
      <w:r w:rsidR="00A70984" w:rsidRPr="00FD0E64">
        <w:rPr>
          <w:rFonts w:ascii="Times New Roman" w:eastAsia="GillSansMT" w:hAnsi="Times New Roman" w:cs="Times New Roman"/>
          <w:sz w:val="18"/>
          <w:szCs w:val="18"/>
          <w:lang w:val="en-GB"/>
        </w:rPr>
        <w:t xml:space="preserve">of 300 spring wheat genotypes evaluated in 8 environments (combination of year x location) </w:t>
      </w:r>
    </w:p>
    <w:p w14:paraId="5AF6A803" w14:textId="0C3D9A01" w:rsidR="00517AF9" w:rsidRPr="00FD0E64" w:rsidRDefault="0084740E" w:rsidP="004D6053">
      <w:pPr>
        <w:spacing w:line="228" w:lineRule="auto"/>
        <w:jc w:val="both"/>
        <w:rPr>
          <w:rFonts w:ascii="Times New Roman" w:hAnsi="Times New Roman" w:cs="Times New Roman"/>
          <w:b/>
          <w:bCs/>
          <w:sz w:val="18"/>
          <w:szCs w:val="18"/>
          <w:lang w:val="en-GB"/>
        </w:rPr>
      </w:pPr>
      <w:r w:rsidRPr="00FD0E64">
        <w:rPr>
          <w:rFonts w:ascii="Times New Roman" w:hAnsi="Times New Roman" w:cs="Times New Roman"/>
          <w:noProof/>
          <w:lang w:eastAsia="et-EE"/>
        </w:rPr>
        <w:lastRenderedPageBreak/>
        <w:drawing>
          <wp:inline distT="0" distB="0" distL="0" distR="0" wp14:anchorId="3249CD30" wp14:editId="54518673">
            <wp:extent cx="3225165" cy="584073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5165" cy="5840730"/>
                    </a:xfrm>
                    <a:prstGeom prst="rect">
                      <a:avLst/>
                    </a:prstGeom>
                    <a:noFill/>
                  </pic:spPr>
                </pic:pic>
              </a:graphicData>
            </a:graphic>
          </wp:inline>
        </w:drawing>
      </w:r>
    </w:p>
    <w:p w14:paraId="687737E2" w14:textId="3935A189" w:rsidR="00071D5B" w:rsidRPr="00FD0E64" w:rsidRDefault="00071D5B" w:rsidP="004D6053">
      <w:pPr>
        <w:spacing w:before="120" w:after="240" w:line="228" w:lineRule="auto"/>
        <w:jc w:val="both"/>
        <w:rPr>
          <w:rFonts w:ascii="Times New Roman" w:hAnsi="Times New Roman" w:cs="Times New Roman"/>
          <w:sz w:val="18"/>
          <w:szCs w:val="18"/>
          <w:lang w:val="en-GB"/>
        </w:rPr>
      </w:pPr>
      <w:r w:rsidRPr="00FD0E64">
        <w:rPr>
          <w:rFonts w:ascii="Times New Roman" w:hAnsi="Times New Roman" w:cs="Times New Roman"/>
          <w:b/>
          <w:bCs/>
          <w:sz w:val="18"/>
          <w:szCs w:val="18"/>
          <w:lang w:val="en-GB"/>
        </w:rPr>
        <w:t xml:space="preserve">Fig </w:t>
      </w:r>
      <w:r w:rsidR="00EE02E1" w:rsidRPr="00FD0E64">
        <w:rPr>
          <w:rFonts w:ascii="Times New Roman" w:hAnsi="Times New Roman" w:cs="Times New Roman"/>
          <w:b/>
          <w:bCs/>
          <w:sz w:val="18"/>
          <w:szCs w:val="18"/>
          <w:lang w:val="en-GB"/>
        </w:rPr>
        <w:t>S3</w:t>
      </w:r>
      <w:r w:rsidRPr="00FD0E64">
        <w:rPr>
          <w:rFonts w:ascii="Times New Roman" w:hAnsi="Times New Roman" w:cs="Times New Roman"/>
          <w:sz w:val="18"/>
          <w:szCs w:val="18"/>
          <w:lang w:val="en-GB"/>
        </w:rPr>
        <w:t xml:space="preserve"> Distribution of the values of the plant emergence</w:t>
      </w:r>
      <w:r w:rsidR="0084740E" w:rsidRPr="00FD0E64">
        <w:rPr>
          <w:rFonts w:ascii="Times New Roman" w:hAnsi="Times New Roman" w:cs="Times New Roman"/>
          <w:sz w:val="18"/>
          <w:szCs w:val="18"/>
          <w:lang w:val="en-GB"/>
        </w:rPr>
        <w:t xml:space="preserve"> (</w:t>
      </w:r>
      <w:r w:rsidR="0084740E" w:rsidRPr="00FD0E64">
        <w:rPr>
          <w:rFonts w:ascii="Times New Roman" w:hAnsi="Times New Roman" w:cs="Times New Roman"/>
          <w:b/>
          <w:sz w:val="18"/>
          <w:szCs w:val="18"/>
          <w:lang w:val="en-GB"/>
        </w:rPr>
        <w:t>a</w:t>
      </w:r>
      <w:r w:rsidR="0084740E" w:rsidRPr="00FD0E64">
        <w:rPr>
          <w:rFonts w:ascii="Times New Roman" w:hAnsi="Times New Roman" w:cs="Times New Roman"/>
          <w:sz w:val="18"/>
          <w:szCs w:val="18"/>
          <w:lang w:val="en-GB"/>
        </w:rPr>
        <w:t>)</w:t>
      </w:r>
      <w:r w:rsidRPr="00FD0E64">
        <w:rPr>
          <w:rFonts w:ascii="Times New Roman" w:hAnsi="Times New Roman" w:cs="Times New Roman"/>
          <w:sz w:val="18"/>
          <w:szCs w:val="18"/>
          <w:lang w:val="en-GB"/>
        </w:rPr>
        <w:t>, early vigour</w:t>
      </w:r>
      <w:r w:rsidR="0084740E" w:rsidRPr="00FD0E64">
        <w:rPr>
          <w:rFonts w:ascii="Times New Roman" w:hAnsi="Times New Roman" w:cs="Times New Roman"/>
          <w:sz w:val="18"/>
          <w:szCs w:val="18"/>
          <w:lang w:val="en-GB"/>
        </w:rPr>
        <w:t xml:space="preserve"> (</w:t>
      </w:r>
      <w:r w:rsidR="0084740E" w:rsidRPr="00FD0E64">
        <w:rPr>
          <w:rFonts w:ascii="Times New Roman" w:hAnsi="Times New Roman" w:cs="Times New Roman"/>
          <w:b/>
          <w:sz w:val="18"/>
          <w:szCs w:val="18"/>
          <w:lang w:val="en-GB"/>
        </w:rPr>
        <w:t>b</w:t>
      </w:r>
      <w:r w:rsidR="0084740E" w:rsidRPr="00FD0E64">
        <w:rPr>
          <w:rFonts w:ascii="Times New Roman" w:hAnsi="Times New Roman" w:cs="Times New Roman"/>
          <w:sz w:val="18"/>
          <w:szCs w:val="18"/>
          <w:lang w:val="en-GB"/>
        </w:rPr>
        <w:t>)</w:t>
      </w:r>
      <w:r w:rsidRPr="00FD0E64">
        <w:rPr>
          <w:rFonts w:ascii="Times New Roman" w:hAnsi="Times New Roman" w:cs="Times New Roman"/>
          <w:sz w:val="18"/>
          <w:szCs w:val="18"/>
          <w:lang w:val="en-GB"/>
        </w:rPr>
        <w:t>, heading</w:t>
      </w:r>
      <w:r w:rsidR="0084740E" w:rsidRPr="00FD0E64">
        <w:rPr>
          <w:rFonts w:ascii="Times New Roman" w:hAnsi="Times New Roman" w:cs="Times New Roman"/>
          <w:sz w:val="18"/>
          <w:szCs w:val="18"/>
          <w:lang w:val="en-GB"/>
        </w:rPr>
        <w:t xml:space="preserve"> (</w:t>
      </w:r>
      <w:r w:rsidR="0084740E" w:rsidRPr="00FD0E64">
        <w:rPr>
          <w:rFonts w:ascii="Times New Roman" w:hAnsi="Times New Roman" w:cs="Times New Roman"/>
          <w:b/>
          <w:sz w:val="18"/>
          <w:szCs w:val="18"/>
          <w:lang w:val="en-GB"/>
        </w:rPr>
        <w:t>c</w:t>
      </w:r>
      <w:r w:rsidR="0084740E" w:rsidRPr="00FD0E64">
        <w:rPr>
          <w:rFonts w:ascii="Times New Roman" w:hAnsi="Times New Roman" w:cs="Times New Roman"/>
          <w:sz w:val="18"/>
          <w:szCs w:val="18"/>
          <w:lang w:val="en-GB"/>
        </w:rPr>
        <w:t>)</w:t>
      </w:r>
      <w:r w:rsidRPr="00FD0E64">
        <w:rPr>
          <w:rFonts w:ascii="Times New Roman" w:hAnsi="Times New Roman" w:cs="Times New Roman"/>
          <w:sz w:val="18"/>
          <w:szCs w:val="18"/>
          <w:lang w:val="en-GB"/>
        </w:rPr>
        <w:t>, plant height</w:t>
      </w:r>
      <w:r w:rsidR="0084740E" w:rsidRPr="00FD0E64">
        <w:rPr>
          <w:rFonts w:ascii="Times New Roman" w:hAnsi="Times New Roman" w:cs="Times New Roman"/>
          <w:sz w:val="18"/>
          <w:szCs w:val="18"/>
          <w:lang w:val="en-GB"/>
        </w:rPr>
        <w:t xml:space="preserve"> (</w:t>
      </w:r>
      <w:r w:rsidR="0084740E" w:rsidRPr="00FD0E64">
        <w:rPr>
          <w:rFonts w:ascii="Times New Roman" w:hAnsi="Times New Roman" w:cs="Times New Roman"/>
          <w:b/>
          <w:sz w:val="18"/>
          <w:szCs w:val="18"/>
          <w:lang w:val="en-GB"/>
        </w:rPr>
        <w:t>d</w:t>
      </w:r>
      <w:r w:rsidR="0084740E" w:rsidRPr="00FD0E64">
        <w:rPr>
          <w:rFonts w:ascii="Times New Roman" w:hAnsi="Times New Roman" w:cs="Times New Roman"/>
          <w:sz w:val="18"/>
          <w:szCs w:val="18"/>
          <w:lang w:val="en-GB"/>
        </w:rPr>
        <w:t>)</w:t>
      </w:r>
      <w:r w:rsidRPr="00FD0E64">
        <w:rPr>
          <w:rFonts w:ascii="Times New Roman" w:hAnsi="Times New Roman" w:cs="Times New Roman"/>
          <w:sz w:val="18"/>
          <w:szCs w:val="18"/>
          <w:lang w:val="en-GB"/>
        </w:rPr>
        <w:t xml:space="preserve"> by countries (EE: Estonia, LT: Latvia, LT: Lithuania, NO: Norway) and years. For each country and year combination in background the box plot indicating the median and inter-quartile range is presented in grey, bold black lines and black numerical values above the figure mark the average values by countries and years (means without common superscript letter are statistically significantly different), red dashed lines and red numerical values above the figure mark the average values by countries over years (means without common superscript letter are statistically significantly different), horizontal dotted line and numerical value at the left side of figure indicate the overall mean. Countries and years combinations without data are left empty. P-values under the figure show statistical significance of country (</w:t>
      </w:r>
      <w:proofErr w:type="spellStart"/>
      <w:r w:rsidRPr="00FD0E64">
        <w:rPr>
          <w:rFonts w:ascii="Times New Roman" w:hAnsi="Times New Roman" w:cs="Times New Roman"/>
          <w:sz w:val="18"/>
          <w:szCs w:val="18"/>
          <w:lang w:val="en-GB"/>
        </w:rPr>
        <w:t>p</w:t>
      </w:r>
      <w:r w:rsidRPr="00FD0E64">
        <w:rPr>
          <w:rFonts w:ascii="Times New Roman" w:hAnsi="Times New Roman" w:cs="Times New Roman"/>
          <w:sz w:val="18"/>
          <w:szCs w:val="18"/>
          <w:vertAlign w:val="subscript"/>
          <w:lang w:val="en-GB"/>
        </w:rPr>
        <w:t>C</w:t>
      </w:r>
      <w:proofErr w:type="spellEnd"/>
      <w:r w:rsidRPr="00FD0E64">
        <w:rPr>
          <w:rFonts w:ascii="Times New Roman" w:hAnsi="Times New Roman" w:cs="Times New Roman"/>
          <w:sz w:val="18"/>
          <w:szCs w:val="18"/>
          <w:lang w:val="en-GB"/>
        </w:rPr>
        <w:t>), year (</w:t>
      </w:r>
      <w:proofErr w:type="spellStart"/>
      <w:r w:rsidRPr="00FD0E64">
        <w:rPr>
          <w:rFonts w:ascii="Times New Roman" w:hAnsi="Times New Roman" w:cs="Times New Roman"/>
          <w:sz w:val="18"/>
          <w:szCs w:val="18"/>
          <w:lang w:val="en-GB"/>
        </w:rPr>
        <w:t>p</w:t>
      </w:r>
      <w:r w:rsidRPr="00FD0E64">
        <w:rPr>
          <w:rFonts w:ascii="Times New Roman" w:hAnsi="Times New Roman" w:cs="Times New Roman"/>
          <w:sz w:val="18"/>
          <w:szCs w:val="18"/>
          <w:vertAlign w:val="subscript"/>
          <w:lang w:val="en-GB"/>
        </w:rPr>
        <w:t>Y</w:t>
      </w:r>
      <w:proofErr w:type="spellEnd"/>
      <w:r w:rsidRPr="00FD0E64">
        <w:rPr>
          <w:rFonts w:ascii="Times New Roman" w:hAnsi="Times New Roman" w:cs="Times New Roman"/>
          <w:sz w:val="18"/>
          <w:szCs w:val="18"/>
          <w:lang w:val="en-GB"/>
        </w:rPr>
        <w:t>) and country by year interaction (</w:t>
      </w:r>
      <w:proofErr w:type="spellStart"/>
      <w:r w:rsidRPr="00FD0E64">
        <w:rPr>
          <w:rFonts w:ascii="Times New Roman" w:hAnsi="Times New Roman" w:cs="Times New Roman"/>
          <w:sz w:val="18"/>
          <w:szCs w:val="18"/>
          <w:lang w:val="en-GB"/>
        </w:rPr>
        <w:t>p</w:t>
      </w:r>
      <w:r w:rsidRPr="00FD0E64">
        <w:rPr>
          <w:rFonts w:ascii="Times New Roman" w:hAnsi="Times New Roman" w:cs="Times New Roman"/>
          <w:sz w:val="18"/>
          <w:szCs w:val="18"/>
          <w:vertAlign w:val="subscript"/>
          <w:lang w:val="en-GB"/>
        </w:rPr>
        <w:t>C×Y</w:t>
      </w:r>
      <w:proofErr w:type="spellEnd"/>
      <w:r w:rsidRPr="00FD0E64">
        <w:rPr>
          <w:rFonts w:ascii="Times New Roman" w:hAnsi="Times New Roman" w:cs="Times New Roman"/>
          <w:sz w:val="18"/>
          <w:szCs w:val="18"/>
          <w:lang w:val="en-GB"/>
        </w:rPr>
        <w:t>) effects for all the traits</w:t>
      </w:r>
    </w:p>
    <w:p w14:paraId="40A7D21C" w14:textId="1AA8399B" w:rsidR="00071D5B" w:rsidRPr="00FD0E64" w:rsidRDefault="00280B7B" w:rsidP="00280B7B">
      <w:pPr>
        <w:spacing w:before="240" w:after="120" w:line="228" w:lineRule="auto"/>
        <w:jc w:val="both"/>
        <w:rPr>
          <w:rFonts w:ascii="Times New Roman" w:hAnsi="Times New Roman" w:cs="Times New Roman"/>
          <w:lang w:val="en-GB"/>
        </w:rPr>
      </w:pPr>
      <w:r w:rsidRPr="00FD0E64">
        <w:rPr>
          <w:rFonts w:ascii="Times New Roman" w:hAnsi="Times New Roman" w:cs="Times New Roman"/>
          <w:noProof/>
          <w:lang w:eastAsia="et-EE"/>
        </w:rPr>
        <w:lastRenderedPageBreak/>
        <w:drawing>
          <wp:inline distT="0" distB="0" distL="0" distR="0" wp14:anchorId="42B6B1C5" wp14:editId="75CEB0D3">
            <wp:extent cx="3310255" cy="5956300"/>
            <wp:effectExtent l="0" t="0" r="4445"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0255" cy="5956300"/>
                    </a:xfrm>
                    <a:prstGeom prst="rect">
                      <a:avLst/>
                    </a:prstGeom>
                    <a:noFill/>
                  </pic:spPr>
                </pic:pic>
              </a:graphicData>
            </a:graphic>
          </wp:inline>
        </w:drawing>
      </w:r>
    </w:p>
    <w:p w14:paraId="0134636D" w14:textId="64F7A3EE" w:rsidR="001D4694" w:rsidRPr="00FD0E64" w:rsidRDefault="001D4694" w:rsidP="004D6053">
      <w:pPr>
        <w:spacing w:before="120" w:after="240" w:line="228" w:lineRule="auto"/>
        <w:jc w:val="both"/>
        <w:rPr>
          <w:rFonts w:ascii="Times New Roman" w:hAnsi="Times New Roman" w:cs="Times New Roman"/>
          <w:lang w:val="en-GB"/>
        </w:rPr>
      </w:pPr>
      <w:r w:rsidRPr="00FD0E64">
        <w:rPr>
          <w:rFonts w:ascii="Times New Roman" w:hAnsi="Times New Roman" w:cs="Times New Roman"/>
          <w:b/>
          <w:bCs/>
          <w:sz w:val="18"/>
          <w:szCs w:val="18"/>
          <w:lang w:val="en-GB"/>
        </w:rPr>
        <w:t>Fig S</w:t>
      </w:r>
      <w:r w:rsidR="00EE02E1" w:rsidRPr="00FD0E64">
        <w:rPr>
          <w:rFonts w:ascii="Times New Roman" w:hAnsi="Times New Roman" w:cs="Times New Roman"/>
          <w:b/>
          <w:bCs/>
          <w:sz w:val="18"/>
          <w:szCs w:val="18"/>
          <w:lang w:val="en-GB"/>
        </w:rPr>
        <w:t>4</w:t>
      </w:r>
      <w:r w:rsidRPr="00FD0E64">
        <w:rPr>
          <w:rFonts w:ascii="Times New Roman" w:hAnsi="Times New Roman" w:cs="Times New Roman"/>
          <w:sz w:val="18"/>
          <w:szCs w:val="18"/>
          <w:lang w:val="en-GB"/>
        </w:rPr>
        <w:t xml:space="preserve"> Distribution of the values of the lodging</w:t>
      </w:r>
      <w:r w:rsidR="00697A11" w:rsidRPr="00FD0E64">
        <w:rPr>
          <w:rFonts w:ascii="Times New Roman" w:hAnsi="Times New Roman" w:cs="Times New Roman"/>
          <w:sz w:val="18"/>
          <w:szCs w:val="18"/>
          <w:lang w:val="en-GB"/>
        </w:rPr>
        <w:t xml:space="preserve"> (</w:t>
      </w:r>
      <w:r w:rsidR="00697A11" w:rsidRPr="00FD0E64">
        <w:rPr>
          <w:rFonts w:ascii="Times New Roman" w:hAnsi="Times New Roman" w:cs="Times New Roman"/>
          <w:b/>
          <w:sz w:val="18"/>
          <w:szCs w:val="18"/>
          <w:lang w:val="en-GB"/>
        </w:rPr>
        <w:t>a</w:t>
      </w:r>
      <w:r w:rsidR="00697A11" w:rsidRPr="00FD0E64">
        <w:rPr>
          <w:rFonts w:ascii="Times New Roman" w:hAnsi="Times New Roman" w:cs="Times New Roman"/>
          <w:sz w:val="18"/>
          <w:szCs w:val="18"/>
          <w:lang w:val="en-GB"/>
        </w:rPr>
        <w:t>)</w:t>
      </w:r>
      <w:r w:rsidRPr="00FD0E64">
        <w:rPr>
          <w:rFonts w:ascii="Times New Roman" w:hAnsi="Times New Roman" w:cs="Times New Roman"/>
          <w:sz w:val="18"/>
          <w:szCs w:val="18"/>
          <w:lang w:val="en-GB"/>
        </w:rPr>
        <w:t>, gluten</w:t>
      </w:r>
      <w:r w:rsidR="00697A11" w:rsidRPr="00FD0E64">
        <w:rPr>
          <w:rFonts w:ascii="Times New Roman" w:hAnsi="Times New Roman" w:cs="Times New Roman"/>
          <w:sz w:val="18"/>
          <w:szCs w:val="18"/>
          <w:lang w:val="en-GB"/>
        </w:rPr>
        <w:t xml:space="preserve"> (</w:t>
      </w:r>
      <w:r w:rsidR="00697A11" w:rsidRPr="00FD0E64">
        <w:rPr>
          <w:rFonts w:ascii="Times New Roman" w:hAnsi="Times New Roman" w:cs="Times New Roman"/>
          <w:b/>
          <w:sz w:val="18"/>
          <w:szCs w:val="18"/>
          <w:lang w:val="en-GB"/>
        </w:rPr>
        <w:t>b</w:t>
      </w:r>
      <w:r w:rsidR="00697A11" w:rsidRPr="00FD0E64">
        <w:rPr>
          <w:rFonts w:ascii="Times New Roman" w:hAnsi="Times New Roman" w:cs="Times New Roman"/>
          <w:sz w:val="18"/>
          <w:szCs w:val="18"/>
          <w:lang w:val="en-GB"/>
        </w:rPr>
        <w:t>),</w:t>
      </w:r>
      <w:r w:rsidRPr="00FD0E64">
        <w:rPr>
          <w:rFonts w:ascii="Times New Roman" w:hAnsi="Times New Roman" w:cs="Times New Roman"/>
          <w:sz w:val="18"/>
          <w:szCs w:val="18"/>
          <w:lang w:val="en-GB"/>
        </w:rPr>
        <w:t xml:space="preserve"> </w:t>
      </w:r>
      <w:r w:rsidR="00697A11" w:rsidRPr="00FD0E64">
        <w:rPr>
          <w:rFonts w:ascii="Times New Roman" w:hAnsi="Times New Roman" w:cs="Times New Roman"/>
          <w:sz w:val="18"/>
          <w:szCs w:val="18"/>
          <w:lang w:val="en-GB"/>
        </w:rPr>
        <w:t>sedimentation (</w:t>
      </w:r>
      <w:r w:rsidR="00697A11" w:rsidRPr="00FD0E64">
        <w:rPr>
          <w:rFonts w:ascii="Times New Roman" w:hAnsi="Times New Roman" w:cs="Times New Roman"/>
          <w:b/>
          <w:sz w:val="18"/>
          <w:szCs w:val="18"/>
          <w:lang w:val="en-GB"/>
        </w:rPr>
        <w:t>c</w:t>
      </w:r>
      <w:r w:rsidR="00697A11" w:rsidRPr="00FD0E64">
        <w:rPr>
          <w:rFonts w:ascii="Times New Roman" w:hAnsi="Times New Roman" w:cs="Times New Roman"/>
          <w:sz w:val="18"/>
          <w:szCs w:val="18"/>
          <w:lang w:val="en-GB"/>
        </w:rPr>
        <w:t xml:space="preserve">) </w:t>
      </w:r>
      <w:r w:rsidRPr="00FD0E64">
        <w:rPr>
          <w:rFonts w:ascii="Times New Roman" w:hAnsi="Times New Roman" w:cs="Times New Roman"/>
          <w:sz w:val="18"/>
          <w:szCs w:val="18"/>
          <w:lang w:val="en-GB"/>
        </w:rPr>
        <w:t>and starch content</w:t>
      </w:r>
      <w:r w:rsidR="00697A11" w:rsidRPr="00FD0E64">
        <w:rPr>
          <w:rFonts w:ascii="Times New Roman" w:hAnsi="Times New Roman" w:cs="Times New Roman"/>
          <w:sz w:val="18"/>
          <w:szCs w:val="18"/>
          <w:lang w:val="en-GB"/>
        </w:rPr>
        <w:t xml:space="preserve"> (</w:t>
      </w:r>
      <w:r w:rsidR="00697A11" w:rsidRPr="00FD0E64">
        <w:rPr>
          <w:rFonts w:ascii="Times New Roman" w:hAnsi="Times New Roman" w:cs="Times New Roman"/>
          <w:b/>
          <w:sz w:val="18"/>
          <w:szCs w:val="18"/>
          <w:lang w:val="en-GB"/>
        </w:rPr>
        <w:t>d</w:t>
      </w:r>
      <w:r w:rsidR="00697A11" w:rsidRPr="00FD0E64">
        <w:rPr>
          <w:rFonts w:ascii="Times New Roman" w:hAnsi="Times New Roman" w:cs="Times New Roman"/>
          <w:sz w:val="18"/>
          <w:szCs w:val="18"/>
          <w:lang w:val="en-GB"/>
        </w:rPr>
        <w:t xml:space="preserve">) </w:t>
      </w:r>
      <w:r w:rsidRPr="00FD0E64">
        <w:rPr>
          <w:rFonts w:ascii="Times New Roman" w:hAnsi="Times New Roman" w:cs="Times New Roman"/>
          <w:sz w:val="18"/>
          <w:szCs w:val="18"/>
          <w:lang w:val="en-GB"/>
        </w:rPr>
        <w:t>by countries (EE: Estonia, LT: Latvia, LT: Lithuania, NO: Norway) and years. For each country and year combination in background the box plot indicating the median and inter-quartile range is presented in grey, bold black lines and black numerical values above the figure mark the average values by countries and years (means without common superscript letter are statistically significantly different), red dashed lines and red numerical values above the figure mark the average values by countries over years (means without common superscript letter are statistically significantly different), horizontal dotted line and numerical value at the left side of figure indicate the overall mean. Countries and years combinations without data are left empty. P-values under the figure show statistical significance of country (</w:t>
      </w:r>
      <w:proofErr w:type="spellStart"/>
      <w:r w:rsidRPr="00FD0E64">
        <w:rPr>
          <w:rFonts w:ascii="Times New Roman" w:hAnsi="Times New Roman" w:cs="Times New Roman"/>
          <w:sz w:val="18"/>
          <w:szCs w:val="18"/>
          <w:lang w:val="en-GB"/>
        </w:rPr>
        <w:t>p</w:t>
      </w:r>
      <w:r w:rsidRPr="00FD0E64">
        <w:rPr>
          <w:rFonts w:ascii="Times New Roman" w:hAnsi="Times New Roman" w:cs="Times New Roman"/>
          <w:sz w:val="18"/>
          <w:szCs w:val="18"/>
          <w:vertAlign w:val="subscript"/>
          <w:lang w:val="en-GB"/>
        </w:rPr>
        <w:t>C</w:t>
      </w:r>
      <w:proofErr w:type="spellEnd"/>
      <w:r w:rsidRPr="00FD0E64">
        <w:rPr>
          <w:rFonts w:ascii="Times New Roman" w:hAnsi="Times New Roman" w:cs="Times New Roman"/>
          <w:sz w:val="18"/>
          <w:szCs w:val="18"/>
          <w:lang w:val="en-GB"/>
        </w:rPr>
        <w:t>), year (</w:t>
      </w:r>
      <w:proofErr w:type="spellStart"/>
      <w:r w:rsidRPr="00FD0E64">
        <w:rPr>
          <w:rFonts w:ascii="Times New Roman" w:hAnsi="Times New Roman" w:cs="Times New Roman"/>
          <w:sz w:val="18"/>
          <w:szCs w:val="18"/>
          <w:lang w:val="en-GB"/>
        </w:rPr>
        <w:t>p</w:t>
      </w:r>
      <w:r w:rsidRPr="00FD0E64">
        <w:rPr>
          <w:rFonts w:ascii="Times New Roman" w:hAnsi="Times New Roman" w:cs="Times New Roman"/>
          <w:sz w:val="18"/>
          <w:szCs w:val="18"/>
          <w:vertAlign w:val="subscript"/>
          <w:lang w:val="en-GB"/>
        </w:rPr>
        <w:t>Y</w:t>
      </w:r>
      <w:proofErr w:type="spellEnd"/>
      <w:r w:rsidRPr="00FD0E64">
        <w:rPr>
          <w:rFonts w:ascii="Times New Roman" w:hAnsi="Times New Roman" w:cs="Times New Roman"/>
          <w:sz w:val="18"/>
          <w:szCs w:val="18"/>
          <w:lang w:val="en-GB"/>
        </w:rPr>
        <w:t>) and country by year interaction (</w:t>
      </w:r>
      <w:proofErr w:type="spellStart"/>
      <w:r w:rsidRPr="00FD0E64">
        <w:rPr>
          <w:rFonts w:ascii="Times New Roman" w:hAnsi="Times New Roman" w:cs="Times New Roman"/>
          <w:sz w:val="18"/>
          <w:szCs w:val="18"/>
          <w:lang w:val="en-GB"/>
        </w:rPr>
        <w:t>p</w:t>
      </w:r>
      <w:r w:rsidRPr="00FD0E64">
        <w:rPr>
          <w:rFonts w:ascii="Times New Roman" w:hAnsi="Times New Roman" w:cs="Times New Roman"/>
          <w:sz w:val="18"/>
          <w:szCs w:val="18"/>
          <w:vertAlign w:val="subscript"/>
          <w:lang w:val="en-GB"/>
        </w:rPr>
        <w:t>C×Y</w:t>
      </w:r>
      <w:proofErr w:type="spellEnd"/>
      <w:r w:rsidRPr="00FD0E64">
        <w:rPr>
          <w:rFonts w:ascii="Times New Roman" w:hAnsi="Times New Roman" w:cs="Times New Roman"/>
          <w:sz w:val="18"/>
          <w:szCs w:val="18"/>
          <w:lang w:val="en-GB"/>
        </w:rPr>
        <w:t>) effects for all the traits</w:t>
      </w:r>
    </w:p>
    <w:p w14:paraId="6A134E8C" w14:textId="77777777" w:rsidR="000160AA" w:rsidRPr="00FD0E64" w:rsidRDefault="000160AA">
      <w:pPr>
        <w:rPr>
          <w:rFonts w:ascii="Times New Roman" w:hAnsi="Times New Roman" w:cs="Times New Roman"/>
          <w:b/>
          <w:sz w:val="18"/>
          <w:szCs w:val="18"/>
          <w:lang w:val="en-GB"/>
        </w:rPr>
      </w:pPr>
      <w:r w:rsidRPr="00FD0E64">
        <w:rPr>
          <w:rFonts w:ascii="Times New Roman" w:hAnsi="Times New Roman" w:cs="Times New Roman"/>
          <w:b/>
          <w:sz w:val="18"/>
          <w:szCs w:val="18"/>
          <w:lang w:val="en-GB"/>
        </w:rPr>
        <w:br w:type="page"/>
      </w:r>
    </w:p>
    <w:p w14:paraId="6B7F2935" w14:textId="6BAED7CD" w:rsidR="004B0447" w:rsidRDefault="004B0447" w:rsidP="000160AA">
      <w:pPr>
        <w:autoSpaceDE w:val="0"/>
        <w:autoSpaceDN w:val="0"/>
        <w:adjustRightInd w:val="0"/>
        <w:spacing w:before="240" w:after="120" w:line="228" w:lineRule="auto"/>
        <w:rPr>
          <w:rFonts w:ascii="Times New Roman" w:eastAsia="GillSansMT" w:hAnsi="Times New Roman" w:cs="Times New Roman"/>
          <w:sz w:val="18"/>
          <w:szCs w:val="18"/>
          <w:lang w:val="en-GB"/>
        </w:rPr>
      </w:pPr>
      <w:r w:rsidRPr="00FD0E64">
        <w:rPr>
          <w:rFonts w:ascii="Times New Roman" w:hAnsi="Times New Roman" w:cs="Times New Roman"/>
          <w:b/>
          <w:sz w:val="18"/>
          <w:szCs w:val="18"/>
          <w:lang w:val="en-GB"/>
        </w:rPr>
        <w:lastRenderedPageBreak/>
        <w:t>Table S1</w:t>
      </w:r>
      <w:r w:rsidRPr="00FD0E64">
        <w:rPr>
          <w:rFonts w:ascii="Times New Roman" w:hAnsi="Times New Roman" w:cs="Times New Roman"/>
          <w:sz w:val="18"/>
          <w:szCs w:val="18"/>
          <w:lang w:val="en-GB"/>
        </w:rPr>
        <w:t xml:space="preserve"> </w:t>
      </w:r>
      <w:r w:rsidR="00502C28" w:rsidRPr="00FD0E64">
        <w:rPr>
          <w:rFonts w:ascii="Times New Roman" w:hAnsi="Times New Roman" w:cs="Times New Roman"/>
          <w:sz w:val="18"/>
          <w:szCs w:val="18"/>
          <w:lang w:val="en-GB"/>
        </w:rPr>
        <w:t>Spearman</w:t>
      </w:r>
      <w:r w:rsidR="00947B4B" w:rsidRPr="00FD0E64">
        <w:rPr>
          <w:rFonts w:ascii="Times New Roman" w:hAnsi="Times New Roman" w:cs="Times New Roman"/>
          <w:sz w:val="18"/>
          <w:szCs w:val="18"/>
          <w:lang w:val="en-GB"/>
        </w:rPr>
        <w:t>’s</w:t>
      </w:r>
      <w:r w:rsidR="00502C28" w:rsidRPr="00FD0E64">
        <w:rPr>
          <w:rFonts w:ascii="Times New Roman" w:hAnsi="Times New Roman" w:cs="Times New Roman"/>
          <w:sz w:val="18"/>
          <w:szCs w:val="18"/>
          <w:lang w:val="en-GB"/>
        </w:rPr>
        <w:t xml:space="preserve"> rank</w:t>
      </w:r>
      <w:r w:rsidRPr="00FD0E64">
        <w:rPr>
          <w:rFonts w:ascii="Times New Roman" w:hAnsi="Times New Roman" w:cs="Times New Roman"/>
          <w:sz w:val="18"/>
          <w:szCs w:val="18"/>
          <w:lang w:val="en-GB"/>
        </w:rPr>
        <w:t xml:space="preserve"> correlation coefficients for fourteen traits of </w:t>
      </w:r>
      <w:r w:rsidRPr="00FD0E64">
        <w:rPr>
          <w:rFonts w:ascii="Times New Roman" w:eastAsia="GillSansMT" w:hAnsi="Times New Roman" w:cs="Times New Roman"/>
          <w:sz w:val="18"/>
          <w:szCs w:val="18"/>
          <w:lang w:val="en-GB"/>
        </w:rPr>
        <w:t>300 spring wheat genotypes evaluated in 8 environments (combination of year x location)</w:t>
      </w:r>
    </w:p>
    <w:p w14:paraId="0C70097C" w14:textId="35FA4C4D" w:rsidR="004923A4" w:rsidRDefault="004923A4" w:rsidP="000160AA">
      <w:pPr>
        <w:autoSpaceDE w:val="0"/>
        <w:autoSpaceDN w:val="0"/>
        <w:adjustRightInd w:val="0"/>
        <w:spacing w:before="240" w:after="120" w:line="228" w:lineRule="auto"/>
      </w:pPr>
      <w:r>
        <w:rPr>
          <w:lang w:val="en-GB"/>
        </w:rPr>
        <w:fldChar w:fldCharType="begin"/>
      </w:r>
      <w:r>
        <w:rPr>
          <w:lang w:val="en-GB"/>
        </w:rPr>
        <w:instrText xml:space="preserve"> LINK Excel.Sheet.12 "Book1" "Sheet1!R3C2:R17C16" \a \f 4 \h </w:instrText>
      </w:r>
      <w:r w:rsidR="00284B0B">
        <w:rPr>
          <w:lang w:val="en-GB"/>
        </w:rPr>
        <w:instrText xml:space="preserve"> \* MERGEFORMAT </w:instrText>
      </w:r>
      <w:r>
        <w:rPr>
          <w:lang w:val="en-GB"/>
        </w:rPr>
        <w:fldChar w:fldCharType="separate"/>
      </w:r>
    </w:p>
    <w:tbl>
      <w:tblPr>
        <w:tblW w:w="8880" w:type="dxa"/>
        <w:tblCellMar>
          <w:left w:w="70" w:type="dxa"/>
          <w:right w:w="70" w:type="dxa"/>
        </w:tblCellMar>
        <w:tblLook w:val="04A0" w:firstRow="1" w:lastRow="0" w:firstColumn="1" w:lastColumn="0" w:noHBand="0" w:noVBand="1"/>
      </w:tblPr>
      <w:tblGrid>
        <w:gridCol w:w="1880"/>
        <w:gridCol w:w="500"/>
        <w:gridCol w:w="500"/>
        <w:gridCol w:w="500"/>
        <w:gridCol w:w="500"/>
        <w:gridCol w:w="500"/>
        <w:gridCol w:w="500"/>
        <w:gridCol w:w="500"/>
        <w:gridCol w:w="500"/>
        <w:gridCol w:w="500"/>
        <w:gridCol w:w="500"/>
        <w:gridCol w:w="500"/>
        <w:gridCol w:w="500"/>
        <w:gridCol w:w="500"/>
        <w:gridCol w:w="500"/>
      </w:tblGrid>
      <w:tr w:rsidR="004923A4" w:rsidRPr="004923A4" w14:paraId="642346AA" w14:textId="77777777" w:rsidTr="004923A4">
        <w:trPr>
          <w:trHeight w:val="1908"/>
        </w:trPr>
        <w:tc>
          <w:tcPr>
            <w:tcW w:w="1880" w:type="dxa"/>
            <w:tcBorders>
              <w:top w:val="single" w:sz="4" w:space="0" w:color="auto"/>
              <w:left w:val="nil"/>
              <w:bottom w:val="single" w:sz="4" w:space="0" w:color="auto"/>
              <w:right w:val="nil"/>
            </w:tcBorders>
            <w:shd w:val="clear" w:color="auto" w:fill="auto"/>
            <w:noWrap/>
            <w:vAlign w:val="center"/>
            <w:hideMark/>
          </w:tcPr>
          <w:p w14:paraId="51CA2E1D" w14:textId="173CA419" w:rsidR="004923A4" w:rsidRPr="00284B0B" w:rsidRDefault="004923A4" w:rsidP="00284B0B">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Trait</w:t>
            </w:r>
          </w:p>
        </w:tc>
        <w:tc>
          <w:tcPr>
            <w:tcW w:w="500" w:type="dxa"/>
            <w:tcBorders>
              <w:top w:val="single" w:sz="4" w:space="0" w:color="auto"/>
              <w:left w:val="nil"/>
              <w:bottom w:val="single" w:sz="4" w:space="0" w:color="auto"/>
              <w:right w:val="nil"/>
            </w:tcBorders>
            <w:shd w:val="clear" w:color="auto" w:fill="auto"/>
            <w:noWrap/>
            <w:textDirection w:val="btLr"/>
            <w:vAlign w:val="center"/>
            <w:hideMark/>
          </w:tcPr>
          <w:p w14:paraId="5457F483" w14:textId="31811EDF" w:rsidR="004923A4" w:rsidRPr="00284B0B" w:rsidRDefault="004923A4" w:rsidP="00284B0B">
            <w:pPr>
              <w:spacing w:after="0" w:line="240" w:lineRule="auto"/>
              <w:rPr>
                <w:rFonts w:ascii="Times New Roman" w:eastAsia="Times New Roman" w:hAnsi="Times New Roman" w:cs="Times New Roman"/>
                <w:b/>
                <w:bCs/>
                <w:color w:val="000000"/>
                <w:sz w:val="16"/>
                <w:szCs w:val="16"/>
                <w:lang w:eastAsia="et-EE"/>
              </w:rPr>
            </w:pPr>
            <w:r w:rsidRPr="00284B0B">
              <w:rPr>
                <w:rFonts w:ascii="Times New Roman" w:eastAsia="Times New Roman" w:hAnsi="Times New Roman" w:cs="Times New Roman"/>
                <w:color w:val="000000"/>
                <w:sz w:val="16"/>
                <w:szCs w:val="16"/>
                <w:lang w:val="en-GB" w:eastAsia="et-EE"/>
              </w:rPr>
              <w:t>Emergence, days</w:t>
            </w:r>
          </w:p>
        </w:tc>
        <w:tc>
          <w:tcPr>
            <w:tcW w:w="500" w:type="dxa"/>
            <w:tcBorders>
              <w:top w:val="single" w:sz="4" w:space="0" w:color="auto"/>
              <w:left w:val="nil"/>
              <w:bottom w:val="single" w:sz="4" w:space="0" w:color="auto"/>
              <w:right w:val="nil"/>
            </w:tcBorders>
            <w:shd w:val="clear" w:color="auto" w:fill="auto"/>
            <w:noWrap/>
            <w:textDirection w:val="btLr"/>
            <w:vAlign w:val="center"/>
            <w:hideMark/>
          </w:tcPr>
          <w:p w14:paraId="4D4C2798" w14:textId="418A0F34" w:rsidR="004923A4" w:rsidRPr="00284B0B" w:rsidRDefault="004923A4" w:rsidP="00284B0B">
            <w:pPr>
              <w:spacing w:after="0" w:line="240" w:lineRule="auto"/>
              <w:rPr>
                <w:rFonts w:ascii="Times New Roman" w:eastAsia="Times New Roman" w:hAnsi="Times New Roman" w:cs="Times New Roman"/>
                <w:b/>
                <w:bCs/>
                <w:color w:val="000000"/>
                <w:sz w:val="16"/>
                <w:szCs w:val="16"/>
                <w:lang w:eastAsia="et-EE"/>
              </w:rPr>
            </w:pPr>
            <w:r w:rsidRPr="00284B0B">
              <w:rPr>
                <w:rFonts w:ascii="Times New Roman" w:eastAsia="Times New Roman" w:hAnsi="Times New Roman" w:cs="Times New Roman"/>
                <w:color w:val="000000"/>
                <w:sz w:val="16"/>
                <w:szCs w:val="16"/>
                <w:lang w:val="en-GB" w:eastAsia="et-EE"/>
              </w:rPr>
              <w:t>Early vigour, %</w:t>
            </w:r>
          </w:p>
        </w:tc>
        <w:tc>
          <w:tcPr>
            <w:tcW w:w="500" w:type="dxa"/>
            <w:tcBorders>
              <w:top w:val="single" w:sz="4" w:space="0" w:color="auto"/>
              <w:left w:val="nil"/>
              <w:bottom w:val="single" w:sz="4" w:space="0" w:color="auto"/>
              <w:right w:val="nil"/>
            </w:tcBorders>
            <w:shd w:val="clear" w:color="auto" w:fill="auto"/>
            <w:noWrap/>
            <w:textDirection w:val="btLr"/>
            <w:vAlign w:val="center"/>
            <w:hideMark/>
          </w:tcPr>
          <w:p w14:paraId="7D97E288" w14:textId="68760E96" w:rsidR="004923A4" w:rsidRPr="00284B0B" w:rsidRDefault="004923A4" w:rsidP="00284B0B">
            <w:pPr>
              <w:spacing w:after="0" w:line="240" w:lineRule="auto"/>
              <w:rPr>
                <w:rFonts w:ascii="Times New Roman" w:eastAsia="Times New Roman" w:hAnsi="Times New Roman" w:cs="Times New Roman"/>
                <w:b/>
                <w:bCs/>
                <w:color w:val="000000"/>
                <w:sz w:val="16"/>
                <w:szCs w:val="16"/>
                <w:lang w:eastAsia="et-EE"/>
              </w:rPr>
            </w:pPr>
            <w:r w:rsidRPr="00284B0B">
              <w:rPr>
                <w:rFonts w:ascii="Times New Roman" w:eastAsia="Times New Roman" w:hAnsi="Times New Roman" w:cs="Times New Roman"/>
                <w:color w:val="000000"/>
                <w:sz w:val="16"/>
                <w:szCs w:val="16"/>
                <w:lang w:val="en-GB" w:eastAsia="et-EE"/>
              </w:rPr>
              <w:t>Lodging, 1–9 p</w:t>
            </w:r>
          </w:p>
        </w:tc>
        <w:tc>
          <w:tcPr>
            <w:tcW w:w="500" w:type="dxa"/>
            <w:tcBorders>
              <w:top w:val="single" w:sz="4" w:space="0" w:color="auto"/>
              <w:left w:val="nil"/>
              <w:bottom w:val="single" w:sz="4" w:space="0" w:color="auto"/>
              <w:right w:val="nil"/>
            </w:tcBorders>
            <w:shd w:val="clear" w:color="auto" w:fill="auto"/>
            <w:noWrap/>
            <w:textDirection w:val="btLr"/>
            <w:vAlign w:val="center"/>
            <w:hideMark/>
          </w:tcPr>
          <w:p w14:paraId="46DA8653" w14:textId="141A8263" w:rsidR="004923A4" w:rsidRPr="00284B0B" w:rsidRDefault="004923A4" w:rsidP="00284B0B">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Heading, days</w:t>
            </w:r>
          </w:p>
        </w:tc>
        <w:tc>
          <w:tcPr>
            <w:tcW w:w="500" w:type="dxa"/>
            <w:tcBorders>
              <w:top w:val="single" w:sz="4" w:space="0" w:color="auto"/>
              <w:left w:val="nil"/>
              <w:bottom w:val="single" w:sz="4" w:space="0" w:color="auto"/>
              <w:right w:val="nil"/>
            </w:tcBorders>
            <w:shd w:val="clear" w:color="auto" w:fill="auto"/>
            <w:noWrap/>
            <w:textDirection w:val="btLr"/>
            <w:vAlign w:val="center"/>
            <w:hideMark/>
          </w:tcPr>
          <w:p w14:paraId="485FEF00" w14:textId="5808C709" w:rsidR="004923A4" w:rsidRPr="00284B0B" w:rsidRDefault="004923A4" w:rsidP="00284B0B">
            <w:pPr>
              <w:spacing w:after="0" w:line="240" w:lineRule="auto"/>
              <w:rPr>
                <w:rFonts w:ascii="Times New Roman" w:eastAsia="Times New Roman" w:hAnsi="Times New Roman" w:cs="Times New Roman"/>
                <w:b/>
                <w:bCs/>
                <w:color w:val="000000"/>
                <w:sz w:val="16"/>
                <w:szCs w:val="16"/>
                <w:lang w:eastAsia="et-EE"/>
              </w:rPr>
            </w:pPr>
            <w:r w:rsidRPr="00284B0B">
              <w:rPr>
                <w:rFonts w:ascii="Times New Roman" w:eastAsia="Times New Roman" w:hAnsi="Times New Roman" w:cs="Times New Roman"/>
                <w:color w:val="000000"/>
                <w:sz w:val="16"/>
                <w:szCs w:val="16"/>
                <w:lang w:val="en-GB" w:eastAsia="et-EE"/>
              </w:rPr>
              <w:t>Test weight, kg hl-1</w:t>
            </w:r>
          </w:p>
        </w:tc>
        <w:tc>
          <w:tcPr>
            <w:tcW w:w="500" w:type="dxa"/>
            <w:tcBorders>
              <w:top w:val="single" w:sz="4" w:space="0" w:color="auto"/>
              <w:left w:val="nil"/>
              <w:bottom w:val="single" w:sz="4" w:space="0" w:color="auto"/>
              <w:right w:val="nil"/>
            </w:tcBorders>
            <w:shd w:val="clear" w:color="auto" w:fill="auto"/>
            <w:noWrap/>
            <w:textDirection w:val="btLr"/>
            <w:vAlign w:val="center"/>
            <w:hideMark/>
          </w:tcPr>
          <w:p w14:paraId="2360AC77" w14:textId="63C89183" w:rsidR="004923A4" w:rsidRPr="00284B0B" w:rsidRDefault="004923A4" w:rsidP="00284B0B">
            <w:pPr>
              <w:spacing w:after="0" w:line="240" w:lineRule="auto"/>
              <w:rPr>
                <w:rFonts w:ascii="Times New Roman" w:eastAsia="Times New Roman" w:hAnsi="Times New Roman" w:cs="Times New Roman"/>
                <w:b/>
                <w:bCs/>
                <w:color w:val="000000"/>
                <w:sz w:val="16"/>
                <w:szCs w:val="16"/>
                <w:lang w:eastAsia="et-EE"/>
              </w:rPr>
            </w:pPr>
            <w:r w:rsidRPr="00284B0B">
              <w:rPr>
                <w:rFonts w:ascii="Times New Roman" w:eastAsia="Times New Roman" w:hAnsi="Times New Roman" w:cs="Times New Roman"/>
                <w:color w:val="000000"/>
                <w:sz w:val="16"/>
                <w:szCs w:val="16"/>
                <w:lang w:val="en-GB" w:eastAsia="et-EE"/>
              </w:rPr>
              <w:t>Starch content, %</w:t>
            </w:r>
          </w:p>
        </w:tc>
        <w:tc>
          <w:tcPr>
            <w:tcW w:w="500" w:type="dxa"/>
            <w:tcBorders>
              <w:top w:val="single" w:sz="4" w:space="0" w:color="auto"/>
              <w:left w:val="nil"/>
              <w:bottom w:val="single" w:sz="4" w:space="0" w:color="auto"/>
              <w:right w:val="nil"/>
            </w:tcBorders>
            <w:shd w:val="clear" w:color="auto" w:fill="auto"/>
            <w:noWrap/>
            <w:textDirection w:val="btLr"/>
            <w:vAlign w:val="center"/>
            <w:hideMark/>
          </w:tcPr>
          <w:p w14:paraId="4EC5266C" w14:textId="2083485A" w:rsidR="004923A4" w:rsidRPr="00284B0B" w:rsidRDefault="004923A4" w:rsidP="00284B0B">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Growing period, days</w:t>
            </w:r>
          </w:p>
        </w:tc>
        <w:tc>
          <w:tcPr>
            <w:tcW w:w="500" w:type="dxa"/>
            <w:tcBorders>
              <w:top w:val="single" w:sz="4" w:space="0" w:color="auto"/>
              <w:left w:val="nil"/>
              <w:bottom w:val="single" w:sz="4" w:space="0" w:color="auto"/>
              <w:right w:val="nil"/>
            </w:tcBorders>
            <w:shd w:val="clear" w:color="auto" w:fill="auto"/>
            <w:noWrap/>
            <w:textDirection w:val="btLr"/>
            <w:vAlign w:val="center"/>
            <w:hideMark/>
          </w:tcPr>
          <w:p w14:paraId="7C5FEB3A" w14:textId="677B5E8A" w:rsidR="004923A4" w:rsidRPr="00284B0B" w:rsidRDefault="004923A4" w:rsidP="00284B0B">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1000 grain weight, g</w:t>
            </w:r>
          </w:p>
        </w:tc>
        <w:tc>
          <w:tcPr>
            <w:tcW w:w="500" w:type="dxa"/>
            <w:tcBorders>
              <w:top w:val="single" w:sz="4" w:space="0" w:color="auto"/>
              <w:left w:val="nil"/>
              <w:bottom w:val="single" w:sz="4" w:space="0" w:color="auto"/>
              <w:right w:val="nil"/>
            </w:tcBorders>
            <w:shd w:val="clear" w:color="auto" w:fill="auto"/>
            <w:noWrap/>
            <w:textDirection w:val="btLr"/>
            <w:vAlign w:val="center"/>
            <w:hideMark/>
          </w:tcPr>
          <w:p w14:paraId="06D002CA" w14:textId="02E6B6AB" w:rsidR="004923A4" w:rsidRPr="00284B0B" w:rsidRDefault="004923A4" w:rsidP="00284B0B">
            <w:pPr>
              <w:spacing w:after="0" w:line="240" w:lineRule="auto"/>
              <w:rPr>
                <w:rFonts w:ascii="Times New Roman" w:eastAsia="Times New Roman" w:hAnsi="Times New Roman" w:cs="Times New Roman"/>
                <w:b/>
                <w:bCs/>
                <w:color w:val="000000"/>
                <w:sz w:val="16"/>
                <w:szCs w:val="16"/>
                <w:lang w:eastAsia="et-EE"/>
              </w:rPr>
            </w:pPr>
            <w:r w:rsidRPr="00284B0B">
              <w:rPr>
                <w:rFonts w:ascii="Times New Roman" w:eastAsia="Times New Roman" w:hAnsi="Times New Roman" w:cs="Times New Roman"/>
                <w:color w:val="000000"/>
                <w:sz w:val="16"/>
                <w:szCs w:val="16"/>
                <w:lang w:val="en-GB" w:eastAsia="et-EE"/>
              </w:rPr>
              <w:t>Plant height, cm</w:t>
            </w:r>
          </w:p>
        </w:tc>
        <w:tc>
          <w:tcPr>
            <w:tcW w:w="500" w:type="dxa"/>
            <w:tcBorders>
              <w:top w:val="single" w:sz="4" w:space="0" w:color="auto"/>
              <w:left w:val="nil"/>
              <w:bottom w:val="single" w:sz="4" w:space="0" w:color="auto"/>
              <w:right w:val="nil"/>
            </w:tcBorders>
            <w:shd w:val="clear" w:color="auto" w:fill="auto"/>
            <w:noWrap/>
            <w:textDirection w:val="btLr"/>
            <w:vAlign w:val="center"/>
            <w:hideMark/>
          </w:tcPr>
          <w:p w14:paraId="7507B674" w14:textId="67FA6C20" w:rsidR="004923A4" w:rsidRPr="00284B0B" w:rsidRDefault="004923A4" w:rsidP="00284B0B">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Grain yield, g m</w:t>
            </w:r>
            <w:r w:rsidRPr="00284B0B">
              <w:rPr>
                <w:rFonts w:ascii="Times New Roman" w:eastAsia="Times New Roman" w:hAnsi="Times New Roman" w:cs="Times New Roman"/>
                <w:color w:val="252525"/>
                <w:sz w:val="16"/>
                <w:szCs w:val="16"/>
                <w:vertAlign w:val="superscript"/>
                <w:lang w:val="en-GB" w:eastAsia="et-EE"/>
              </w:rPr>
              <w:t>-</w:t>
            </w:r>
            <w:r w:rsidRPr="00284B0B">
              <w:rPr>
                <w:rFonts w:ascii="Times New Roman" w:eastAsia="Times New Roman" w:hAnsi="Times New Roman" w:cs="Times New Roman"/>
                <w:color w:val="000000"/>
                <w:sz w:val="16"/>
                <w:szCs w:val="16"/>
                <w:lang w:val="en-GB" w:eastAsia="et-EE"/>
              </w:rPr>
              <w:t>²</w:t>
            </w:r>
          </w:p>
        </w:tc>
        <w:tc>
          <w:tcPr>
            <w:tcW w:w="500" w:type="dxa"/>
            <w:tcBorders>
              <w:top w:val="single" w:sz="4" w:space="0" w:color="auto"/>
              <w:left w:val="nil"/>
              <w:bottom w:val="single" w:sz="4" w:space="0" w:color="auto"/>
              <w:right w:val="nil"/>
            </w:tcBorders>
            <w:shd w:val="clear" w:color="auto" w:fill="auto"/>
            <w:noWrap/>
            <w:textDirection w:val="btLr"/>
            <w:vAlign w:val="center"/>
            <w:hideMark/>
          </w:tcPr>
          <w:p w14:paraId="43EF6D63" w14:textId="0D12F5B3" w:rsidR="004923A4" w:rsidRPr="00284B0B" w:rsidRDefault="004923A4" w:rsidP="00284B0B">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Protein content, %</w:t>
            </w:r>
          </w:p>
        </w:tc>
        <w:tc>
          <w:tcPr>
            <w:tcW w:w="500" w:type="dxa"/>
            <w:tcBorders>
              <w:top w:val="single" w:sz="4" w:space="0" w:color="auto"/>
              <w:left w:val="nil"/>
              <w:bottom w:val="single" w:sz="4" w:space="0" w:color="auto"/>
              <w:right w:val="nil"/>
            </w:tcBorders>
            <w:shd w:val="clear" w:color="auto" w:fill="auto"/>
            <w:noWrap/>
            <w:textDirection w:val="btLr"/>
            <w:vAlign w:val="center"/>
            <w:hideMark/>
          </w:tcPr>
          <w:p w14:paraId="53444282" w14:textId="2B6897FD" w:rsidR="004923A4" w:rsidRPr="00284B0B" w:rsidRDefault="004923A4" w:rsidP="00284B0B">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Gluten content, %</w:t>
            </w:r>
          </w:p>
        </w:tc>
        <w:tc>
          <w:tcPr>
            <w:tcW w:w="500" w:type="dxa"/>
            <w:tcBorders>
              <w:top w:val="single" w:sz="4" w:space="0" w:color="auto"/>
              <w:left w:val="nil"/>
              <w:bottom w:val="single" w:sz="4" w:space="0" w:color="auto"/>
              <w:right w:val="nil"/>
            </w:tcBorders>
            <w:shd w:val="clear" w:color="auto" w:fill="auto"/>
            <w:noWrap/>
            <w:textDirection w:val="btLr"/>
            <w:vAlign w:val="center"/>
            <w:hideMark/>
          </w:tcPr>
          <w:p w14:paraId="7CB8635E" w14:textId="669B9515" w:rsidR="004923A4" w:rsidRPr="00284B0B" w:rsidRDefault="004923A4" w:rsidP="00284B0B">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Sedimentation, ml</w:t>
            </w:r>
          </w:p>
        </w:tc>
        <w:tc>
          <w:tcPr>
            <w:tcW w:w="500" w:type="dxa"/>
            <w:tcBorders>
              <w:top w:val="single" w:sz="4" w:space="0" w:color="auto"/>
              <w:left w:val="nil"/>
              <w:bottom w:val="single" w:sz="4" w:space="0" w:color="auto"/>
              <w:right w:val="nil"/>
            </w:tcBorders>
            <w:shd w:val="clear" w:color="auto" w:fill="auto"/>
            <w:noWrap/>
            <w:textDirection w:val="btLr"/>
            <w:vAlign w:val="center"/>
            <w:hideMark/>
          </w:tcPr>
          <w:p w14:paraId="48C90DCD" w14:textId="77777777" w:rsidR="004923A4" w:rsidRPr="004923A4" w:rsidRDefault="004923A4" w:rsidP="00284B0B">
            <w:pPr>
              <w:spacing w:after="0" w:line="240" w:lineRule="auto"/>
              <w:rPr>
                <w:rFonts w:ascii="Times New Roman" w:eastAsia="Times New Roman" w:hAnsi="Times New Roman" w:cs="Times New Roman"/>
                <w:color w:val="000000"/>
                <w:sz w:val="18"/>
                <w:szCs w:val="18"/>
                <w:lang w:eastAsia="et-EE"/>
              </w:rPr>
            </w:pPr>
            <w:r w:rsidRPr="004923A4">
              <w:rPr>
                <w:rFonts w:ascii="Times New Roman" w:eastAsia="Times New Roman" w:hAnsi="Times New Roman" w:cs="Times New Roman"/>
                <w:color w:val="000000"/>
                <w:sz w:val="18"/>
                <w:szCs w:val="18"/>
                <w:lang w:val="en-GB" w:eastAsia="et-EE"/>
              </w:rPr>
              <w:t xml:space="preserve"> Drought tolerance, 1–5 p</w:t>
            </w:r>
          </w:p>
        </w:tc>
      </w:tr>
      <w:tr w:rsidR="004923A4" w:rsidRPr="004923A4" w14:paraId="05704D14" w14:textId="77777777" w:rsidTr="004923A4">
        <w:trPr>
          <w:trHeight w:val="288"/>
        </w:trPr>
        <w:tc>
          <w:tcPr>
            <w:tcW w:w="1880" w:type="dxa"/>
            <w:tcBorders>
              <w:top w:val="nil"/>
              <w:left w:val="nil"/>
              <w:bottom w:val="nil"/>
              <w:right w:val="nil"/>
            </w:tcBorders>
            <w:shd w:val="clear" w:color="auto" w:fill="auto"/>
            <w:noWrap/>
            <w:vAlign w:val="center"/>
            <w:hideMark/>
          </w:tcPr>
          <w:p w14:paraId="385AD5C1" w14:textId="77777777" w:rsidR="004923A4" w:rsidRPr="00284B0B" w:rsidRDefault="004923A4" w:rsidP="004923A4">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Emergence, days</w:t>
            </w:r>
          </w:p>
        </w:tc>
        <w:tc>
          <w:tcPr>
            <w:tcW w:w="500" w:type="dxa"/>
            <w:tcBorders>
              <w:top w:val="nil"/>
              <w:left w:val="nil"/>
              <w:bottom w:val="nil"/>
              <w:right w:val="nil"/>
            </w:tcBorders>
            <w:shd w:val="clear" w:color="auto" w:fill="auto"/>
            <w:noWrap/>
            <w:vAlign w:val="center"/>
            <w:hideMark/>
          </w:tcPr>
          <w:p w14:paraId="0FC71978"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1</w:t>
            </w:r>
          </w:p>
        </w:tc>
        <w:tc>
          <w:tcPr>
            <w:tcW w:w="500" w:type="dxa"/>
            <w:tcBorders>
              <w:top w:val="nil"/>
              <w:left w:val="nil"/>
              <w:bottom w:val="nil"/>
              <w:right w:val="nil"/>
            </w:tcBorders>
            <w:shd w:val="clear" w:color="000000" w:fill="FFFF00"/>
            <w:noWrap/>
            <w:vAlign w:val="center"/>
            <w:hideMark/>
          </w:tcPr>
          <w:p w14:paraId="6428C797"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0.24</w:t>
            </w:r>
          </w:p>
        </w:tc>
        <w:tc>
          <w:tcPr>
            <w:tcW w:w="500" w:type="dxa"/>
            <w:tcBorders>
              <w:top w:val="nil"/>
              <w:left w:val="nil"/>
              <w:bottom w:val="nil"/>
              <w:right w:val="nil"/>
            </w:tcBorders>
            <w:shd w:val="clear" w:color="000000" w:fill="FFFF00"/>
            <w:noWrap/>
            <w:vAlign w:val="center"/>
            <w:hideMark/>
          </w:tcPr>
          <w:p w14:paraId="0B7DD223"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0.53</w:t>
            </w:r>
          </w:p>
        </w:tc>
        <w:tc>
          <w:tcPr>
            <w:tcW w:w="500" w:type="dxa"/>
            <w:tcBorders>
              <w:top w:val="nil"/>
              <w:left w:val="nil"/>
              <w:bottom w:val="nil"/>
              <w:right w:val="nil"/>
            </w:tcBorders>
            <w:shd w:val="clear" w:color="000000" w:fill="FFFF00"/>
            <w:noWrap/>
            <w:vAlign w:val="center"/>
            <w:hideMark/>
          </w:tcPr>
          <w:p w14:paraId="74F339DD"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w:t>
            </w:r>
          </w:p>
        </w:tc>
        <w:tc>
          <w:tcPr>
            <w:tcW w:w="500" w:type="dxa"/>
            <w:tcBorders>
              <w:top w:val="nil"/>
              <w:left w:val="nil"/>
              <w:bottom w:val="nil"/>
              <w:right w:val="nil"/>
            </w:tcBorders>
            <w:shd w:val="clear" w:color="000000" w:fill="FFFF00"/>
            <w:noWrap/>
            <w:vAlign w:val="center"/>
            <w:hideMark/>
          </w:tcPr>
          <w:p w14:paraId="31FFD97C"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0.47</w:t>
            </w:r>
          </w:p>
        </w:tc>
        <w:tc>
          <w:tcPr>
            <w:tcW w:w="500" w:type="dxa"/>
            <w:tcBorders>
              <w:top w:val="nil"/>
              <w:left w:val="nil"/>
              <w:bottom w:val="nil"/>
              <w:right w:val="nil"/>
            </w:tcBorders>
            <w:shd w:val="clear" w:color="000000" w:fill="FFFF00"/>
            <w:noWrap/>
            <w:vAlign w:val="center"/>
            <w:hideMark/>
          </w:tcPr>
          <w:p w14:paraId="3F4729D0"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0.39</w:t>
            </w:r>
          </w:p>
        </w:tc>
        <w:tc>
          <w:tcPr>
            <w:tcW w:w="500" w:type="dxa"/>
            <w:tcBorders>
              <w:top w:val="nil"/>
              <w:left w:val="nil"/>
              <w:bottom w:val="nil"/>
              <w:right w:val="nil"/>
            </w:tcBorders>
            <w:shd w:val="clear" w:color="000000" w:fill="FFFF00"/>
            <w:noWrap/>
            <w:vAlign w:val="center"/>
            <w:hideMark/>
          </w:tcPr>
          <w:p w14:paraId="281BDA25"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0.07</w:t>
            </w:r>
          </w:p>
        </w:tc>
        <w:tc>
          <w:tcPr>
            <w:tcW w:w="500" w:type="dxa"/>
            <w:tcBorders>
              <w:top w:val="nil"/>
              <w:left w:val="nil"/>
              <w:bottom w:val="nil"/>
              <w:right w:val="nil"/>
            </w:tcBorders>
            <w:shd w:val="clear" w:color="auto" w:fill="auto"/>
            <w:noWrap/>
            <w:vAlign w:val="center"/>
            <w:hideMark/>
          </w:tcPr>
          <w:p w14:paraId="4F8C7F27"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-0.02</w:t>
            </w:r>
          </w:p>
        </w:tc>
        <w:tc>
          <w:tcPr>
            <w:tcW w:w="500" w:type="dxa"/>
            <w:tcBorders>
              <w:top w:val="nil"/>
              <w:left w:val="nil"/>
              <w:bottom w:val="nil"/>
              <w:right w:val="nil"/>
            </w:tcBorders>
            <w:shd w:val="clear" w:color="000000" w:fill="FFFF00"/>
            <w:noWrap/>
            <w:vAlign w:val="center"/>
            <w:hideMark/>
          </w:tcPr>
          <w:p w14:paraId="5BF6E078"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-0.12</w:t>
            </w:r>
          </w:p>
        </w:tc>
        <w:tc>
          <w:tcPr>
            <w:tcW w:w="500" w:type="dxa"/>
            <w:tcBorders>
              <w:top w:val="nil"/>
              <w:left w:val="nil"/>
              <w:bottom w:val="nil"/>
              <w:right w:val="nil"/>
            </w:tcBorders>
            <w:shd w:val="clear" w:color="000000" w:fill="FFFF00"/>
            <w:noWrap/>
            <w:vAlign w:val="center"/>
            <w:hideMark/>
          </w:tcPr>
          <w:p w14:paraId="290E4B9D"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0.06</w:t>
            </w:r>
          </w:p>
        </w:tc>
        <w:tc>
          <w:tcPr>
            <w:tcW w:w="500" w:type="dxa"/>
            <w:tcBorders>
              <w:top w:val="nil"/>
              <w:left w:val="nil"/>
              <w:bottom w:val="nil"/>
              <w:right w:val="nil"/>
            </w:tcBorders>
            <w:shd w:val="clear" w:color="000000" w:fill="FFFF00"/>
            <w:noWrap/>
            <w:vAlign w:val="center"/>
            <w:hideMark/>
          </w:tcPr>
          <w:p w14:paraId="24778EB8"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-0.08</w:t>
            </w:r>
          </w:p>
        </w:tc>
        <w:tc>
          <w:tcPr>
            <w:tcW w:w="500" w:type="dxa"/>
            <w:tcBorders>
              <w:top w:val="nil"/>
              <w:left w:val="nil"/>
              <w:bottom w:val="nil"/>
              <w:right w:val="nil"/>
            </w:tcBorders>
            <w:shd w:val="clear" w:color="000000" w:fill="FFFF00"/>
            <w:noWrap/>
            <w:vAlign w:val="center"/>
            <w:hideMark/>
          </w:tcPr>
          <w:p w14:paraId="19AAE3AA"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-0.06</w:t>
            </w:r>
          </w:p>
        </w:tc>
        <w:tc>
          <w:tcPr>
            <w:tcW w:w="500" w:type="dxa"/>
            <w:tcBorders>
              <w:top w:val="nil"/>
              <w:left w:val="nil"/>
              <w:bottom w:val="nil"/>
              <w:right w:val="nil"/>
            </w:tcBorders>
            <w:shd w:val="clear" w:color="000000" w:fill="FFFF00"/>
            <w:noWrap/>
            <w:vAlign w:val="center"/>
            <w:hideMark/>
          </w:tcPr>
          <w:p w14:paraId="4BECBAC9"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-0.05</w:t>
            </w:r>
          </w:p>
        </w:tc>
        <w:tc>
          <w:tcPr>
            <w:tcW w:w="500" w:type="dxa"/>
            <w:tcBorders>
              <w:top w:val="nil"/>
              <w:left w:val="nil"/>
              <w:bottom w:val="nil"/>
              <w:right w:val="nil"/>
            </w:tcBorders>
            <w:shd w:val="clear" w:color="auto" w:fill="auto"/>
            <w:noWrap/>
            <w:vAlign w:val="center"/>
            <w:hideMark/>
          </w:tcPr>
          <w:p w14:paraId="53C69C8A"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-0.04</w:t>
            </w:r>
          </w:p>
        </w:tc>
      </w:tr>
      <w:tr w:rsidR="004923A4" w:rsidRPr="004923A4" w14:paraId="2332A702" w14:textId="77777777" w:rsidTr="004923A4">
        <w:trPr>
          <w:trHeight w:val="288"/>
        </w:trPr>
        <w:tc>
          <w:tcPr>
            <w:tcW w:w="1880" w:type="dxa"/>
            <w:tcBorders>
              <w:top w:val="nil"/>
              <w:left w:val="nil"/>
              <w:bottom w:val="nil"/>
              <w:right w:val="nil"/>
            </w:tcBorders>
            <w:shd w:val="clear" w:color="auto" w:fill="auto"/>
            <w:noWrap/>
            <w:vAlign w:val="center"/>
            <w:hideMark/>
          </w:tcPr>
          <w:p w14:paraId="40499DCE" w14:textId="77777777" w:rsidR="004923A4" w:rsidRPr="00284B0B" w:rsidRDefault="004923A4" w:rsidP="004923A4">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Early vigour, %</w:t>
            </w:r>
          </w:p>
        </w:tc>
        <w:tc>
          <w:tcPr>
            <w:tcW w:w="500" w:type="dxa"/>
            <w:tcBorders>
              <w:top w:val="nil"/>
              <w:left w:val="nil"/>
              <w:bottom w:val="nil"/>
              <w:right w:val="nil"/>
            </w:tcBorders>
            <w:shd w:val="clear" w:color="000000" w:fill="FFFF00"/>
            <w:noWrap/>
            <w:vAlign w:val="center"/>
            <w:hideMark/>
          </w:tcPr>
          <w:p w14:paraId="6337C1C0"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0.24</w:t>
            </w:r>
          </w:p>
        </w:tc>
        <w:tc>
          <w:tcPr>
            <w:tcW w:w="500" w:type="dxa"/>
            <w:tcBorders>
              <w:top w:val="nil"/>
              <w:left w:val="nil"/>
              <w:bottom w:val="nil"/>
              <w:right w:val="nil"/>
            </w:tcBorders>
            <w:shd w:val="clear" w:color="auto" w:fill="auto"/>
            <w:noWrap/>
            <w:vAlign w:val="center"/>
            <w:hideMark/>
          </w:tcPr>
          <w:p w14:paraId="6D10BB63"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1</w:t>
            </w:r>
          </w:p>
        </w:tc>
        <w:tc>
          <w:tcPr>
            <w:tcW w:w="500" w:type="dxa"/>
            <w:tcBorders>
              <w:top w:val="nil"/>
              <w:left w:val="nil"/>
              <w:bottom w:val="nil"/>
              <w:right w:val="nil"/>
            </w:tcBorders>
            <w:shd w:val="clear" w:color="000000" w:fill="FFFF00"/>
            <w:noWrap/>
            <w:vAlign w:val="center"/>
            <w:hideMark/>
          </w:tcPr>
          <w:p w14:paraId="35F1C099"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0.23</w:t>
            </w:r>
          </w:p>
        </w:tc>
        <w:tc>
          <w:tcPr>
            <w:tcW w:w="500" w:type="dxa"/>
            <w:tcBorders>
              <w:top w:val="nil"/>
              <w:left w:val="nil"/>
              <w:bottom w:val="nil"/>
              <w:right w:val="nil"/>
            </w:tcBorders>
            <w:shd w:val="clear" w:color="000000" w:fill="FFFF00"/>
            <w:noWrap/>
            <w:vAlign w:val="center"/>
            <w:hideMark/>
          </w:tcPr>
          <w:p w14:paraId="16767C56"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0.41</w:t>
            </w:r>
          </w:p>
        </w:tc>
        <w:tc>
          <w:tcPr>
            <w:tcW w:w="500" w:type="dxa"/>
            <w:tcBorders>
              <w:top w:val="nil"/>
              <w:left w:val="nil"/>
              <w:bottom w:val="nil"/>
              <w:right w:val="nil"/>
            </w:tcBorders>
            <w:shd w:val="clear" w:color="000000" w:fill="FFFF00"/>
            <w:noWrap/>
            <w:vAlign w:val="center"/>
            <w:hideMark/>
          </w:tcPr>
          <w:p w14:paraId="5A8C9F0C"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0.37</w:t>
            </w:r>
          </w:p>
        </w:tc>
        <w:tc>
          <w:tcPr>
            <w:tcW w:w="500" w:type="dxa"/>
            <w:tcBorders>
              <w:top w:val="nil"/>
              <w:left w:val="nil"/>
              <w:bottom w:val="nil"/>
              <w:right w:val="nil"/>
            </w:tcBorders>
            <w:shd w:val="clear" w:color="000000" w:fill="FFFF00"/>
            <w:noWrap/>
            <w:vAlign w:val="center"/>
            <w:hideMark/>
          </w:tcPr>
          <w:p w14:paraId="5FBE64DA"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0.29</w:t>
            </w:r>
          </w:p>
        </w:tc>
        <w:tc>
          <w:tcPr>
            <w:tcW w:w="500" w:type="dxa"/>
            <w:tcBorders>
              <w:top w:val="nil"/>
              <w:left w:val="nil"/>
              <w:bottom w:val="nil"/>
              <w:right w:val="nil"/>
            </w:tcBorders>
            <w:shd w:val="clear" w:color="000000" w:fill="FFFF00"/>
            <w:noWrap/>
            <w:vAlign w:val="center"/>
            <w:hideMark/>
          </w:tcPr>
          <w:p w14:paraId="262FE2B4"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0.09</w:t>
            </w:r>
          </w:p>
        </w:tc>
        <w:tc>
          <w:tcPr>
            <w:tcW w:w="500" w:type="dxa"/>
            <w:tcBorders>
              <w:top w:val="nil"/>
              <w:left w:val="nil"/>
              <w:bottom w:val="nil"/>
              <w:right w:val="nil"/>
            </w:tcBorders>
            <w:shd w:val="clear" w:color="auto" w:fill="auto"/>
            <w:noWrap/>
            <w:vAlign w:val="center"/>
            <w:hideMark/>
          </w:tcPr>
          <w:p w14:paraId="1618CF43"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-0.02</w:t>
            </w:r>
          </w:p>
        </w:tc>
        <w:tc>
          <w:tcPr>
            <w:tcW w:w="500" w:type="dxa"/>
            <w:tcBorders>
              <w:top w:val="nil"/>
              <w:left w:val="nil"/>
              <w:bottom w:val="nil"/>
              <w:right w:val="nil"/>
            </w:tcBorders>
            <w:shd w:val="clear" w:color="auto" w:fill="auto"/>
            <w:noWrap/>
            <w:vAlign w:val="center"/>
            <w:hideMark/>
          </w:tcPr>
          <w:p w14:paraId="50D3F5D6"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0.03</w:t>
            </w:r>
          </w:p>
        </w:tc>
        <w:tc>
          <w:tcPr>
            <w:tcW w:w="500" w:type="dxa"/>
            <w:tcBorders>
              <w:top w:val="nil"/>
              <w:left w:val="nil"/>
              <w:bottom w:val="nil"/>
              <w:right w:val="nil"/>
            </w:tcBorders>
            <w:shd w:val="clear" w:color="000000" w:fill="FFFF00"/>
            <w:noWrap/>
            <w:vAlign w:val="center"/>
            <w:hideMark/>
          </w:tcPr>
          <w:p w14:paraId="6E8AEAEE"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-0.11</w:t>
            </w:r>
          </w:p>
        </w:tc>
        <w:tc>
          <w:tcPr>
            <w:tcW w:w="500" w:type="dxa"/>
            <w:tcBorders>
              <w:top w:val="nil"/>
              <w:left w:val="nil"/>
              <w:bottom w:val="nil"/>
              <w:right w:val="nil"/>
            </w:tcBorders>
            <w:shd w:val="clear" w:color="000000" w:fill="FFFF00"/>
            <w:noWrap/>
            <w:vAlign w:val="center"/>
            <w:hideMark/>
          </w:tcPr>
          <w:p w14:paraId="6263A4A5"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-0.36</w:t>
            </w:r>
          </w:p>
        </w:tc>
        <w:tc>
          <w:tcPr>
            <w:tcW w:w="500" w:type="dxa"/>
            <w:tcBorders>
              <w:top w:val="nil"/>
              <w:left w:val="nil"/>
              <w:bottom w:val="nil"/>
              <w:right w:val="nil"/>
            </w:tcBorders>
            <w:shd w:val="clear" w:color="000000" w:fill="FFFF00"/>
            <w:noWrap/>
            <w:vAlign w:val="center"/>
            <w:hideMark/>
          </w:tcPr>
          <w:p w14:paraId="23B03545"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-0.41</w:t>
            </w:r>
          </w:p>
        </w:tc>
        <w:tc>
          <w:tcPr>
            <w:tcW w:w="500" w:type="dxa"/>
            <w:tcBorders>
              <w:top w:val="nil"/>
              <w:left w:val="nil"/>
              <w:bottom w:val="nil"/>
              <w:right w:val="nil"/>
            </w:tcBorders>
            <w:shd w:val="clear" w:color="000000" w:fill="FFFF00"/>
            <w:noWrap/>
            <w:vAlign w:val="center"/>
            <w:hideMark/>
          </w:tcPr>
          <w:p w14:paraId="39F85E0D"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-0.38</w:t>
            </w:r>
          </w:p>
        </w:tc>
        <w:tc>
          <w:tcPr>
            <w:tcW w:w="500" w:type="dxa"/>
            <w:tcBorders>
              <w:top w:val="nil"/>
              <w:left w:val="nil"/>
              <w:bottom w:val="nil"/>
              <w:right w:val="nil"/>
            </w:tcBorders>
            <w:shd w:val="clear" w:color="auto" w:fill="auto"/>
            <w:noWrap/>
            <w:vAlign w:val="center"/>
            <w:hideMark/>
          </w:tcPr>
          <w:p w14:paraId="083CE53A"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w:t>
            </w:r>
          </w:p>
        </w:tc>
      </w:tr>
      <w:tr w:rsidR="004923A4" w:rsidRPr="004923A4" w14:paraId="6AA2C055" w14:textId="77777777" w:rsidTr="004923A4">
        <w:trPr>
          <w:trHeight w:val="288"/>
        </w:trPr>
        <w:tc>
          <w:tcPr>
            <w:tcW w:w="1880" w:type="dxa"/>
            <w:tcBorders>
              <w:top w:val="nil"/>
              <w:left w:val="nil"/>
              <w:bottom w:val="nil"/>
              <w:right w:val="nil"/>
            </w:tcBorders>
            <w:shd w:val="clear" w:color="auto" w:fill="auto"/>
            <w:noWrap/>
            <w:vAlign w:val="center"/>
            <w:hideMark/>
          </w:tcPr>
          <w:p w14:paraId="693DAF65" w14:textId="77777777" w:rsidR="004923A4" w:rsidRPr="00284B0B" w:rsidRDefault="004923A4" w:rsidP="004923A4">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Lodging, 1–9 p</w:t>
            </w:r>
          </w:p>
        </w:tc>
        <w:tc>
          <w:tcPr>
            <w:tcW w:w="500" w:type="dxa"/>
            <w:tcBorders>
              <w:top w:val="nil"/>
              <w:left w:val="nil"/>
              <w:bottom w:val="nil"/>
              <w:right w:val="nil"/>
            </w:tcBorders>
            <w:shd w:val="clear" w:color="000000" w:fill="FFFF00"/>
            <w:noWrap/>
            <w:vAlign w:val="center"/>
            <w:hideMark/>
          </w:tcPr>
          <w:p w14:paraId="7E7EB451"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0.53</w:t>
            </w:r>
          </w:p>
        </w:tc>
        <w:tc>
          <w:tcPr>
            <w:tcW w:w="500" w:type="dxa"/>
            <w:tcBorders>
              <w:top w:val="nil"/>
              <w:left w:val="nil"/>
              <w:bottom w:val="nil"/>
              <w:right w:val="nil"/>
            </w:tcBorders>
            <w:shd w:val="clear" w:color="000000" w:fill="FFFF00"/>
            <w:noWrap/>
            <w:vAlign w:val="center"/>
            <w:hideMark/>
          </w:tcPr>
          <w:p w14:paraId="5DD88694"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0.23</w:t>
            </w:r>
          </w:p>
        </w:tc>
        <w:tc>
          <w:tcPr>
            <w:tcW w:w="500" w:type="dxa"/>
            <w:tcBorders>
              <w:top w:val="nil"/>
              <w:left w:val="nil"/>
              <w:bottom w:val="nil"/>
              <w:right w:val="nil"/>
            </w:tcBorders>
            <w:shd w:val="clear" w:color="auto" w:fill="auto"/>
            <w:noWrap/>
            <w:vAlign w:val="center"/>
            <w:hideMark/>
          </w:tcPr>
          <w:p w14:paraId="56AFBF0B"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1</w:t>
            </w:r>
          </w:p>
        </w:tc>
        <w:tc>
          <w:tcPr>
            <w:tcW w:w="500" w:type="dxa"/>
            <w:tcBorders>
              <w:top w:val="nil"/>
              <w:left w:val="nil"/>
              <w:bottom w:val="nil"/>
              <w:right w:val="nil"/>
            </w:tcBorders>
            <w:shd w:val="clear" w:color="000000" w:fill="FFFF00"/>
            <w:noWrap/>
            <w:vAlign w:val="center"/>
            <w:hideMark/>
          </w:tcPr>
          <w:p w14:paraId="2F40FCB0"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0.43</w:t>
            </w:r>
          </w:p>
        </w:tc>
        <w:tc>
          <w:tcPr>
            <w:tcW w:w="500" w:type="dxa"/>
            <w:tcBorders>
              <w:top w:val="nil"/>
              <w:left w:val="nil"/>
              <w:bottom w:val="nil"/>
              <w:right w:val="nil"/>
            </w:tcBorders>
            <w:shd w:val="clear" w:color="000000" w:fill="FFFF00"/>
            <w:noWrap/>
            <w:vAlign w:val="center"/>
            <w:hideMark/>
          </w:tcPr>
          <w:p w14:paraId="6B2AB0CB"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0.51</w:t>
            </w:r>
          </w:p>
        </w:tc>
        <w:tc>
          <w:tcPr>
            <w:tcW w:w="500" w:type="dxa"/>
            <w:tcBorders>
              <w:top w:val="nil"/>
              <w:left w:val="nil"/>
              <w:bottom w:val="nil"/>
              <w:right w:val="nil"/>
            </w:tcBorders>
            <w:shd w:val="clear" w:color="000000" w:fill="FFFF00"/>
            <w:noWrap/>
            <w:vAlign w:val="center"/>
            <w:hideMark/>
          </w:tcPr>
          <w:p w14:paraId="5FCD592D"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0.48</w:t>
            </w:r>
          </w:p>
        </w:tc>
        <w:tc>
          <w:tcPr>
            <w:tcW w:w="500" w:type="dxa"/>
            <w:tcBorders>
              <w:top w:val="nil"/>
              <w:left w:val="nil"/>
              <w:bottom w:val="nil"/>
              <w:right w:val="nil"/>
            </w:tcBorders>
            <w:shd w:val="clear" w:color="000000" w:fill="FFFF00"/>
            <w:noWrap/>
            <w:vAlign w:val="center"/>
            <w:hideMark/>
          </w:tcPr>
          <w:p w14:paraId="63E2EFE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0.23</w:t>
            </w:r>
          </w:p>
        </w:tc>
        <w:tc>
          <w:tcPr>
            <w:tcW w:w="500" w:type="dxa"/>
            <w:tcBorders>
              <w:top w:val="nil"/>
              <w:left w:val="nil"/>
              <w:bottom w:val="nil"/>
              <w:right w:val="nil"/>
            </w:tcBorders>
            <w:shd w:val="clear" w:color="000000" w:fill="FFFF00"/>
            <w:noWrap/>
            <w:vAlign w:val="center"/>
            <w:hideMark/>
          </w:tcPr>
          <w:p w14:paraId="14199775"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0.22</w:t>
            </w:r>
          </w:p>
        </w:tc>
        <w:tc>
          <w:tcPr>
            <w:tcW w:w="500" w:type="dxa"/>
            <w:tcBorders>
              <w:top w:val="nil"/>
              <w:left w:val="nil"/>
              <w:bottom w:val="nil"/>
              <w:right w:val="nil"/>
            </w:tcBorders>
            <w:shd w:val="clear" w:color="auto" w:fill="auto"/>
            <w:noWrap/>
            <w:vAlign w:val="center"/>
            <w:hideMark/>
          </w:tcPr>
          <w:p w14:paraId="34D41BA0"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-0.04</w:t>
            </w:r>
          </w:p>
        </w:tc>
        <w:tc>
          <w:tcPr>
            <w:tcW w:w="500" w:type="dxa"/>
            <w:tcBorders>
              <w:top w:val="nil"/>
              <w:left w:val="nil"/>
              <w:bottom w:val="nil"/>
              <w:right w:val="nil"/>
            </w:tcBorders>
            <w:shd w:val="clear" w:color="000000" w:fill="FFFF00"/>
            <w:noWrap/>
            <w:vAlign w:val="center"/>
            <w:hideMark/>
          </w:tcPr>
          <w:p w14:paraId="4834A4D6"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0.12</w:t>
            </w:r>
          </w:p>
        </w:tc>
        <w:tc>
          <w:tcPr>
            <w:tcW w:w="500" w:type="dxa"/>
            <w:tcBorders>
              <w:top w:val="nil"/>
              <w:left w:val="nil"/>
              <w:bottom w:val="nil"/>
              <w:right w:val="nil"/>
            </w:tcBorders>
            <w:shd w:val="clear" w:color="000000" w:fill="FFFF00"/>
            <w:noWrap/>
            <w:vAlign w:val="center"/>
            <w:hideMark/>
          </w:tcPr>
          <w:p w14:paraId="26A48C2C"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-0.43</w:t>
            </w:r>
          </w:p>
        </w:tc>
        <w:tc>
          <w:tcPr>
            <w:tcW w:w="500" w:type="dxa"/>
            <w:tcBorders>
              <w:top w:val="nil"/>
              <w:left w:val="nil"/>
              <w:bottom w:val="nil"/>
              <w:right w:val="nil"/>
            </w:tcBorders>
            <w:shd w:val="clear" w:color="000000" w:fill="FFFF00"/>
            <w:noWrap/>
            <w:vAlign w:val="center"/>
            <w:hideMark/>
          </w:tcPr>
          <w:p w14:paraId="11A23314"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-0.31</w:t>
            </w:r>
          </w:p>
        </w:tc>
        <w:tc>
          <w:tcPr>
            <w:tcW w:w="500" w:type="dxa"/>
            <w:tcBorders>
              <w:top w:val="nil"/>
              <w:left w:val="nil"/>
              <w:bottom w:val="nil"/>
              <w:right w:val="nil"/>
            </w:tcBorders>
            <w:shd w:val="clear" w:color="000000" w:fill="FFFF00"/>
            <w:noWrap/>
            <w:vAlign w:val="center"/>
            <w:hideMark/>
          </w:tcPr>
          <w:p w14:paraId="168E377F"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-0.31</w:t>
            </w:r>
          </w:p>
        </w:tc>
        <w:tc>
          <w:tcPr>
            <w:tcW w:w="500" w:type="dxa"/>
            <w:tcBorders>
              <w:top w:val="nil"/>
              <w:left w:val="nil"/>
              <w:bottom w:val="nil"/>
              <w:right w:val="nil"/>
            </w:tcBorders>
            <w:shd w:val="clear" w:color="auto" w:fill="auto"/>
            <w:noWrap/>
            <w:vAlign w:val="center"/>
            <w:hideMark/>
          </w:tcPr>
          <w:p w14:paraId="68F3C393"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-0.05</w:t>
            </w:r>
          </w:p>
        </w:tc>
      </w:tr>
      <w:tr w:rsidR="004923A4" w:rsidRPr="004923A4" w14:paraId="0F106A3D" w14:textId="77777777" w:rsidTr="004923A4">
        <w:trPr>
          <w:trHeight w:val="288"/>
        </w:trPr>
        <w:tc>
          <w:tcPr>
            <w:tcW w:w="1880" w:type="dxa"/>
            <w:tcBorders>
              <w:top w:val="nil"/>
              <w:left w:val="nil"/>
              <w:bottom w:val="nil"/>
              <w:right w:val="nil"/>
            </w:tcBorders>
            <w:shd w:val="clear" w:color="auto" w:fill="auto"/>
            <w:noWrap/>
            <w:vAlign w:val="center"/>
            <w:hideMark/>
          </w:tcPr>
          <w:p w14:paraId="00B9663B" w14:textId="77777777" w:rsidR="004923A4" w:rsidRPr="00284B0B" w:rsidRDefault="004923A4" w:rsidP="004923A4">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Heading, days</w:t>
            </w:r>
          </w:p>
        </w:tc>
        <w:tc>
          <w:tcPr>
            <w:tcW w:w="500" w:type="dxa"/>
            <w:tcBorders>
              <w:top w:val="nil"/>
              <w:left w:val="nil"/>
              <w:bottom w:val="nil"/>
              <w:right w:val="nil"/>
            </w:tcBorders>
            <w:shd w:val="clear" w:color="000000" w:fill="FFFF00"/>
            <w:noWrap/>
            <w:vAlign w:val="center"/>
            <w:hideMark/>
          </w:tcPr>
          <w:p w14:paraId="6393A7BE"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w:t>
            </w:r>
          </w:p>
        </w:tc>
        <w:tc>
          <w:tcPr>
            <w:tcW w:w="500" w:type="dxa"/>
            <w:tcBorders>
              <w:top w:val="nil"/>
              <w:left w:val="nil"/>
              <w:bottom w:val="nil"/>
              <w:right w:val="nil"/>
            </w:tcBorders>
            <w:shd w:val="clear" w:color="000000" w:fill="FFFF00"/>
            <w:noWrap/>
            <w:vAlign w:val="center"/>
            <w:hideMark/>
          </w:tcPr>
          <w:p w14:paraId="32971AB6"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0.41</w:t>
            </w:r>
          </w:p>
        </w:tc>
        <w:tc>
          <w:tcPr>
            <w:tcW w:w="500" w:type="dxa"/>
            <w:tcBorders>
              <w:top w:val="nil"/>
              <w:left w:val="nil"/>
              <w:bottom w:val="nil"/>
              <w:right w:val="nil"/>
            </w:tcBorders>
            <w:shd w:val="clear" w:color="000000" w:fill="FFFF00"/>
            <w:noWrap/>
            <w:vAlign w:val="center"/>
            <w:hideMark/>
          </w:tcPr>
          <w:p w14:paraId="69E892A1"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0.43</w:t>
            </w:r>
          </w:p>
        </w:tc>
        <w:tc>
          <w:tcPr>
            <w:tcW w:w="500" w:type="dxa"/>
            <w:tcBorders>
              <w:top w:val="nil"/>
              <w:left w:val="nil"/>
              <w:bottom w:val="nil"/>
              <w:right w:val="nil"/>
            </w:tcBorders>
            <w:shd w:val="clear" w:color="auto" w:fill="auto"/>
            <w:noWrap/>
            <w:vAlign w:val="center"/>
            <w:hideMark/>
          </w:tcPr>
          <w:p w14:paraId="1A4E1484"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1</w:t>
            </w:r>
          </w:p>
        </w:tc>
        <w:tc>
          <w:tcPr>
            <w:tcW w:w="500" w:type="dxa"/>
            <w:tcBorders>
              <w:top w:val="nil"/>
              <w:left w:val="nil"/>
              <w:bottom w:val="nil"/>
              <w:right w:val="nil"/>
            </w:tcBorders>
            <w:shd w:val="clear" w:color="000000" w:fill="FFFF00"/>
            <w:noWrap/>
            <w:vAlign w:val="center"/>
            <w:hideMark/>
          </w:tcPr>
          <w:p w14:paraId="4075C041"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0.28</w:t>
            </w:r>
          </w:p>
        </w:tc>
        <w:tc>
          <w:tcPr>
            <w:tcW w:w="500" w:type="dxa"/>
            <w:tcBorders>
              <w:top w:val="nil"/>
              <w:left w:val="nil"/>
              <w:bottom w:val="nil"/>
              <w:right w:val="nil"/>
            </w:tcBorders>
            <w:shd w:val="clear" w:color="000000" w:fill="FFFF00"/>
            <w:noWrap/>
            <w:vAlign w:val="center"/>
            <w:hideMark/>
          </w:tcPr>
          <w:p w14:paraId="005D4F37"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0.29</w:t>
            </w:r>
          </w:p>
        </w:tc>
        <w:tc>
          <w:tcPr>
            <w:tcW w:w="500" w:type="dxa"/>
            <w:tcBorders>
              <w:top w:val="nil"/>
              <w:left w:val="nil"/>
              <w:bottom w:val="nil"/>
              <w:right w:val="nil"/>
            </w:tcBorders>
            <w:shd w:val="clear" w:color="000000" w:fill="FFFF00"/>
            <w:noWrap/>
            <w:vAlign w:val="center"/>
            <w:hideMark/>
          </w:tcPr>
          <w:p w14:paraId="16B49D0B"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0.59</w:t>
            </w:r>
          </w:p>
        </w:tc>
        <w:tc>
          <w:tcPr>
            <w:tcW w:w="500" w:type="dxa"/>
            <w:tcBorders>
              <w:top w:val="nil"/>
              <w:left w:val="nil"/>
              <w:bottom w:val="nil"/>
              <w:right w:val="nil"/>
            </w:tcBorders>
            <w:shd w:val="clear" w:color="auto" w:fill="auto"/>
            <w:noWrap/>
            <w:vAlign w:val="center"/>
            <w:hideMark/>
          </w:tcPr>
          <w:p w14:paraId="29F95AFB"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-0.01</w:t>
            </w:r>
          </w:p>
        </w:tc>
        <w:tc>
          <w:tcPr>
            <w:tcW w:w="500" w:type="dxa"/>
            <w:tcBorders>
              <w:top w:val="nil"/>
              <w:left w:val="nil"/>
              <w:bottom w:val="nil"/>
              <w:right w:val="nil"/>
            </w:tcBorders>
            <w:shd w:val="clear" w:color="000000" w:fill="FFFF00"/>
            <w:noWrap/>
            <w:vAlign w:val="center"/>
            <w:hideMark/>
          </w:tcPr>
          <w:p w14:paraId="5E2428ED"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0.19</w:t>
            </w:r>
          </w:p>
        </w:tc>
        <w:tc>
          <w:tcPr>
            <w:tcW w:w="500" w:type="dxa"/>
            <w:tcBorders>
              <w:top w:val="nil"/>
              <w:left w:val="nil"/>
              <w:bottom w:val="nil"/>
              <w:right w:val="nil"/>
            </w:tcBorders>
            <w:shd w:val="clear" w:color="000000" w:fill="FFFF00"/>
            <w:noWrap/>
            <w:vAlign w:val="center"/>
            <w:hideMark/>
          </w:tcPr>
          <w:p w14:paraId="2C430509"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-0.13</w:t>
            </w:r>
          </w:p>
        </w:tc>
        <w:tc>
          <w:tcPr>
            <w:tcW w:w="500" w:type="dxa"/>
            <w:tcBorders>
              <w:top w:val="nil"/>
              <w:left w:val="nil"/>
              <w:bottom w:val="nil"/>
              <w:right w:val="nil"/>
            </w:tcBorders>
            <w:shd w:val="clear" w:color="000000" w:fill="FFFF00"/>
            <w:noWrap/>
            <w:vAlign w:val="center"/>
            <w:hideMark/>
          </w:tcPr>
          <w:p w14:paraId="2224E431"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-0.43</w:t>
            </w:r>
          </w:p>
        </w:tc>
        <w:tc>
          <w:tcPr>
            <w:tcW w:w="500" w:type="dxa"/>
            <w:tcBorders>
              <w:top w:val="nil"/>
              <w:left w:val="nil"/>
              <w:bottom w:val="nil"/>
              <w:right w:val="nil"/>
            </w:tcBorders>
            <w:shd w:val="clear" w:color="000000" w:fill="FFFF00"/>
            <w:noWrap/>
            <w:vAlign w:val="center"/>
            <w:hideMark/>
          </w:tcPr>
          <w:p w14:paraId="7C52EEEF"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-0.45</w:t>
            </w:r>
          </w:p>
        </w:tc>
        <w:tc>
          <w:tcPr>
            <w:tcW w:w="500" w:type="dxa"/>
            <w:tcBorders>
              <w:top w:val="nil"/>
              <w:left w:val="nil"/>
              <w:bottom w:val="nil"/>
              <w:right w:val="nil"/>
            </w:tcBorders>
            <w:shd w:val="clear" w:color="000000" w:fill="FFFF00"/>
            <w:noWrap/>
            <w:vAlign w:val="center"/>
            <w:hideMark/>
          </w:tcPr>
          <w:p w14:paraId="14A53D70"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-0.48</w:t>
            </w:r>
          </w:p>
        </w:tc>
        <w:tc>
          <w:tcPr>
            <w:tcW w:w="500" w:type="dxa"/>
            <w:tcBorders>
              <w:top w:val="nil"/>
              <w:left w:val="nil"/>
              <w:bottom w:val="nil"/>
              <w:right w:val="nil"/>
            </w:tcBorders>
            <w:shd w:val="clear" w:color="auto" w:fill="auto"/>
            <w:noWrap/>
            <w:vAlign w:val="center"/>
            <w:hideMark/>
          </w:tcPr>
          <w:p w14:paraId="2232B9D8"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-0.07</w:t>
            </w:r>
          </w:p>
        </w:tc>
      </w:tr>
      <w:tr w:rsidR="004923A4" w:rsidRPr="004923A4" w14:paraId="283EB999" w14:textId="77777777" w:rsidTr="004923A4">
        <w:trPr>
          <w:trHeight w:val="288"/>
        </w:trPr>
        <w:tc>
          <w:tcPr>
            <w:tcW w:w="1880" w:type="dxa"/>
            <w:tcBorders>
              <w:top w:val="nil"/>
              <w:left w:val="nil"/>
              <w:bottom w:val="nil"/>
              <w:right w:val="nil"/>
            </w:tcBorders>
            <w:shd w:val="clear" w:color="auto" w:fill="auto"/>
            <w:noWrap/>
            <w:vAlign w:val="center"/>
            <w:hideMark/>
          </w:tcPr>
          <w:p w14:paraId="03C866AD" w14:textId="77777777" w:rsidR="004923A4" w:rsidRPr="00284B0B" w:rsidRDefault="004923A4" w:rsidP="004923A4">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Test weight, kg hl</w:t>
            </w:r>
            <w:r w:rsidRPr="00284B0B">
              <w:rPr>
                <w:rFonts w:ascii="Times New Roman" w:eastAsia="Times New Roman" w:hAnsi="Times New Roman" w:cs="Times New Roman"/>
                <w:color w:val="000000"/>
                <w:sz w:val="16"/>
                <w:szCs w:val="16"/>
                <w:vertAlign w:val="superscript"/>
                <w:lang w:val="en-GB" w:eastAsia="et-EE"/>
              </w:rPr>
              <w:t>-1</w:t>
            </w:r>
          </w:p>
        </w:tc>
        <w:tc>
          <w:tcPr>
            <w:tcW w:w="500" w:type="dxa"/>
            <w:tcBorders>
              <w:top w:val="nil"/>
              <w:left w:val="nil"/>
              <w:bottom w:val="nil"/>
              <w:right w:val="nil"/>
            </w:tcBorders>
            <w:shd w:val="clear" w:color="000000" w:fill="FFFF00"/>
            <w:noWrap/>
            <w:vAlign w:val="center"/>
            <w:hideMark/>
          </w:tcPr>
          <w:p w14:paraId="3A17BD6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0.47</w:t>
            </w:r>
          </w:p>
        </w:tc>
        <w:tc>
          <w:tcPr>
            <w:tcW w:w="500" w:type="dxa"/>
            <w:tcBorders>
              <w:top w:val="nil"/>
              <w:left w:val="nil"/>
              <w:bottom w:val="nil"/>
              <w:right w:val="nil"/>
            </w:tcBorders>
            <w:shd w:val="clear" w:color="000000" w:fill="FFFF00"/>
            <w:noWrap/>
            <w:vAlign w:val="center"/>
            <w:hideMark/>
          </w:tcPr>
          <w:p w14:paraId="3BC93DD5"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0.37</w:t>
            </w:r>
          </w:p>
        </w:tc>
        <w:tc>
          <w:tcPr>
            <w:tcW w:w="500" w:type="dxa"/>
            <w:tcBorders>
              <w:top w:val="nil"/>
              <w:left w:val="nil"/>
              <w:bottom w:val="nil"/>
              <w:right w:val="nil"/>
            </w:tcBorders>
            <w:shd w:val="clear" w:color="000000" w:fill="FFFF00"/>
            <w:noWrap/>
            <w:vAlign w:val="center"/>
            <w:hideMark/>
          </w:tcPr>
          <w:p w14:paraId="3255D711"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0.51</w:t>
            </w:r>
          </w:p>
        </w:tc>
        <w:tc>
          <w:tcPr>
            <w:tcW w:w="500" w:type="dxa"/>
            <w:tcBorders>
              <w:top w:val="nil"/>
              <w:left w:val="nil"/>
              <w:bottom w:val="nil"/>
              <w:right w:val="nil"/>
            </w:tcBorders>
            <w:shd w:val="clear" w:color="000000" w:fill="FFFF00"/>
            <w:noWrap/>
            <w:vAlign w:val="center"/>
            <w:hideMark/>
          </w:tcPr>
          <w:p w14:paraId="222873FB"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0.28</w:t>
            </w:r>
          </w:p>
        </w:tc>
        <w:tc>
          <w:tcPr>
            <w:tcW w:w="500" w:type="dxa"/>
            <w:tcBorders>
              <w:top w:val="nil"/>
              <w:left w:val="nil"/>
              <w:bottom w:val="nil"/>
              <w:right w:val="nil"/>
            </w:tcBorders>
            <w:shd w:val="clear" w:color="auto" w:fill="auto"/>
            <w:noWrap/>
            <w:vAlign w:val="center"/>
            <w:hideMark/>
          </w:tcPr>
          <w:p w14:paraId="04F61EA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1</w:t>
            </w:r>
          </w:p>
        </w:tc>
        <w:tc>
          <w:tcPr>
            <w:tcW w:w="500" w:type="dxa"/>
            <w:tcBorders>
              <w:top w:val="nil"/>
              <w:left w:val="nil"/>
              <w:bottom w:val="nil"/>
              <w:right w:val="nil"/>
            </w:tcBorders>
            <w:shd w:val="clear" w:color="000000" w:fill="FFFF00"/>
            <w:noWrap/>
            <w:vAlign w:val="center"/>
            <w:hideMark/>
          </w:tcPr>
          <w:p w14:paraId="7101D409"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0.73</w:t>
            </w:r>
          </w:p>
        </w:tc>
        <w:tc>
          <w:tcPr>
            <w:tcW w:w="500" w:type="dxa"/>
            <w:tcBorders>
              <w:top w:val="nil"/>
              <w:left w:val="nil"/>
              <w:bottom w:val="nil"/>
              <w:right w:val="nil"/>
            </w:tcBorders>
            <w:shd w:val="clear" w:color="000000" w:fill="FFFF00"/>
            <w:noWrap/>
            <w:vAlign w:val="center"/>
            <w:hideMark/>
          </w:tcPr>
          <w:p w14:paraId="6E305D65"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0.41</w:t>
            </w:r>
          </w:p>
        </w:tc>
        <w:tc>
          <w:tcPr>
            <w:tcW w:w="500" w:type="dxa"/>
            <w:tcBorders>
              <w:top w:val="nil"/>
              <w:left w:val="nil"/>
              <w:bottom w:val="nil"/>
              <w:right w:val="nil"/>
            </w:tcBorders>
            <w:shd w:val="clear" w:color="000000" w:fill="FFFF00"/>
            <w:noWrap/>
            <w:vAlign w:val="center"/>
            <w:hideMark/>
          </w:tcPr>
          <w:p w14:paraId="507BDCE8"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0.44</w:t>
            </w:r>
          </w:p>
        </w:tc>
        <w:tc>
          <w:tcPr>
            <w:tcW w:w="500" w:type="dxa"/>
            <w:tcBorders>
              <w:top w:val="nil"/>
              <w:left w:val="nil"/>
              <w:bottom w:val="nil"/>
              <w:right w:val="nil"/>
            </w:tcBorders>
            <w:shd w:val="clear" w:color="000000" w:fill="FFFF00"/>
            <w:noWrap/>
            <w:vAlign w:val="center"/>
            <w:hideMark/>
          </w:tcPr>
          <w:p w14:paraId="3AD69BCE"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0.34</w:t>
            </w:r>
          </w:p>
        </w:tc>
        <w:tc>
          <w:tcPr>
            <w:tcW w:w="500" w:type="dxa"/>
            <w:tcBorders>
              <w:top w:val="nil"/>
              <w:left w:val="nil"/>
              <w:bottom w:val="nil"/>
              <w:right w:val="nil"/>
            </w:tcBorders>
            <w:shd w:val="clear" w:color="000000" w:fill="FFFF00"/>
            <w:noWrap/>
            <w:vAlign w:val="center"/>
            <w:hideMark/>
          </w:tcPr>
          <w:p w14:paraId="5623FA69"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0.34</w:t>
            </w:r>
          </w:p>
        </w:tc>
        <w:tc>
          <w:tcPr>
            <w:tcW w:w="500" w:type="dxa"/>
            <w:tcBorders>
              <w:top w:val="nil"/>
              <w:left w:val="nil"/>
              <w:bottom w:val="nil"/>
              <w:right w:val="nil"/>
            </w:tcBorders>
            <w:shd w:val="clear" w:color="000000" w:fill="FFFF00"/>
            <w:noWrap/>
            <w:vAlign w:val="center"/>
            <w:hideMark/>
          </w:tcPr>
          <w:p w14:paraId="3D4A8069"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-0.52</w:t>
            </w:r>
          </w:p>
        </w:tc>
        <w:tc>
          <w:tcPr>
            <w:tcW w:w="500" w:type="dxa"/>
            <w:tcBorders>
              <w:top w:val="nil"/>
              <w:left w:val="nil"/>
              <w:bottom w:val="nil"/>
              <w:right w:val="nil"/>
            </w:tcBorders>
            <w:shd w:val="clear" w:color="000000" w:fill="FFFF00"/>
            <w:noWrap/>
            <w:vAlign w:val="center"/>
            <w:hideMark/>
          </w:tcPr>
          <w:p w14:paraId="6E2D160E"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-0.44</w:t>
            </w:r>
          </w:p>
        </w:tc>
        <w:tc>
          <w:tcPr>
            <w:tcW w:w="500" w:type="dxa"/>
            <w:tcBorders>
              <w:top w:val="nil"/>
              <w:left w:val="nil"/>
              <w:bottom w:val="nil"/>
              <w:right w:val="nil"/>
            </w:tcBorders>
            <w:shd w:val="clear" w:color="000000" w:fill="FFFF00"/>
            <w:noWrap/>
            <w:vAlign w:val="center"/>
            <w:hideMark/>
          </w:tcPr>
          <w:p w14:paraId="52B41617"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w:t>
            </w:r>
          </w:p>
        </w:tc>
        <w:tc>
          <w:tcPr>
            <w:tcW w:w="500" w:type="dxa"/>
            <w:tcBorders>
              <w:top w:val="nil"/>
              <w:left w:val="nil"/>
              <w:bottom w:val="nil"/>
              <w:right w:val="nil"/>
            </w:tcBorders>
            <w:shd w:val="clear" w:color="auto" w:fill="auto"/>
            <w:noWrap/>
            <w:vAlign w:val="center"/>
            <w:hideMark/>
          </w:tcPr>
          <w:p w14:paraId="61C045B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-0.07</w:t>
            </w:r>
          </w:p>
        </w:tc>
      </w:tr>
      <w:tr w:rsidR="004923A4" w:rsidRPr="004923A4" w14:paraId="5A02A413" w14:textId="77777777" w:rsidTr="004923A4">
        <w:trPr>
          <w:trHeight w:val="288"/>
        </w:trPr>
        <w:tc>
          <w:tcPr>
            <w:tcW w:w="1880" w:type="dxa"/>
            <w:tcBorders>
              <w:top w:val="nil"/>
              <w:left w:val="nil"/>
              <w:bottom w:val="nil"/>
              <w:right w:val="nil"/>
            </w:tcBorders>
            <w:shd w:val="clear" w:color="auto" w:fill="auto"/>
            <w:noWrap/>
            <w:vAlign w:val="center"/>
            <w:hideMark/>
          </w:tcPr>
          <w:p w14:paraId="0962E6B2" w14:textId="77777777" w:rsidR="004923A4" w:rsidRPr="00284B0B" w:rsidRDefault="004923A4" w:rsidP="004923A4">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Starch content, %</w:t>
            </w:r>
          </w:p>
        </w:tc>
        <w:tc>
          <w:tcPr>
            <w:tcW w:w="500" w:type="dxa"/>
            <w:tcBorders>
              <w:top w:val="nil"/>
              <w:left w:val="nil"/>
              <w:bottom w:val="nil"/>
              <w:right w:val="nil"/>
            </w:tcBorders>
            <w:shd w:val="clear" w:color="000000" w:fill="FFFF00"/>
            <w:noWrap/>
            <w:vAlign w:val="center"/>
            <w:hideMark/>
          </w:tcPr>
          <w:p w14:paraId="3238F269"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0.39</w:t>
            </w:r>
          </w:p>
        </w:tc>
        <w:tc>
          <w:tcPr>
            <w:tcW w:w="500" w:type="dxa"/>
            <w:tcBorders>
              <w:top w:val="nil"/>
              <w:left w:val="nil"/>
              <w:bottom w:val="nil"/>
              <w:right w:val="nil"/>
            </w:tcBorders>
            <w:shd w:val="clear" w:color="000000" w:fill="FFFF00"/>
            <w:noWrap/>
            <w:vAlign w:val="center"/>
            <w:hideMark/>
          </w:tcPr>
          <w:p w14:paraId="4DB88561"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0.29</w:t>
            </w:r>
          </w:p>
        </w:tc>
        <w:tc>
          <w:tcPr>
            <w:tcW w:w="500" w:type="dxa"/>
            <w:tcBorders>
              <w:top w:val="nil"/>
              <w:left w:val="nil"/>
              <w:bottom w:val="nil"/>
              <w:right w:val="nil"/>
            </w:tcBorders>
            <w:shd w:val="clear" w:color="000000" w:fill="FFFF00"/>
            <w:noWrap/>
            <w:vAlign w:val="center"/>
            <w:hideMark/>
          </w:tcPr>
          <w:p w14:paraId="3AE1AEE8"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0.48</w:t>
            </w:r>
          </w:p>
        </w:tc>
        <w:tc>
          <w:tcPr>
            <w:tcW w:w="500" w:type="dxa"/>
            <w:tcBorders>
              <w:top w:val="nil"/>
              <w:left w:val="nil"/>
              <w:bottom w:val="nil"/>
              <w:right w:val="nil"/>
            </w:tcBorders>
            <w:shd w:val="clear" w:color="000000" w:fill="FFFF00"/>
            <w:noWrap/>
            <w:vAlign w:val="center"/>
            <w:hideMark/>
          </w:tcPr>
          <w:p w14:paraId="7EFFDDDC"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0.29</w:t>
            </w:r>
          </w:p>
        </w:tc>
        <w:tc>
          <w:tcPr>
            <w:tcW w:w="500" w:type="dxa"/>
            <w:tcBorders>
              <w:top w:val="nil"/>
              <w:left w:val="nil"/>
              <w:bottom w:val="nil"/>
              <w:right w:val="nil"/>
            </w:tcBorders>
            <w:shd w:val="clear" w:color="000000" w:fill="FFFF00"/>
            <w:noWrap/>
            <w:vAlign w:val="center"/>
            <w:hideMark/>
          </w:tcPr>
          <w:p w14:paraId="38EF2A1F"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0.73</w:t>
            </w:r>
          </w:p>
        </w:tc>
        <w:tc>
          <w:tcPr>
            <w:tcW w:w="500" w:type="dxa"/>
            <w:tcBorders>
              <w:top w:val="nil"/>
              <w:left w:val="nil"/>
              <w:bottom w:val="nil"/>
              <w:right w:val="nil"/>
            </w:tcBorders>
            <w:shd w:val="clear" w:color="auto" w:fill="auto"/>
            <w:noWrap/>
            <w:vAlign w:val="center"/>
            <w:hideMark/>
          </w:tcPr>
          <w:p w14:paraId="4A2FC200"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1</w:t>
            </w:r>
          </w:p>
        </w:tc>
        <w:tc>
          <w:tcPr>
            <w:tcW w:w="500" w:type="dxa"/>
            <w:tcBorders>
              <w:top w:val="nil"/>
              <w:left w:val="nil"/>
              <w:bottom w:val="nil"/>
              <w:right w:val="nil"/>
            </w:tcBorders>
            <w:shd w:val="clear" w:color="000000" w:fill="FFFF00"/>
            <w:noWrap/>
            <w:vAlign w:val="center"/>
            <w:hideMark/>
          </w:tcPr>
          <w:p w14:paraId="25325291"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0.48</w:t>
            </w:r>
          </w:p>
        </w:tc>
        <w:tc>
          <w:tcPr>
            <w:tcW w:w="500" w:type="dxa"/>
            <w:tcBorders>
              <w:top w:val="nil"/>
              <w:left w:val="nil"/>
              <w:bottom w:val="nil"/>
              <w:right w:val="nil"/>
            </w:tcBorders>
            <w:shd w:val="clear" w:color="000000" w:fill="FFFF00"/>
            <w:noWrap/>
            <w:vAlign w:val="center"/>
            <w:hideMark/>
          </w:tcPr>
          <w:p w14:paraId="169652FB"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w:t>
            </w:r>
          </w:p>
        </w:tc>
        <w:tc>
          <w:tcPr>
            <w:tcW w:w="500" w:type="dxa"/>
            <w:tcBorders>
              <w:top w:val="nil"/>
              <w:left w:val="nil"/>
              <w:bottom w:val="nil"/>
              <w:right w:val="nil"/>
            </w:tcBorders>
            <w:shd w:val="clear" w:color="000000" w:fill="FFFF00"/>
            <w:noWrap/>
            <w:vAlign w:val="center"/>
            <w:hideMark/>
          </w:tcPr>
          <w:p w14:paraId="1FFA138B"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0.43</w:t>
            </w:r>
          </w:p>
        </w:tc>
        <w:tc>
          <w:tcPr>
            <w:tcW w:w="500" w:type="dxa"/>
            <w:tcBorders>
              <w:top w:val="nil"/>
              <w:left w:val="nil"/>
              <w:bottom w:val="nil"/>
              <w:right w:val="nil"/>
            </w:tcBorders>
            <w:shd w:val="clear" w:color="000000" w:fill="FFFF00"/>
            <w:noWrap/>
            <w:vAlign w:val="center"/>
            <w:hideMark/>
          </w:tcPr>
          <w:p w14:paraId="57CC835A"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0.51</w:t>
            </w:r>
          </w:p>
        </w:tc>
        <w:tc>
          <w:tcPr>
            <w:tcW w:w="500" w:type="dxa"/>
            <w:tcBorders>
              <w:top w:val="nil"/>
              <w:left w:val="nil"/>
              <w:bottom w:val="nil"/>
              <w:right w:val="nil"/>
            </w:tcBorders>
            <w:shd w:val="clear" w:color="000000" w:fill="FFFF00"/>
            <w:noWrap/>
            <w:vAlign w:val="center"/>
            <w:hideMark/>
          </w:tcPr>
          <w:p w14:paraId="5BD7F4F3"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-0.81</w:t>
            </w:r>
          </w:p>
        </w:tc>
        <w:tc>
          <w:tcPr>
            <w:tcW w:w="500" w:type="dxa"/>
            <w:tcBorders>
              <w:top w:val="nil"/>
              <w:left w:val="nil"/>
              <w:bottom w:val="nil"/>
              <w:right w:val="nil"/>
            </w:tcBorders>
            <w:shd w:val="clear" w:color="000000" w:fill="FFFF00"/>
            <w:noWrap/>
            <w:vAlign w:val="center"/>
            <w:hideMark/>
          </w:tcPr>
          <w:p w14:paraId="06DD05A4"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-0.73</w:t>
            </w:r>
          </w:p>
        </w:tc>
        <w:tc>
          <w:tcPr>
            <w:tcW w:w="500" w:type="dxa"/>
            <w:tcBorders>
              <w:top w:val="nil"/>
              <w:left w:val="nil"/>
              <w:bottom w:val="nil"/>
              <w:right w:val="nil"/>
            </w:tcBorders>
            <w:shd w:val="clear" w:color="000000" w:fill="FFFF00"/>
            <w:noWrap/>
            <w:vAlign w:val="center"/>
            <w:hideMark/>
          </w:tcPr>
          <w:p w14:paraId="682E259D"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-0.68</w:t>
            </w:r>
          </w:p>
        </w:tc>
        <w:tc>
          <w:tcPr>
            <w:tcW w:w="500" w:type="dxa"/>
            <w:tcBorders>
              <w:top w:val="nil"/>
              <w:left w:val="nil"/>
              <w:bottom w:val="nil"/>
              <w:right w:val="nil"/>
            </w:tcBorders>
            <w:shd w:val="clear" w:color="auto" w:fill="auto"/>
            <w:noWrap/>
            <w:vAlign w:val="center"/>
            <w:hideMark/>
          </w:tcPr>
          <w:p w14:paraId="4D65EB59"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-0.05</w:t>
            </w:r>
          </w:p>
        </w:tc>
      </w:tr>
      <w:tr w:rsidR="004923A4" w:rsidRPr="004923A4" w14:paraId="7EAED8AA" w14:textId="77777777" w:rsidTr="004923A4">
        <w:trPr>
          <w:trHeight w:val="288"/>
        </w:trPr>
        <w:tc>
          <w:tcPr>
            <w:tcW w:w="1880" w:type="dxa"/>
            <w:tcBorders>
              <w:top w:val="nil"/>
              <w:left w:val="nil"/>
              <w:bottom w:val="nil"/>
              <w:right w:val="nil"/>
            </w:tcBorders>
            <w:shd w:val="clear" w:color="auto" w:fill="auto"/>
            <w:noWrap/>
            <w:vAlign w:val="center"/>
            <w:hideMark/>
          </w:tcPr>
          <w:p w14:paraId="325D5893" w14:textId="77777777" w:rsidR="004923A4" w:rsidRPr="00284B0B" w:rsidRDefault="004923A4" w:rsidP="004923A4">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Growing period, days</w:t>
            </w:r>
          </w:p>
        </w:tc>
        <w:tc>
          <w:tcPr>
            <w:tcW w:w="500" w:type="dxa"/>
            <w:tcBorders>
              <w:top w:val="nil"/>
              <w:left w:val="nil"/>
              <w:bottom w:val="nil"/>
              <w:right w:val="nil"/>
            </w:tcBorders>
            <w:shd w:val="clear" w:color="000000" w:fill="FFFF00"/>
            <w:noWrap/>
            <w:vAlign w:val="center"/>
            <w:hideMark/>
          </w:tcPr>
          <w:p w14:paraId="421BD9EA"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0.07</w:t>
            </w:r>
          </w:p>
        </w:tc>
        <w:tc>
          <w:tcPr>
            <w:tcW w:w="500" w:type="dxa"/>
            <w:tcBorders>
              <w:top w:val="nil"/>
              <w:left w:val="nil"/>
              <w:bottom w:val="nil"/>
              <w:right w:val="nil"/>
            </w:tcBorders>
            <w:shd w:val="clear" w:color="000000" w:fill="FFFF00"/>
            <w:noWrap/>
            <w:vAlign w:val="center"/>
            <w:hideMark/>
          </w:tcPr>
          <w:p w14:paraId="4183D008"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0.09</w:t>
            </w:r>
          </w:p>
        </w:tc>
        <w:tc>
          <w:tcPr>
            <w:tcW w:w="500" w:type="dxa"/>
            <w:tcBorders>
              <w:top w:val="nil"/>
              <w:left w:val="nil"/>
              <w:bottom w:val="nil"/>
              <w:right w:val="nil"/>
            </w:tcBorders>
            <w:shd w:val="clear" w:color="000000" w:fill="FFFF00"/>
            <w:noWrap/>
            <w:vAlign w:val="center"/>
            <w:hideMark/>
          </w:tcPr>
          <w:p w14:paraId="78D09D91"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0.23</w:t>
            </w:r>
          </w:p>
        </w:tc>
        <w:tc>
          <w:tcPr>
            <w:tcW w:w="500" w:type="dxa"/>
            <w:tcBorders>
              <w:top w:val="nil"/>
              <w:left w:val="nil"/>
              <w:bottom w:val="nil"/>
              <w:right w:val="nil"/>
            </w:tcBorders>
            <w:shd w:val="clear" w:color="000000" w:fill="FFFF00"/>
            <w:noWrap/>
            <w:vAlign w:val="center"/>
            <w:hideMark/>
          </w:tcPr>
          <w:p w14:paraId="7639BBA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0.59</w:t>
            </w:r>
          </w:p>
        </w:tc>
        <w:tc>
          <w:tcPr>
            <w:tcW w:w="500" w:type="dxa"/>
            <w:tcBorders>
              <w:top w:val="nil"/>
              <w:left w:val="nil"/>
              <w:bottom w:val="nil"/>
              <w:right w:val="nil"/>
            </w:tcBorders>
            <w:shd w:val="clear" w:color="000000" w:fill="FFFF00"/>
            <w:noWrap/>
            <w:vAlign w:val="center"/>
            <w:hideMark/>
          </w:tcPr>
          <w:p w14:paraId="1FE02EB7"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0.41</w:t>
            </w:r>
          </w:p>
        </w:tc>
        <w:tc>
          <w:tcPr>
            <w:tcW w:w="500" w:type="dxa"/>
            <w:tcBorders>
              <w:top w:val="nil"/>
              <w:left w:val="nil"/>
              <w:bottom w:val="nil"/>
              <w:right w:val="nil"/>
            </w:tcBorders>
            <w:shd w:val="clear" w:color="000000" w:fill="FFFF00"/>
            <w:noWrap/>
            <w:vAlign w:val="center"/>
            <w:hideMark/>
          </w:tcPr>
          <w:p w14:paraId="766CD581"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0.48</w:t>
            </w:r>
          </w:p>
        </w:tc>
        <w:tc>
          <w:tcPr>
            <w:tcW w:w="500" w:type="dxa"/>
            <w:tcBorders>
              <w:top w:val="nil"/>
              <w:left w:val="nil"/>
              <w:bottom w:val="nil"/>
              <w:right w:val="nil"/>
            </w:tcBorders>
            <w:shd w:val="clear" w:color="auto" w:fill="auto"/>
            <w:noWrap/>
            <w:vAlign w:val="center"/>
            <w:hideMark/>
          </w:tcPr>
          <w:p w14:paraId="4847AA74"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1</w:t>
            </w:r>
          </w:p>
        </w:tc>
        <w:tc>
          <w:tcPr>
            <w:tcW w:w="500" w:type="dxa"/>
            <w:tcBorders>
              <w:top w:val="nil"/>
              <w:left w:val="nil"/>
              <w:bottom w:val="nil"/>
              <w:right w:val="nil"/>
            </w:tcBorders>
            <w:shd w:val="clear" w:color="000000" w:fill="FFFF00"/>
            <w:noWrap/>
            <w:vAlign w:val="center"/>
            <w:hideMark/>
          </w:tcPr>
          <w:p w14:paraId="0062EFE6"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0.26</w:t>
            </w:r>
          </w:p>
        </w:tc>
        <w:tc>
          <w:tcPr>
            <w:tcW w:w="500" w:type="dxa"/>
            <w:tcBorders>
              <w:top w:val="nil"/>
              <w:left w:val="nil"/>
              <w:bottom w:val="nil"/>
              <w:right w:val="nil"/>
            </w:tcBorders>
            <w:shd w:val="clear" w:color="000000" w:fill="FFFF00"/>
            <w:noWrap/>
            <w:vAlign w:val="center"/>
            <w:hideMark/>
          </w:tcPr>
          <w:p w14:paraId="6E99F02B"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0.55</w:t>
            </w:r>
          </w:p>
        </w:tc>
        <w:tc>
          <w:tcPr>
            <w:tcW w:w="500" w:type="dxa"/>
            <w:tcBorders>
              <w:top w:val="nil"/>
              <w:left w:val="nil"/>
              <w:bottom w:val="nil"/>
              <w:right w:val="nil"/>
            </w:tcBorders>
            <w:shd w:val="clear" w:color="000000" w:fill="FFFF00"/>
            <w:noWrap/>
            <w:vAlign w:val="center"/>
            <w:hideMark/>
          </w:tcPr>
          <w:p w14:paraId="229F828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0.26</w:t>
            </w:r>
          </w:p>
        </w:tc>
        <w:tc>
          <w:tcPr>
            <w:tcW w:w="500" w:type="dxa"/>
            <w:tcBorders>
              <w:top w:val="nil"/>
              <w:left w:val="nil"/>
              <w:bottom w:val="nil"/>
              <w:right w:val="nil"/>
            </w:tcBorders>
            <w:shd w:val="clear" w:color="000000" w:fill="FFFF00"/>
            <w:noWrap/>
            <w:vAlign w:val="center"/>
            <w:hideMark/>
          </w:tcPr>
          <w:p w14:paraId="5C5E71D8"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-0.51</w:t>
            </w:r>
          </w:p>
        </w:tc>
        <w:tc>
          <w:tcPr>
            <w:tcW w:w="500" w:type="dxa"/>
            <w:tcBorders>
              <w:top w:val="nil"/>
              <w:left w:val="nil"/>
              <w:bottom w:val="nil"/>
              <w:right w:val="nil"/>
            </w:tcBorders>
            <w:shd w:val="clear" w:color="000000" w:fill="FFFF00"/>
            <w:noWrap/>
            <w:vAlign w:val="center"/>
            <w:hideMark/>
          </w:tcPr>
          <w:p w14:paraId="2E424349"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-0.63</w:t>
            </w:r>
          </w:p>
        </w:tc>
        <w:tc>
          <w:tcPr>
            <w:tcW w:w="500" w:type="dxa"/>
            <w:tcBorders>
              <w:top w:val="nil"/>
              <w:left w:val="nil"/>
              <w:bottom w:val="nil"/>
              <w:right w:val="nil"/>
            </w:tcBorders>
            <w:shd w:val="clear" w:color="000000" w:fill="FFFF00"/>
            <w:noWrap/>
            <w:vAlign w:val="center"/>
            <w:hideMark/>
          </w:tcPr>
          <w:p w14:paraId="3F1C1CDD"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-0.64</w:t>
            </w:r>
          </w:p>
        </w:tc>
        <w:tc>
          <w:tcPr>
            <w:tcW w:w="500" w:type="dxa"/>
            <w:tcBorders>
              <w:top w:val="nil"/>
              <w:left w:val="nil"/>
              <w:bottom w:val="nil"/>
              <w:right w:val="nil"/>
            </w:tcBorders>
            <w:shd w:val="clear" w:color="000000" w:fill="FFFF00"/>
            <w:noWrap/>
            <w:vAlign w:val="center"/>
            <w:hideMark/>
          </w:tcPr>
          <w:p w14:paraId="348C1FDB"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-0.13</w:t>
            </w:r>
          </w:p>
        </w:tc>
      </w:tr>
      <w:tr w:rsidR="004923A4" w:rsidRPr="004923A4" w14:paraId="2734F9CA" w14:textId="77777777" w:rsidTr="004923A4">
        <w:trPr>
          <w:trHeight w:val="288"/>
        </w:trPr>
        <w:tc>
          <w:tcPr>
            <w:tcW w:w="1880" w:type="dxa"/>
            <w:tcBorders>
              <w:top w:val="nil"/>
              <w:left w:val="nil"/>
              <w:bottom w:val="nil"/>
              <w:right w:val="nil"/>
            </w:tcBorders>
            <w:shd w:val="clear" w:color="auto" w:fill="auto"/>
            <w:noWrap/>
            <w:vAlign w:val="center"/>
            <w:hideMark/>
          </w:tcPr>
          <w:p w14:paraId="14BAF63C" w14:textId="77777777" w:rsidR="004923A4" w:rsidRPr="00284B0B" w:rsidRDefault="004923A4" w:rsidP="004923A4">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1000 grain weight, g</w:t>
            </w:r>
          </w:p>
        </w:tc>
        <w:tc>
          <w:tcPr>
            <w:tcW w:w="500" w:type="dxa"/>
            <w:tcBorders>
              <w:top w:val="nil"/>
              <w:left w:val="nil"/>
              <w:bottom w:val="nil"/>
              <w:right w:val="nil"/>
            </w:tcBorders>
            <w:shd w:val="clear" w:color="auto" w:fill="auto"/>
            <w:noWrap/>
            <w:vAlign w:val="center"/>
            <w:hideMark/>
          </w:tcPr>
          <w:p w14:paraId="638514AA"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-0.02</w:t>
            </w:r>
          </w:p>
        </w:tc>
        <w:tc>
          <w:tcPr>
            <w:tcW w:w="500" w:type="dxa"/>
            <w:tcBorders>
              <w:top w:val="nil"/>
              <w:left w:val="nil"/>
              <w:bottom w:val="nil"/>
              <w:right w:val="nil"/>
            </w:tcBorders>
            <w:shd w:val="clear" w:color="auto" w:fill="auto"/>
            <w:noWrap/>
            <w:vAlign w:val="center"/>
            <w:hideMark/>
          </w:tcPr>
          <w:p w14:paraId="0376B8CB"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-0.02</w:t>
            </w:r>
          </w:p>
        </w:tc>
        <w:tc>
          <w:tcPr>
            <w:tcW w:w="500" w:type="dxa"/>
            <w:tcBorders>
              <w:top w:val="nil"/>
              <w:left w:val="nil"/>
              <w:bottom w:val="nil"/>
              <w:right w:val="nil"/>
            </w:tcBorders>
            <w:shd w:val="clear" w:color="000000" w:fill="FFFF00"/>
            <w:noWrap/>
            <w:vAlign w:val="center"/>
            <w:hideMark/>
          </w:tcPr>
          <w:p w14:paraId="7C9C00F6"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0.22</w:t>
            </w:r>
          </w:p>
        </w:tc>
        <w:tc>
          <w:tcPr>
            <w:tcW w:w="500" w:type="dxa"/>
            <w:tcBorders>
              <w:top w:val="nil"/>
              <w:left w:val="nil"/>
              <w:bottom w:val="nil"/>
              <w:right w:val="nil"/>
            </w:tcBorders>
            <w:shd w:val="clear" w:color="auto" w:fill="auto"/>
            <w:noWrap/>
            <w:vAlign w:val="center"/>
            <w:hideMark/>
          </w:tcPr>
          <w:p w14:paraId="07DDC69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0.01</w:t>
            </w:r>
          </w:p>
        </w:tc>
        <w:tc>
          <w:tcPr>
            <w:tcW w:w="500" w:type="dxa"/>
            <w:tcBorders>
              <w:top w:val="nil"/>
              <w:left w:val="nil"/>
              <w:bottom w:val="nil"/>
              <w:right w:val="nil"/>
            </w:tcBorders>
            <w:shd w:val="clear" w:color="000000" w:fill="FFFF00"/>
            <w:noWrap/>
            <w:vAlign w:val="center"/>
            <w:hideMark/>
          </w:tcPr>
          <w:p w14:paraId="6217836A"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0.44</w:t>
            </w:r>
          </w:p>
        </w:tc>
        <w:tc>
          <w:tcPr>
            <w:tcW w:w="500" w:type="dxa"/>
            <w:tcBorders>
              <w:top w:val="nil"/>
              <w:left w:val="nil"/>
              <w:bottom w:val="nil"/>
              <w:right w:val="nil"/>
            </w:tcBorders>
            <w:shd w:val="clear" w:color="000000" w:fill="FFFF00"/>
            <w:noWrap/>
            <w:vAlign w:val="center"/>
            <w:hideMark/>
          </w:tcPr>
          <w:p w14:paraId="3B195213"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w:t>
            </w:r>
          </w:p>
        </w:tc>
        <w:tc>
          <w:tcPr>
            <w:tcW w:w="500" w:type="dxa"/>
            <w:tcBorders>
              <w:top w:val="nil"/>
              <w:left w:val="nil"/>
              <w:bottom w:val="nil"/>
              <w:right w:val="nil"/>
            </w:tcBorders>
            <w:shd w:val="clear" w:color="000000" w:fill="FFFF00"/>
            <w:noWrap/>
            <w:vAlign w:val="center"/>
            <w:hideMark/>
          </w:tcPr>
          <w:p w14:paraId="556E7134"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0.26</w:t>
            </w:r>
          </w:p>
        </w:tc>
        <w:tc>
          <w:tcPr>
            <w:tcW w:w="500" w:type="dxa"/>
            <w:tcBorders>
              <w:top w:val="nil"/>
              <w:left w:val="nil"/>
              <w:bottom w:val="nil"/>
              <w:right w:val="nil"/>
            </w:tcBorders>
            <w:shd w:val="clear" w:color="auto" w:fill="auto"/>
            <w:noWrap/>
            <w:vAlign w:val="center"/>
            <w:hideMark/>
          </w:tcPr>
          <w:p w14:paraId="08F9AA9D"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1</w:t>
            </w:r>
          </w:p>
        </w:tc>
        <w:tc>
          <w:tcPr>
            <w:tcW w:w="500" w:type="dxa"/>
            <w:tcBorders>
              <w:top w:val="nil"/>
              <w:left w:val="nil"/>
              <w:bottom w:val="nil"/>
              <w:right w:val="nil"/>
            </w:tcBorders>
            <w:shd w:val="clear" w:color="000000" w:fill="FFFF00"/>
            <w:noWrap/>
            <w:vAlign w:val="center"/>
            <w:hideMark/>
          </w:tcPr>
          <w:p w14:paraId="6D1310E4"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0.32</w:t>
            </w:r>
          </w:p>
        </w:tc>
        <w:tc>
          <w:tcPr>
            <w:tcW w:w="500" w:type="dxa"/>
            <w:tcBorders>
              <w:top w:val="nil"/>
              <w:left w:val="nil"/>
              <w:bottom w:val="nil"/>
              <w:right w:val="nil"/>
            </w:tcBorders>
            <w:shd w:val="clear" w:color="000000" w:fill="FFFF00"/>
            <w:noWrap/>
            <w:vAlign w:val="center"/>
            <w:hideMark/>
          </w:tcPr>
          <w:p w14:paraId="0F7BDC17"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0.46</w:t>
            </w:r>
          </w:p>
        </w:tc>
        <w:tc>
          <w:tcPr>
            <w:tcW w:w="500" w:type="dxa"/>
            <w:tcBorders>
              <w:top w:val="nil"/>
              <w:left w:val="nil"/>
              <w:bottom w:val="nil"/>
              <w:right w:val="nil"/>
            </w:tcBorders>
            <w:shd w:val="clear" w:color="000000" w:fill="FFFF00"/>
            <w:noWrap/>
            <w:vAlign w:val="center"/>
            <w:hideMark/>
          </w:tcPr>
          <w:p w14:paraId="1DB70924"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-0.52</w:t>
            </w:r>
          </w:p>
        </w:tc>
        <w:tc>
          <w:tcPr>
            <w:tcW w:w="500" w:type="dxa"/>
            <w:tcBorders>
              <w:top w:val="nil"/>
              <w:left w:val="nil"/>
              <w:bottom w:val="nil"/>
              <w:right w:val="nil"/>
            </w:tcBorders>
            <w:shd w:val="clear" w:color="000000" w:fill="FFFF00"/>
            <w:noWrap/>
            <w:vAlign w:val="center"/>
            <w:hideMark/>
          </w:tcPr>
          <w:p w14:paraId="11E6790E"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-0.28</w:t>
            </w:r>
          </w:p>
        </w:tc>
        <w:tc>
          <w:tcPr>
            <w:tcW w:w="500" w:type="dxa"/>
            <w:tcBorders>
              <w:top w:val="nil"/>
              <w:left w:val="nil"/>
              <w:bottom w:val="nil"/>
              <w:right w:val="nil"/>
            </w:tcBorders>
            <w:shd w:val="clear" w:color="000000" w:fill="FFFF00"/>
            <w:noWrap/>
            <w:vAlign w:val="center"/>
            <w:hideMark/>
          </w:tcPr>
          <w:p w14:paraId="51BED2CB"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-0.26</w:t>
            </w:r>
          </w:p>
        </w:tc>
        <w:tc>
          <w:tcPr>
            <w:tcW w:w="500" w:type="dxa"/>
            <w:tcBorders>
              <w:top w:val="nil"/>
              <w:left w:val="nil"/>
              <w:bottom w:val="nil"/>
              <w:right w:val="nil"/>
            </w:tcBorders>
            <w:shd w:val="clear" w:color="000000" w:fill="FFFF00"/>
            <w:noWrap/>
            <w:vAlign w:val="center"/>
            <w:hideMark/>
          </w:tcPr>
          <w:p w14:paraId="20A9A53E"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-0.11</w:t>
            </w:r>
          </w:p>
        </w:tc>
      </w:tr>
      <w:tr w:rsidR="004923A4" w:rsidRPr="004923A4" w14:paraId="3ACB6842" w14:textId="77777777" w:rsidTr="004923A4">
        <w:trPr>
          <w:trHeight w:val="288"/>
        </w:trPr>
        <w:tc>
          <w:tcPr>
            <w:tcW w:w="1880" w:type="dxa"/>
            <w:tcBorders>
              <w:top w:val="nil"/>
              <w:left w:val="nil"/>
              <w:bottom w:val="nil"/>
              <w:right w:val="nil"/>
            </w:tcBorders>
            <w:shd w:val="clear" w:color="auto" w:fill="auto"/>
            <w:noWrap/>
            <w:vAlign w:val="center"/>
            <w:hideMark/>
          </w:tcPr>
          <w:p w14:paraId="365F920D" w14:textId="77777777" w:rsidR="004923A4" w:rsidRPr="00284B0B" w:rsidRDefault="004923A4" w:rsidP="004923A4">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Plant height, cm</w:t>
            </w:r>
          </w:p>
        </w:tc>
        <w:tc>
          <w:tcPr>
            <w:tcW w:w="500" w:type="dxa"/>
            <w:tcBorders>
              <w:top w:val="nil"/>
              <w:left w:val="nil"/>
              <w:bottom w:val="nil"/>
              <w:right w:val="nil"/>
            </w:tcBorders>
            <w:shd w:val="clear" w:color="000000" w:fill="FFFF00"/>
            <w:noWrap/>
            <w:vAlign w:val="center"/>
            <w:hideMark/>
          </w:tcPr>
          <w:p w14:paraId="0B72C42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-0.12</w:t>
            </w:r>
          </w:p>
        </w:tc>
        <w:tc>
          <w:tcPr>
            <w:tcW w:w="500" w:type="dxa"/>
            <w:tcBorders>
              <w:top w:val="nil"/>
              <w:left w:val="nil"/>
              <w:bottom w:val="nil"/>
              <w:right w:val="nil"/>
            </w:tcBorders>
            <w:shd w:val="clear" w:color="auto" w:fill="auto"/>
            <w:noWrap/>
            <w:vAlign w:val="center"/>
            <w:hideMark/>
          </w:tcPr>
          <w:p w14:paraId="4CDB03CC"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0.03</w:t>
            </w:r>
          </w:p>
        </w:tc>
        <w:tc>
          <w:tcPr>
            <w:tcW w:w="500" w:type="dxa"/>
            <w:tcBorders>
              <w:top w:val="nil"/>
              <w:left w:val="nil"/>
              <w:bottom w:val="nil"/>
              <w:right w:val="nil"/>
            </w:tcBorders>
            <w:shd w:val="clear" w:color="000000" w:fill="FFFF00"/>
            <w:noWrap/>
            <w:vAlign w:val="center"/>
            <w:hideMark/>
          </w:tcPr>
          <w:p w14:paraId="092D92D6"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-0.04</w:t>
            </w:r>
          </w:p>
        </w:tc>
        <w:tc>
          <w:tcPr>
            <w:tcW w:w="500" w:type="dxa"/>
            <w:tcBorders>
              <w:top w:val="nil"/>
              <w:left w:val="nil"/>
              <w:bottom w:val="nil"/>
              <w:right w:val="nil"/>
            </w:tcBorders>
            <w:shd w:val="clear" w:color="000000" w:fill="FFFF00"/>
            <w:noWrap/>
            <w:vAlign w:val="center"/>
            <w:hideMark/>
          </w:tcPr>
          <w:p w14:paraId="3466DA88"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0.19</w:t>
            </w:r>
          </w:p>
        </w:tc>
        <w:tc>
          <w:tcPr>
            <w:tcW w:w="500" w:type="dxa"/>
            <w:tcBorders>
              <w:top w:val="nil"/>
              <w:left w:val="nil"/>
              <w:bottom w:val="nil"/>
              <w:right w:val="nil"/>
            </w:tcBorders>
            <w:shd w:val="clear" w:color="000000" w:fill="FFFF00"/>
            <w:noWrap/>
            <w:vAlign w:val="center"/>
            <w:hideMark/>
          </w:tcPr>
          <w:p w14:paraId="68DA757C"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0.34</w:t>
            </w:r>
          </w:p>
        </w:tc>
        <w:tc>
          <w:tcPr>
            <w:tcW w:w="500" w:type="dxa"/>
            <w:tcBorders>
              <w:top w:val="nil"/>
              <w:left w:val="nil"/>
              <w:bottom w:val="nil"/>
              <w:right w:val="nil"/>
            </w:tcBorders>
            <w:shd w:val="clear" w:color="000000" w:fill="FFFF00"/>
            <w:noWrap/>
            <w:vAlign w:val="center"/>
            <w:hideMark/>
          </w:tcPr>
          <w:p w14:paraId="1FDA0D56"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0.43</w:t>
            </w:r>
          </w:p>
        </w:tc>
        <w:tc>
          <w:tcPr>
            <w:tcW w:w="500" w:type="dxa"/>
            <w:tcBorders>
              <w:top w:val="nil"/>
              <w:left w:val="nil"/>
              <w:bottom w:val="nil"/>
              <w:right w:val="nil"/>
            </w:tcBorders>
            <w:shd w:val="clear" w:color="000000" w:fill="FFFF00"/>
            <w:noWrap/>
            <w:vAlign w:val="center"/>
            <w:hideMark/>
          </w:tcPr>
          <w:p w14:paraId="0B3E5651"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0.55</w:t>
            </w:r>
          </w:p>
        </w:tc>
        <w:tc>
          <w:tcPr>
            <w:tcW w:w="500" w:type="dxa"/>
            <w:tcBorders>
              <w:top w:val="nil"/>
              <w:left w:val="nil"/>
              <w:bottom w:val="nil"/>
              <w:right w:val="nil"/>
            </w:tcBorders>
            <w:shd w:val="clear" w:color="000000" w:fill="FFFF00"/>
            <w:noWrap/>
            <w:vAlign w:val="center"/>
            <w:hideMark/>
          </w:tcPr>
          <w:p w14:paraId="71820C2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0.32</w:t>
            </w:r>
          </w:p>
        </w:tc>
        <w:tc>
          <w:tcPr>
            <w:tcW w:w="500" w:type="dxa"/>
            <w:tcBorders>
              <w:top w:val="nil"/>
              <w:left w:val="nil"/>
              <w:bottom w:val="nil"/>
              <w:right w:val="nil"/>
            </w:tcBorders>
            <w:shd w:val="clear" w:color="auto" w:fill="auto"/>
            <w:noWrap/>
            <w:vAlign w:val="center"/>
            <w:hideMark/>
          </w:tcPr>
          <w:p w14:paraId="251862B9"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1</w:t>
            </w:r>
          </w:p>
        </w:tc>
        <w:tc>
          <w:tcPr>
            <w:tcW w:w="500" w:type="dxa"/>
            <w:tcBorders>
              <w:top w:val="nil"/>
              <w:left w:val="nil"/>
              <w:bottom w:val="nil"/>
              <w:right w:val="nil"/>
            </w:tcBorders>
            <w:shd w:val="clear" w:color="000000" w:fill="FFFF00"/>
            <w:noWrap/>
            <w:vAlign w:val="center"/>
            <w:hideMark/>
          </w:tcPr>
          <w:p w14:paraId="33901C1D"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0.45</w:t>
            </w:r>
          </w:p>
        </w:tc>
        <w:tc>
          <w:tcPr>
            <w:tcW w:w="500" w:type="dxa"/>
            <w:tcBorders>
              <w:top w:val="nil"/>
              <w:left w:val="nil"/>
              <w:bottom w:val="nil"/>
              <w:right w:val="nil"/>
            </w:tcBorders>
            <w:shd w:val="clear" w:color="000000" w:fill="FFFF00"/>
            <w:noWrap/>
            <w:vAlign w:val="center"/>
            <w:hideMark/>
          </w:tcPr>
          <w:p w14:paraId="3A93544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-0.46</w:t>
            </w:r>
          </w:p>
        </w:tc>
        <w:tc>
          <w:tcPr>
            <w:tcW w:w="500" w:type="dxa"/>
            <w:tcBorders>
              <w:top w:val="nil"/>
              <w:left w:val="nil"/>
              <w:bottom w:val="nil"/>
              <w:right w:val="nil"/>
            </w:tcBorders>
            <w:shd w:val="clear" w:color="000000" w:fill="FFFF00"/>
            <w:noWrap/>
            <w:vAlign w:val="center"/>
            <w:hideMark/>
          </w:tcPr>
          <w:p w14:paraId="41144C0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w:t>
            </w:r>
          </w:p>
        </w:tc>
        <w:tc>
          <w:tcPr>
            <w:tcW w:w="500" w:type="dxa"/>
            <w:tcBorders>
              <w:top w:val="nil"/>
              <w:left w:val="nil"/>
              <w:bottom w:val="nil"/>
              <w:right w:val="nil"/>
            </w:tcBorders>
            <w:shd w:val="clear" w:color="000000" w:fill="FFFF00"/>
            <w:noWrap/>
            <w:vAlign w:val="center"/>
            <w:hideMark/>
          </w:tcPr>
          <w:p w14:paraId="42B4AF0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w:t>
            </w:r>
          </w:p>
        </w:tc>
        <w:tc>
          <w:tcPr>
            <w:tcW w:w="500" w:type="dxa"/>
            <w:tcBorders>
              <w:top w:val="nil"/>
              <w:left w:val="nil"/>
              <w:bottom w:val="nil"/>
              <w:right w:val="nil"/>
            </w:tcBorders>
            <w:shd w:val="clear" w:color="000000" w:fill="FFFF00"/>
            <w:noWrap/>
            <w:vAlign w:val="center"/>
            <w:hideMark/>
          </w:tcPr>
          <w:p w14:paraId="28AAC81A"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-0.12</w:t>
            </w:r>
          </w:p>
        </w:tc>
      </w:tr>
      <w:tr w:rsidR="004923A4" w:rsidRPr="004923A4" w14:paraId="10A98AD5" w14:textId="77777777" w:rsidTr="004923A4">
        <w:trPr>
          <w:trHeight w:val="312"/>
        </w:trPr>
        <w:tc>
          <w:tcPr>
            <w:tcW w:w="1880" w:type="dxa"/>
            <w:tcBorders>
              <w:top w:val="nil"/>
              <w:left w:val="nil"/>
              <w:bottom w:val="nil"/>
              <w:right w:val="nil"/>
            </w:tcBorders>
            <w:shd w:val="clear" w:color="auto" w:fill="auto"/>
            <w:noWrap/>
            <w:vAlign w:val="center"/>
            <w:hideMark/>
          </w:tcPr>
          <w:p w14:paraId="286B8B83" w14:textId="77777777" w:rsidR="004923A4" w:rsidRPr="00284B0B" w:rsidRDefault="004923A4" w:rsidP="004923A4">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Grain yield, g m</w:t>
            </w:r>
            <w:r w:rsidRPr="00284B0B">
              <w:rPr>
                <w:rFonts w:ascii="Times New Roman" w:eastAsia="Times New Roman" w:hAnsi="Times New Roman" w:cs="Times New Roman"/>
                <w:color w:val="252525"/>
                <w:sz w:val="16"/>
                <w:szCs w:val="16"/>
                <w:vertAlign w:val="superscript"/>
                <w:lang w:val="en-GB" w:eastAsia="et-EE"/>
              </w:rPr>
              <w:t>-</w:t>
            </w:r>
            <w:r w:rsidRPr="00284B0B">
              <w:rPr>
                <w:rFonts w:ascii="Times New Roman" w:eastAsia="Times New Roman" w:hAnsi="Times New Roman" w:cs="Times New Roman"/>
                <w:color w:val="000000"/>
                <w:sz w:val="16"/>
                <w:szCs w:val="16"/>
                <w:lang w:val="en-GB" w:eastAsia="et-EE"/>
              </w:rPr>
              <w:t>²</w:t>
            </w:r>
          </w:p>
        </w:tc>
        <w:tc>
          <w:tcPr>
            <w:tcW w:w="500" w:type="dxa"/>
            <w:tcBorders>
              <w:top w:val="nil"/>
              <w:left w:val="nil"/>
              <w:bottom w:val="nil"/>
              <w:right w:val="nil"/>
            </w:tcBorders>
            <w:shd w:val="clear" w:color="000000" w:fill="FFFF00"/>
            <w:noWrap/>
            <w:vAlign w:val="center"/>
            <w:hideMark/>
          </w:tcPr>
          <w:p w14:paraId="40D3EAC5"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0.06</w:t>
            </w:r>
          </w:p>
        </w:tc>
        <w:tc>
          <w:tcPr>
            <w:tcW w:w="500" w:type="dxa"/>
            <w:tcBorders>
              <w:top w:val="nil"/>
              <w:left w:val="nil"/>
              <w:bottom w:val="nil"/>
              <w:right w:val="nil"/>
            </w:tcBorders>
            <w:shd w:val="clear" w:color="000000" w:fill="FFFF00"/>
            <w:noWrap/>
            <w:vAlign w:val="center"/>
            <w:hideMark/>
          </w:tcPr>
          <w:p w14:paraId="1CE25AAA"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-0.11</w:t>
            </w:r>
          </w:p>
        </w:tc>
        <w:tc>
          <w:tcPr>
            <w:tcW w:w="500" w:type="dxa"/>
            <w:tcBorders>
              <w:top w:val="nil"/>
              <w:left w:val="nil"/>
              <w:bottom w:val="nil"/>
              <w:right w:val="nil"/>
            </w:tcBorders>
            <w:shd w:val="clear" w:color="000000" w:fill="FFFF00"/>
            <w:noWrap/>
            <w:vAlign w:val="center"/>
            <w:hideMark/>
          </w:tcPr>
          <w:p w14:paraId="32BCF018"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0.12</w:t>
            </w:r>
          </w:p>
        </w:tc>
        <w:tc>
          <w:tcPr>
            <w:tcW w:w="500" w:type="dxa"/>
            <w:tcBorders>
              <w:top w:val="nil"/>
              <w:left w:val="nil"/>
              <w:bottom w:val="nil"/>
              <w:right w:val="nil"/>
            </w:tcBorders>
            <w:shd w:val="clear" w:color="000000" w:fill="FFFF00"/>
            <w:noWrap/>
            <w:vAlign w:val="center"/>
            <w:hideMark/>
          </w:tcPr>
          <w:p w14:paraId="15539560"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-0.13</w:t>
            </w:r>
          </w:p>
        </w:tc>
        <w:tc>
          <w:tcPr>
            <w:tcW w:w="500" w:type="dxa"/>
            <w:tcBorders>
              <w:top w:val="nil"/>
              <w:left w:val="nil"/>
              <w:bottom w:val="nil"/>
              <w:right w:val="nil"/>
            </w:tcBorders>
            <w:shd w:val="clear" w:color="000000" w:fill="FFFF00"/>
            <w:noWrap/>
            <w:vAlign w:val="center"/>
            <w:hideMark/>
          </w:tcPr>
          <w:p w14:paraId="4296306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0.34</w:t>
            </w:r>
          </w:p>
        </w:tc>
        <w:tc>
          <w:tcPr>
            <w:tcW w:w="500" w:type="dxa"/>
            <w:tcBorders>
              <w:top w:val="nil"/>
              <w:left w:val="nil"/>
              <w:bottom w:val="nil"/>
              <w:right w:val="nil"/>
            </w:tcBorders>
            <w:shd w:val="clear" w:color="000000" w:fill="FFFF00"/>
            <w:noWrap/>
            <w:vAlign w:val="center"/>
            <w:hideMark/>
          </w:tcPr>
          <w:p w14:paraId="16CAF566"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0.51</w:t>
            </w:r>
          </w:p>
        </w:tc>
        <w:tc>
          <w:tcPr>
            <w:tcW w:w="500" w:type="dxa"/>
            <w:tcBorders>
              <w:top w:val="nil"/>
              <w:left w:val="nil"/>
              <w:bottom w:val="nil"/>
              <w:right w:val="nil"/>
            </w:tcBorders>
            <w:shd w:val="clear" w:color="000000" w:fill="FFFF00"/>
            <w:noWrap/>
            <w:vAlign w:val="center"/>
            <w:hideMark/>
          </w:tcPr>
          <w:p w14:paraId="0334FCB6"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0.26</w:t>
            </w:r>
          </w:p>
        </w:tc>
        <w:tc>
          <w:tcPr>
            <w:tcW w:w="500" w:type="dxa"/>
            <w:tcBorders>
              <w:top w:val="nil"/>
              <w:left w:val="nil"/>
              <w:bottom w:val="nil"/>
              <w:right w:val="nil"/>
            </w:tcBorders>
            <w:shd w:val="clear" w:color="000000" w:fill="FFFF00"/>
            <w:noWrap/>
            <w:vAlign w:val="center"/>
            <w:hideMark/>
          </w:tcPr>
          <w:p w14:paraId="22CF7D81"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0.46</w:t>
            </w:r>
          </w:p>
        </w:tc>
        <w:tc>
          <w:tcPr>
            <w:tcW w:w="500" w:type="dxa"/>
            <w:tcBorders>
              <w:top w:val="nil"/>
              <w:left w:val="nil"/>
              <w:bottom w:val="nil"/>
              <w:right w:val="nil"/>
            </w:tcBorders>
            <w:shd w:val="clear" w:color="000000" w:fill="FFFF00"/>
            <w:noWrap/>
            <w:vAlign w:val="center"/>
            <w:hideMark/>
          </w:tcPr>
          <w:p w14:paraId="0D0E77DD"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0.45</w:t>
            </w:r>
          </w:p>
        </w:tc>
        <w:tc>
          <w:tcPr>
            <w:tcW w:w="500" w:type="dxa"/>
            <w:tcBorders>
              <w:top w:val="nil"/>
              <w:left w:val="nil"/>
              <w:bottom w:val="nil"/>
              <w:right w:val="nil"/>
            </w:tcBorders>
            <w:shd w:val="clear" w:color="auto" w:fill="auto"/>
            <w:noWrap/>
            <w:vAlign w:val="center"/>
            <w:hideMark/>
          </w:tcPr>
          <w:p w14:paraId="7F191407"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1</w:t>
            </w:r>
          </w:p>
        </w:tc>
        <w:tc>
          <w:tcPr>
            <w:tcW w:w="500" w:type="dxa"/>
            <w:tcBorders>
              <w:top w:val="nil"/>
              <w:left w:val="nil"/>
              <w:bottom w:val="nil"/>
              <w:right w:val="nil"/>
            </w:tcBorders>
            <w:shd w:val="clear" w:color="000000" w:fill="FFFF00"/>
            <w:noWrap/>
            <w:vAlign w:val="center"/>
            <w:hideMark/>
          </w:tcPr>
          <w:p w14:paraId="002239F9"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-0.37</w:t>
            </w:r>
          </w:p>
        </w:tc>
        <w:tc>
          <w:tcPr>
            <w:tcW w:w="500" w:type="dxa"/>
            <w:tcBorders>
              <w:top w:val="nil"/>
              <w:left w:val="nil"/>
              <w:bottom w:val="nil"/>
              <w:right w:val="nil"/>
            </w:tcBorders>
            <w:shd w:val="clear" w:color="000000" w:fill="FFFF00"/>
            <w:noWrap/>
            <w:vAlign w:val="center"/>
            <w:hideMark/>
          </w:tcPr>
          <w:p w14:paraId="3C16A873"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-0.41</w:t>
            </w:r>
          </w:p>
        </w:tc>
        <w:tc>
          <w:tcPr>
            <w:tcW w:w="500" w:type="dxa"/>
            <w:tcBorders>
              <w:top w:val="nil"/>
              <w:left w:val="nil"/>
              <w:bottom w:val="nil"/>
              <w:right w:val="nil"/>
            </w:tcBorders>
            <w:shd w:val="clear" w:color="000000" w:fill="FFFF00"/>
            <w:noWrap/>
            <w:vAlign w:val="center"/>
            <w:hideMark/>
          </w:tcPr>
          <w:p w14:paraId="4C4916F3"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-0.41</w:t>
            </w:r>
          </w:p>
        </w:tc>
        <w:tc>
          <w:tcPr>
            <w:tcW w:w="500" w:type="dxa"/>
            <w:tcBorders>
              <w:top w:val="nil"/>
              <w:left w:val="nil"/>
              <w:bottom w:val="nil"/>
              <w:right w:val="nil"/>
            </w:tcBorders>
            <w:shd w:val="clear" w:color="000000" w:fill="FFFF00"/>
            <w:noWrap/>
            <w:vAlign w:val="center"/>
            <w:hideMark/>
          </w:tcPr>
          <w:p w14:paraId="2B0241F8"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-0.17</w:t>
            </w:r>
          </w:p>
        </w:tc>
      </w:tr>
      <w:tr w:rsidR="004923A4" w:rsidRPr="004923A4" w14:paraId="46C9CEAC" w14:textId="77777777" w:rsidTr="004923A4">
        <w:trPr>
          <w:trHeight w:val="288"/>
        </w:trPr>
        <w:tc>
          <w:tcPr>
            <w:tcW w:w="1880" w:type="dxa"/>
            <w:tcBorders>
              <w:top w:val="nil"/>
              <w:left w:val="nil"/>
              <w:bottom w:val="nil"/>
              <w:right w:val="nil"/>
            </w:tcBorders>
            <w:shd w:val="clear" w:color="auto" w:fill="auto"/>
            <w:noWrap/>
            <w:vAlign w:val="center"/>
            <w:hideMark/>
          </w:tcPr>
          <w:p w14:paraId="533FC8A5" w14:textId="77777777" w:rsidR="004923A4" w:rsidRPr="00284B0B" w:rsidRDefault="004923A4" w:rsidP="004923A4">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Protein content, %</w:t>
            </w:r>
          </w:p>
        </w:tc>
        <w:tc>
          <w:tcPr>
            <w:tcW w:w="500" w:type="dxa"/>
            <w:tcBorders>
              <w:top w:val="nil"/>
              <w:left w:val="nil"/>
              <w:bottom w:val="nil"/>
              <w:right w:val="nil"/>
            </w:tcBorders>
            <w:shd w:val="clear" w:color="000000" w:fill="FFFF00"/>
            <w:noWrap/>
            <w:vAlign w:val="center"/>
            <w:hideMark/>
          </w:tcPr>
          <w:p w14:paraId="510155C8"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-0.08</w:t>
            </w:r>
          </w:p>
        </w:tc>
        <w:tc>
          <w:tcPr>
            <w:tcW w:w="500" w:type="dxa"/>
            <w:tcBorders>
              <w:top w:val="nil"/>
              <w:left w:val="nil"/>
              <w:bottom w:val="nil"/>
              <w:right w:val="nil"/>
            </w:tcBorders>
            <w:shd w:val="clear" w:color="000000" w:fill="FFFF00"/>
            <w:noWrap/>
            <w:vAlign w:val="center"/>
            <w:hideMark/>
          </w:tcPr>
          <w:p w14:paraId="3B44AC74"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-0.36</w:t>
            </w:r>
          </w:p>
        </w:tc>
        <w:tc>
          <w:tcPr>
            <w:tcW w:w="500" w:type="dxa"/>
            <w:tcBorders>
              <w:top w:val="nil"/>
              <w:left w:val="nil"/>
              <w:bottom w:val="nil"/>
              <w:right w:val="nil"/>
            </w:tcBorders>
            <w:shd w:val="clear" w:color="000000" w:fill="FFFF00"/>
            <w:noWrap/>
            <w:vAlign w:val="center"/>
            <w:hideMark/>
          </w:tcPr>
          <w:p w14:paraId="5498ACF7"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-0.43</w:t>
            </w:r>
          </w:p>
        </w:tc>
        <w:tc>
          <w:tcPr>
            <w:tcW w:w="500" w:type="dxa"/>
            <w:tcBorders>
              <w:top w:val="nil"/>
              <w:left w:val="nil"/>
              <w:bottom w:val="nil"/>
              <w:right w:val="nil"/>
            </w:tcBorders>
            <w:shd w:val="clear" w:color="000000" w:fill="FFFF00"/>
            <w:noWrap/>
            <w:vAlign w:val="center"/>
            <w:hideMark/>
          </w:tcPr>
          <w:p w14:paraId="00305CDF"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-0.43</w:t>
            </w:r>
          </w:p>
        </w:tc>
        <w:tc>
          <w:tcPr>
            <w:tcW w:w="500" w:type="dxa"/>
            <w:tcBorders>
              <w:top w:val="nil"/>
              <w:left w:val="nil"/>
              <w:bottom w:val="nil"/>
              <w:right w:val="nil"/>
            </w:tcBorders>
            <w:shd w:val="clear" w:color="000000" w:fill="FFFF00"/>
            <w:noWrap/>
            <w:vAlign w:val="center"/>
            <w:hideMark/>
          </w:tcPr>
          <w:p w14:paraId="5A678205"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-0.52</w:t>
            </w:r>
          </w:p>
        </w:tc>
        <w:tc>
          <w:tcPr>
            <w:tcW w:w="500" w:type="dxa"/>
            <w:tcBorders>
              <w:top w:val="nil"/>
              <w:left w:val="nil"/>
              <w:bottom w:val="nil"/>
              <w:right w:val="nil"/>
            </w:tcBorders>
            <w:shd w:val="clear" w:color="000000" w:fill="FFFF00"/>
            <w:noWrap/>
            <w:vAlign w:val="center"/>
            <w:hideMark/>
          </w:tcPr>
          <w:p w14:paraId="4FF3DDB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-0.81</w:t>
            </w:r>
          </w:p>
        </w:tc>
        <w:tc>
          <w:tcPr>
            <w:tcW w:w="500" w:type="dxa"/>
            <w:tcBorders>
              <w:top w:val="nil"/>
              <w:left w:val="nil"/>
              <w:bottom w:val="nil"/>
              <w:right w:val="nil"/>
            </w:tcBorders>
            <w:shd w:val="clear" w:color="000000" w:fill="FFFF00"/>
            <w:noWrap/>
            <w:vAlign w:val="center"/>
            <w:hideMark/>
          </w:tcPr>
          <w:p w14:paraId="598CE2C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-0.51</w:t>
            </w:r>
          </w:p>
        </w:tc>
        <w:tc>
          <w:tcPr>
            <w:tcW w:w="500" w:type="dxa"/>
            <w:tcBorders>
              <w:top w:val="nil"/>
              <w:left w:val="nil"/>
              <w:bottom w:val="nil"/>
              <w:right w:val="nil"/>
            </w:tcBorders>
            <w:shd w:val="clear" w:color="000000" w:fill="FFFF00"/>
            <w:noWrap/>
            <w:vAlign w:val="center"/>
            <w:hideMark/>
          </w:tcPr>
          <w:p w14:paraId="0CE4184D"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-0.52</w:t>
            </w:r>
          </w:p>
        </w:tc>
        <w:tc>
          <w:tcPr>
            <w:tcW w:w="500" w:type="dxa"/>
            <w:tcBorders>
              <w:top w:val="nil"/>
              <w:left w:val="nil"/>
              <w:bottom w:val="nil"/>
              <w:right w:val="nil"/>
            </w:tcBorders>
            <w:shd w:val="clear" w:color="000000" w:fill="FFFF00"/>
            <w:noWrap/>
            <w:vAlign w:val="center"/>
            <w:hideMark/>
          </w:tcPr>
          <w:p w14:paraId="25850410"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-0.46</w:t>
            </w:r>
          </w:p>
        </w:tc>
        <w:tc>
          <w:tcPr>
            <w:tcW w:w="500" w:type="dxa"/>
            <w:tcBorders>
              <w:top w:val="nil"/>
              <w:left w:val="nil"/>
              <w:bottom w:val="nil"/>
              <w:right w:val="nil"/>
            </w:tcBorders>
            <w:shd w:val="clear" w:color="000000" w:fill="FFFF00"/>
            <w:noWrap/>
            <w:vAlign w:val="center"/>
            <w:hideMark/>
          </w:tcPr>
          <w:p w14:paraId="7AF9953A"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0.45</w:t>
            </w:r>
          </w:p>
        </w:tc>
        <w:tc>
          <w:tcPr>
            <w:tcW w:w="500" w:type="dxa"/>
            <w:tcBorders>
              <w:top w:val="nil"/>
              <w:left w:val="nil"/>
              <w:bottom w:val="nil"/>
              <w:right w:val="nil"/>
            </w:tcBorders>
            <w:shd w:val="clear" w:color="auto" w:fill="auto"/>
            <w:noWrap/>
            <w:vAlign w:val="center"/>
            <w:hideMark/>
          </w:tcPr>
          <w:p w14:paraId="53DED3D8"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1</w:t>
            </w:r>
          </w:p>
        </w:tc>
        <w:tc>
          <w:tcPr>
            <w:tcW w:w="500" w:type="dxa"/>
            <w:tcBorders>
              <w:top w:val="nil"/>
              <w:left w:val="nil"/>
              <w:bottom w:val="nil"/>
              <w:right w:val="nil"/>
            </w:tcBorders>
            <w:shd w:val="clear" w:color="000000" w:fill="FFFF00"/>
            <w:noWrap/>
            <w:vAlign w:val="center"/>
            <w:hideMark/>
          </w:tcPr>
          <w:p w14:paraId="2671F663"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0.98</w:t>
            </w:r>
          </w:p>
        </w:tc>
        <w:tc>
          <w:tcPr>
            <w:tcW w:w="500" w:type="dxa"/>
            <w:tcBorders>
              <w:top w:val="nil"/>
              <w:left w:val="nil"/>
              <w:bottom w:val="nil"/>
              <w:right w:val="nil"/>
            </w:tcBorders>
            <w:shd w:val="clear" w:color="000000" w:fill="FFFF00"/>
            <w:noWrap/>
            <w:vAlign w:val="center"/>
            <w:hideMark/>
          </w:tcPr>
          <w:p w14:paraId="7D060389"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0.95</w:t>
            </w:r>
          </w:p>
        </w:tc>
        <w:tc>
          <w:tcPr>
            <w:tcW w:w="500" w:type="dxa"/>
            <w:tcBorders>
              <w:top w:val="nil"/>
              <w:left w:val="nil"/>
              <w:bottom w:val="nil"/>
              <w:right w:val="nil"/>
            </w:tcBorders>
            <w:shd w:val="clear" w:color="000000" w:fill="FFFF00"/>
            <w:noWrap/>
            <w:vAlign w:val="center"/>
            <w:hideMark/>
          </w:tcPr>
          <w:p w14:paraId="6AC29B39"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0.09</w:t>
            </w:r>
          </w:p>
        </w:tc>
      </w:tr>
      <w:tr w:rsidR="004923A4" w:rsidRPr="004923A4" w14:paraId="72E83542" w14:textId="77777777" w:rsidTr="004923A4">
        <w:trPr>
          <w:trHeight w:val="288"/>
        </w:trPr>
        <w:tc>
          <w:tcPr>
            <w:tcW w:w="1880" w:type="dxa"/>
            <w:tcBorders>
              <w:top w:val="nil"/>
              <w:left w:val="nil"/>
              <w:bottom w:val="nil"/>
              <w:right w:val="nil"/>
            </w:tcBorders>
            <w:shd w:val="clear" w:color="auto" w:fill="auto"/>
            <w:noWrap/>
            <w:vAlign w:val="center"/>
            <w:hideMark/>
          </w:tcPr>
          <w:p w14:paraId="470A64B7" w14:textId="77777777" w:rsidR="004923A4" w:rsidRPr="00284B0B" w:rsidRDefault="004923A4" w:rsidP="004923A4">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Gluten content, %</w:t>
            </w:r>
          </w:p>
        </w:tc>
        <w:tc>
          <w:tcPr>
            <w:tcW w:w="500" w:type="dxa"/>
            <w:tcBorders>
              <w:top w:val="nil"/>
              <w:left w:val="nil"/>
              <w:bottom w:val="nil"/>
              <w:right w:val="nil"/>
            </w:tcBorders>
            <w:shd w:val="clear" w:color="000000" w:fill="FFFF00"/>
            <w:noWrap/>
            <w:vAlign w:val="center"/>
            <w:hideMark/>
          </w:tcPr>
          <w:p w14:paraId="74C69E36"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-0.06</w:t>
            </w:r>
          </w:p>
        </w:tc>
        <w:tc>
          <w:tcPr>
            <w:tcW w:w="500" w:type="dxa"/>
            <w:tcBorders>
              <w:top w:val="nil"/>
              <w:left w:val="nil"/>
              <w:bottom w:val="nil"/>
              <w:right w:val="nil"/>
            </w:tcBorders>
            <w:shd w:val="clear" w:color="000000" w:fill="FFFF00"/>
            <w:noWrap/>
            <w:vAlign w:val="center"/>
            <w:hideMark/>
          </w:tcPr>
          <w:p w14:paraId="02B086BD"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-0.41</w:t>
            </w:r>
          </w:p>
        </w:tc>
        <w:tc>
          <w:tcPr>
            <w:tcW w:w="500" w:type="dxa"/>
            <w:tcBorders>
              <w:top w:val="nil"/>
              <w:left w:val="nil"/>
              <w:bottom w:val="nil"/>
              <w:right w:val="nil"/>
            </w:tcBorders>
            <w:shd w:val="clear" w:color="000000" w:fill="FFFF00"/>
            <w:noWrap/>
            <w:vAlign w:val="center"/>
            <w:hideMark/>
          </w:tcPr>
          <w:p w14:paraId="492DC3B9"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-0.31</w:t>
            </w:r>
          </w:p>
        </w:tc>
        <w:tc>
          <w:tcPr>
            <w:tcW w:w="500" w:type="dxa"/>
            <w:tcBorders>
              <w:top w:val="nil"/>
              <w:left w:val="nil"/>
              <w:bottom w:val="nil"/>
              <w:right w:val="nil"/>
            </w:tcBorders>
            <w:shd w:val="clear" w:color="000000" w:fill="FFFF00"/>
            <w:noWrap/>
            <w:vAlign w:val="center"/>
            <w:hideMark/>
          </w:tcPr>
          <w:p w14:paraId="7BBA597C"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-0.45</w:t>
            </w:r>
          </w:p>
        </w:tc>
        <w:tc>
          <w:tcPr>
            <w:tcW w:w="500" w:type="dxa"/>
            <w:tcBorders>
              <w:top w:val="nil"/>
              <w:left w:val="nil"/>
              <w:bottom w:val="nil"/>
              <w:right w:val="nil"/>
            </w:tcBorders>
            <w:shd w:val="clear" w:color="000000" w:fill="FFFF00"/>
            <w:noWrap/>
            <w:vAlign w:val="center"/>
            <w:hideMark/>
          </w:tcPr>
          <w:p w14:paraId="3707F39E"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-0.44</w:t>
            </w:r>
          </w:p>
        </w:tc>
        <w:tc>
          <w:tcPr>
            <w:tcW w:w="500" w:type="dxa"/>
            <w:tcBorders>
              <w:top w:val="nil"/>
              <w:left w:val="nil"/>
              <w:bottom w:val="nil"/>
              <w:right w:val="nil"/>
            </w:tcBorders>
            <w:shd w:val="clear" w:color="000000" w:fill="FFFF00"/>
            <w:noWrap/>
            <w:vAlign w:val="center"/>
            <w:hideMark/>
          </w:tcPr>
          <w:p w14:paraId="4719BAC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-0.73</w:t>
            </w:r>
          </w:p>
        </w:tc>
        <w:tc>
          <w:tcPr>
            <w:tcW w:w="500" w:type="dxa"/>
            <w:tcBorders>
              <w:top w:val="nil"/>
              <w:left w:val="nil"/>
              <w:bottom w:val="nil"/>
              <w:right w:val="nil"/>
            </w:tcBorders>
            <w:shd w:val="clear" w:color="000000" w:fill="FFFF00"/>
            <w:noWrap/>
            <w:vAlign w:val="center"/>
            <w:hideMark/>
          </w:tcPr>
          <w:p w14:paraId="411E6D75"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-0.63</w:t>
            </w:r>
          </w:p>
        </w:tc>
        <w:tc>
          <w:tcPr>
            <w:tcW w:w="500" w:type="dxa"/>
            <w:tcBorders>
              <w:top w:val="nil"/>
              <w:left w:val="nil"/>
              <w:bottom w:val="nil"/>
              <w:right w:val="nil"/>
            </w:tcBorders>
            <w:shd w:val="clear" w:color="000000" w:fill="FFFF00"/>
            <w:noWrap/>
            <w:vAlign w:val="center"/>
            <w:hideMark/>
          </w:tcPr>
          <w:p w14:paraId="4759F83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-0.28</w:t>
            </w:r>
          </w:p>
        </w:tc>
        <w:tc>
          <w:tcPr>
            <w:tcW w:w="500" w:type="dxa"/>
            <w:tcBorders>
              <w:top w:val="nil"/>
              <w:left w:val="nil"/>
              <w:bottom w:val="nil"/>
              <w:right w:val="nil"/>
            </w:tcBorders>
            <w:shd w:val="clear" w:color="000000" w:fill="FFFF00"/>
            <w:noWrap/>
            <w:vAlign w:val="center"/>
            <w:hideMark/>
          </w:tcPr>
          <w:p w14:paraId="6193761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w:t>
            </w:r>
          </w:p>
        </w:tc>
        <w:tc>
          <w:tcPr>
            <w:tcW w:w="500" w:type="dxa"/>
            <w:tcBorders>
              <w:top w:val="nil"/>
              <w:left w:val="nil"/>
              <w:bottom w:val="nil"/>
              <w:right w:val="nil"/>
            </w:tcBorders>
            <w:shd w:val="clear" w:color="000000" w:fill="FFFF00"/>
            <w:noWrap/>
            <w:vAlign w:val="center"/>
            <w:hideMark/>
          </w:tcPr>
          <w:p w14:paraId="71257D8F"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0.45</w:t>
            </w:r>
          </w:p>
        </w:tc>
        <w:tc>
          <w:tcPr>
            <w:tcW w:w="500" w:type="dxa"/>
            <w:tcBorders>
              <w:top w:val="nil"/>
              <w:left w:val="nil"/>
              <w:bottom w:val="nil"/>
              <w:right w:val="nil"/>
            </w:tcBorders>
            <w:shd w:val="clear" w:color="000000" w:fill="FFFF00"/>
            <w:noWrap/>
            <w:vAlign w:val="center"/>
            <w:hideMark/>
          </w:tcPr>
          <w:p w14:paraId="464EBBCD"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0.98</w:t>
            </w:r>
          </w:p>
        </w:tc>
        <w:tc>
          <w:tcPr>
            <w:tcW w:w="500" w:type="dxa"/>
            <w:tcBorders>
              <w:top w:val="nil"/>
              <w:left w:val="nil"/>
              <w:bottom w:val="nil"/>
              <w:right w:val="nil"/>
            </w:tcBorders>
            <w:shd w:val="clear" w:color="auto" w:fill="auto"/>
            <w:noWrap/>
            <w:vAlign w:val="center"/>
            <w:hideMark/>
          </w:tcPr>
          <w:p w14:paraId="55879431"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1</w:t>
            </w:r>
          </w:p>
        </w:tc>
        <w:tc>
          <w:tcPr>
            <w:tcW w:w="500" w:type="dxa"/>
            <w:tcBorders>
              <w:top w:val="nil"/>
              <w:left w:val="nil"/>
              <w:bottom w:val="nil"/>
              <w:right w:val="nil"/>
            </w:tcBorders>
            <w:shd w:val="clear" w:color="000000" w:fill="FFFF00"/>
            <w:noWrap/>
            <w:vAlign w:val="center"/>
            <w:hideMark/>
          </w:tcPr>
          <w:p w14:paraId="4D4D0B25"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0.96</w:t>
            </w:r>
          </w:p>
        </w:tc>
        <w:tc>
          <w:tcPr>
            <w:tcW w:w="500" w:type="dxa"/>
            <w:tcBorders>
              <w:top w:val="nil"/>
              <w:left w:val="nil"/>
              <w:bottom w:val="nil"/>
              <w:right w:val="nil"/>
            </w:tcBorders>
            <w:shd w:val="clear" w:color="000000" w:fill="FFFF00"/>
            <w:noWrap/>
            <w:vAlign w:val="center"/>
            <w:hideMark/>
          </w:tcPr>
          <w:p w14:paraId="1FB16123"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0.08</w:t>
            </w:r>
          </w:p>
        </w:tc>
      </w:tr>
      <w:tr w:rsidR="004923A4" w:rsidRPr="004923A4" w14:paraId="20A1EA9E" w14:textId="77777777" w:rsidTr="004923A4">
        <w:trPr>
          <w:trHeight w:val="288"/>
        </w:trPr>
        <w:tc>
          <w:tcPr>
            <w:tcW w:w="1880" w:type="dxa"/>
            <w:tcBorders>
              <w:top w:val="nil"/>
              <w:left w:val="nil"/>
              <w:bottom w:val="nil"/>
              <w:right w:val="nil"/>
            </w:tcBorders>
            <w:shd w:val="clear" w:color="auto" w:fill="auto"/>
            <w:noWrap/>
            <w:vAlign w:val="center"/>
            <w:hideMark/>
          </w:tcPr>
          <w:p w14:paraId="515011FF" w14:textId="77777777" w:rsidR="004923A4" w:rsidRPr="00284B0B" w:rsidRDefault="004923A4" w:rsidP="004923A4">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Sedimentation, ml</w:t>
            </w:r>
          </w:p>
        </w:tc>
        <w:tc>
          <w:tcPr>
            <w:tcW w:w="500" w:type="dxa"/>
            <w:tcBorders>
              <w:top w:val="nil"/>
              <w:left w:val="nil"/>
              <w:bottom w:val="nil"/>
              <w:right w:val="nil"/>
            </w:tcBorders>
            <w:shd w:val="clear" w:color="000000" w:fill="FFFF00"/>
            <w:noWrap/>
            <w:vAlign w:val="center"/>
            <w:hideMark/>
          </w:tcPr>
          <w:p w14:paraId="07CF489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-0.05</w:t>
            </w:r>
          </w:p>
        </w:tc>
        <w:tc>
          <w:tcPr>
            <w:tcW w:w="500" w:type="dxa"/>
            <w:tcBorders>
              <w:top w:val="nil"/>
              <w:left w:val="nil"/>
              <w:bottom w:val="nil"/>
              <w:right w:val="nil"/>
            </w:tcBorders>
            <w:shd w:val="clear" w:color="000000" w:fill="FFFF00"/>
            <w:noWrap/>
            <w:vAlign w:val="center"/>
            <w:hideMark/>
          </w:tcPr>
          <w:p w14:paraId="361FAFDA"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-0.38</w:t>
            </w:r>
          </w:p>
        </w:tc>
        <w:tc>
          <w:tcPr>
            <w:tcW w:w="500" w:type="dxa"/>
            <w:tcBorders>
              <w:top w:val="nil"/>
              <w:left w:val="nil"/>
              <w:bottom w:val="nil"/>
              <w:right w:val="nil"/>
            </w:tcBorders>
            <w:shd w:val="clear" w:color="000000" w:fill="FFFF00"/>
            <w:noWrap/>
            <w:vAlign w:val="center"/>
            <w:hideMark/>
          </w:tcPr>
          <w:p w14:paraId="78AA1B7A"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-0.31</w:t>
            </w:r>
          </w:p>
        </w:tc>
        <w:tc>
          <w:tcPr>
            <w:tcW w:w="500" w:type="dxa"/>
            <w:tcBorders>
              <w:top w:val="nil"/>
              <w:left w:val="nil"/>
              <w:bottom w:val="nil"/>
              <w:right w:val="nil"/>
            </w:tcBorders>
            <w:shd w:val="clear" w:color="000000" w:fill="FFFF00"/>
            <w:noWrap/>
            <w:vAlign w:val="center"/>
            <w:hideMark/>
          </w:tcPr>
          <w:p w14:paraId="30ED1CFE"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-0.48</w:t>
            </w:r>
          </w:p>
        </w:tc>
        <w:tc>
          <w:tcPr>
            <w:tcW w:w="500" w:type="dxa"/>
            <w:tcBorders>
              <w:top w:val="nil"/>
              <w:left w:val="nil"/>
              <w:bottom w:val="nil"/>
              <w:right w:val="nil"/>
            </w:tcBorders>
            <w:shd w:val="clear" w:color="000000" w:fill="FFFF00"/>
            <w:noWrap/>
            <w:vAlign w:val="center"/>
            <w:hideMark/>
          </w:tcPr>
          <w:p w14:paraId="137E17EA"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w:t>
            </w:r>
          </w:p>
        </w:tc>
        <w:tc>
          <w:tcPr>
            <w:tcW w:w="500" w:type="dxa"/>
            <w:tcBorders>
              <w:top w:val="nil"/>
              <w:left w:val="nil"/>
              <w:bottom w:val="nil"/>
              <w:right w:val="nil"/>
            </w:tcBorders>
            <w:shd w:val="clear" w:color="000000" w:fill="FFFF00"/>
            <w:noWrap/>
            <w:vAlign w:val="center"/>
            <w:hideMark/>
          </w:tcPr>
          <w:p w14:paraId="6768251A"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-0.68</w:t>
            </w:r>
          </w:p>
        </w:tc>
        <w:tc>
          <w:tcPr>
            <w:tcW w:w="500" w:type="dxa"/>
            <w:tcBorders>
              <w:top w:val="nil"/>
              <w:left w:val="nil"/>
              <w:bottom w:val="nil"/>
              <w:right w:val="nil"/>
            </w:tcBorders>
            <w:shd w:val="clear" w:color="000000" w:fill="FFFF00"/>
            <w:noWrap/>
            <w:vAlign w:val="center"/>
            <w:hideMark/>
          </w:tcPr>
          <w:p w14:paraId="21644005"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-0.64</w:t>
            </w:r>
          </w:p>
        </w:tc>
        <w:tc>
          <w:tcPr>
            <w:tcW w:w="500" w:type="dxa"/>
            <w:tcBorders>
              <w:top w:val="nil"/>
              <w:left w:val="nil"/>
              <w:bottom w:val="nil"/>
              <w:right w:val="nil"/>
            </w:tcBorders>
            <w:shd w:val="clear" w:color="000000" w:fill="FFFF00"/>
            <w:noWrap/>
            <w:vAlign w:val="center"/>
            <w:hideMark/>
          </w:tcPr>
          <w:p w14:paraId="1DF8D709"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-0.26</w:t>
            </w:r>
          </w:p>
        </w:tc>
        <w:tc>
          <w:tcPr>
            <w:tcW w:w="500" w:type="dxa"/>
            <w:tcBorders>
              <w:top w:val="nil"/>
              <w:left w:val="nil"/>
              <w:bottom w:val="nil"/>
              <w:right w:val="nil"/>
            </w:tcBorders>
            <w:shd w:val="clear" w:color="000000" w:fill="FFFF00"/>
            <w:noWrap/>
            <w:vAlign w:val="center"/>
            <w:hideMark/>
          </w:tcPr>
          <w:p w14:paraId="6E5E383A"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-0.5</w:t>
            </w:r>
          </w:p>
        </w:tc>
        <w:tc>
          <w:tcPr>
            <w:tcW w:w="500" w:type="dxa"/>
            <w:tcBorders>
              <w:top w:val="nil"/>
              <w:left w:val="nil"/>
              <w:bottom w:val="nil"/>
              <w:right w:val="nil"/>
            </w:tcBorders>
            <w:shd w:val="clear" w:color="000000" w:fill="FFFF00"/>
            <w:noWrap/>
            <w:vAlign w:val="center"/>
            <w:hideMark/>
          </w:tcPr>
          <w:p w14:paraId="2F9FFF9C"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0.45</w:t>
            </w:r>
          </w:p>
        </w:tc>
        <w:tc>
          <w:tcPr>
            <w:tcW w:w="500" w:type="dxa"/>
            <w:tcBorders>
              <w:top w:val="nil"/>
              <w:left w:val="nil"/>
              <w:bottom w:val="nil"/>
              <w:right w:val="nil"/>
            </w:tcBorders>
            <w:shd w:val="clear" w:color="000000" w:fill="FFFF00"/>
            <w:noWrap/>
            <w:vAlign w:val="center"/>
            <w:hideMark/>
          </w:tcPr>
          <w:p w14:paraId="281DC4F0"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0.95</w:t>
            </w:r>
          </w:p>
        </w:tc>
        <w:tc>
          <w:tcPr>
            <w:tcW w:w="500" w:type="dxa"/>
            <w:tcBorders>
              <w:top w:val="nil"/>
              <w:left w:val="nil"/>
              <w:bottom w:val="nil"/>
              <w:right w:val="nil"/>
            </w:tcBorders>
            <w:shd w:val="clear" w:color="000000" w:fill="FFFF00"/>
            <w:noWrap/>
            <w:vAlign w:val="center"/>
            <w:hideMark/>
          </w:tcPr>
          <w:p w14:paraId="1918E6AF"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0.96</w:t>
            </w:r>
          </w:p>
        </w:tc>
        <w:tc>
          <w:tcPr>
            <w:tcW w:w="500" w:type="dxa"/>
            <w:tcBorders>
              <w:top w:val="nil"/>
              <w:left w:val="nil"/>
              <w:bottom w:val="nil"/>
              <w:right w:val="nil"/>
            </w:tcBorders>
            <w:shd w:val="clear" w:color="auto" w:fill="auto"/>
            <w:noWrap/>
            <w:vAlign w:val="center"/>
            <w:hideMark/>
          </w:tcPr>
          <w:p w14:paraId="6B568397"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1</w:t>
            </w:r>
          </w:p>
        </w:tc>
        <w:tc>
          <w:tcPr>
            <w:tcW w:w="500" w:type="dxa"/>
            <w:tcBorders>
              <w:top w:val="nil"/>
              <w:left w:val="nil"/>
              <w:bottom w:val="nil"/>
              <w:right w:val="nil"/>
            </w:tcBorders>
            <w:shd w:val="clear" w:color="000000" w:fill="FFFF00"/>
            <w:noWrap/>
            <w:vAlign w:val="center"/>
            <w:hideMark/>
          </w:tcPr>
          <w:p w14:paraId="710324A6"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0.09</w:t>
            </w:r>
          </w:p>
        </w:tc>
      </w:tr>
      <w:tr w:rsidR="004923A4" w:rsidRPr="004923A4" w14:paraId="45B6F75E" w14:textId="77777777" w:rsidTr="004923A4">
        <w:trPr>
          <w:trHeight w:val="288"/>
        </w:trPr>
        <w:tc>
          <w:tcPr>
            <w:tcW w:w="1880" w:type="dxa"/>
            <w:tcBorders>
              <w:top w:val="nil"/>
              <w:left w:val="nil"/>
              <w:bottom w:val="single" w:sz="4" w:space="0" w:color="auto"/>
              <w:right w:val="nil"/>
            </w:tcBorders>
            <w:shd w:val="clear" w:color="auto" w:fill="auto"/>
            <w:noWrap/>
            <w:vAlign w:val="center"/>
            <w:hideMark/>
          </w:tcPr>
          <w:p w14:paraId="7EB2820A" w14:textId="77777777" w:rsidR="004923A4" w:rsidRPr="00284B0B" w:rsidRDefault="004923A4" w:rsidP="004923A4">
            <w:pPr>
              <w:spacing w:after="0" w:line="240" w:lineRule="auto"/>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Drought tolerance, 1–5 p</w:t>
            </w:r>
          </w:p>
        </w:tc>
        <w:tc>
          <w:tcPr>
            <w:tcW w:w="500" w:type="dxa"/>
            <w:tcBorders>
              <w:top w:val="nil"/>
              <w:left w:val="nil"/>
              <w:bottom w:val="single" w:sz="4" w:space="0" w:color="auto"/>
              <w:right w:val="nil"/>
            </w:tcBorders>
            <w:shd w:val="clear" w:color="auto" w:fill="auto"/>
            <w:noWrap/>
            <w:vAlign w:val="center"/>
            <w:hideMark/>
          </w:tcPr>
          <w:p w14:paraId="2133C740"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-0.04</w:t>
            </w:r>
          </w:p>
        </w:tc>
        <w:tc>
          <w:tcPr>
            <w:tcW w:w="500" w:type="dxa"/>
            <w:tcBorders>
              <w:top w:val="nil"/>
              <w:left w:val="nil"/>
              <w:bottom w:val="single" w:sz="4" w:space="0" w:color="auto"/>
              <w:right w:val="nil"/>
            </w:tcBorders>
            <w:shd w:val="clear" w:color="auto" w:fill="auto"/>
            <w:noWrap/>
            <w:vAlign w:val="center"/>
            <w:hideMark/>
          </w:tcPr>
          <w:p w14:paraId="5A6FA16A"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w:t>
            </w:r>
          </w:p>
        </w:tc>
        <w:tc>
          <w:tcPr>
            <w:tcW w:w="500" w:type="dxa"/>
            <w:tcBorders>
              <w:top w:val="nil"/>
              <w:left w:val="nil"/>
              <w:bottom w:val="single" w:sz="4" w:space="0" w:color="auto"/>
              <w:right w:val="nil"/>
            </w:tcBorders>
            <w:shd w:val="clear" w:color="auto" w:fill="auto"/>
            <w:noWrap/>
            <w:vAlign w:val="center"/>
            <w:hideMark/>
          </w:tcPr>
          <w:p w14:paraId="07903E1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-0.05</w:t>
            </w:r>
          </w:p>
        </w:tc>
        <w:tc>
          <w:tcPr>
            <w:tcW w:w="500" w:type="dxa"/>
            <w:tcBorders>
              <w:top w:val="nil"/>
              <w:left w:val="nil"/>
              <w:bottom w:val="single" w:sz="4" w:space="0" w:color="auto"/>
              <w:right w:val="nil"/>
            </w:tcBorders>
            <w:shd w:val="clear" w:color="000000" w:fill="FFFF00"/>
            <w:noWrap/>
            <w:vAlign w:val="center"/>
            <w:hideMark/>
          </w:tcPr>
          <w:p w14:paraId="43A9F4DB"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-0.07</w:t>
            </w:r>
          </w:p>
        </w:tc>
        <w:tc>
          <w:tcPr>
            <w:tcW w:w="500" w:type="dxa"/>
            <w:tcBorders>
              <w:top w:val="nil"/>
              <w:left w:val="nil"/>
              <w:bottom w:val="single" w:sz="4" w:space="0" w:color="auto"/>
              <w:right w:val="nil"/>
            </w:tcBorders>
            <w:shd w:val="clear" w:color="000000" w:fill="FFFF00"/>
            <w:noWrap/>
            <w:vAlign w:val="center"/>
            <w:hideMark/>
          </w:tcPr>
          <w:p w14:paraId="6A2357DD"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-0.07</w:t>
            </w:r>
          </w:p>
        </w:tc>
        <w:tc>
          <w:tcPr>
            <w:tcW w:w="500" w:type="dxa"/>
            <w:tcBorders>
              <w:top w:val="nil"/>
              <w:left w:val="nil"/>
              <w:bottom w:val="single" w:sz="4" w:space="0" w:color="auto"/>
              <w:right w:val="nil"/>
            </w:tcBorders>
            <w:shd w:val="clear" w:color="auto" w:fill="auto"/>
            <w:noWrap/>
            <w:vAlign w:val="center"/>
            <w:hideMark/>
          </w:tcPr>
          <w:p w14:paraId="68EE9F1C"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-0.05</w:t>
            </w:r>
          </w:p>
        </w:tc>
        <w:tc>
          <w:tcPr>
            <w:tcW w:w="500" w:type="dxa"/>
            <w:tcBorders>
              <w:top w:val="nil"/>
              <w:left w:val="nil"/>
              <w:bottom w:val="single" w:sz="4" w:space="0" w:color="auto"/>
              <w:right w:val="nil"/>
            </w:tcBorders>
            <w:shd w:val="clear" w:color="000000" w:fill="FFFF00"/>
            <w:noWrap/>
            <w:vAlign w:val="center"/>
            <w:hideMark/>
          </w:tcPr>
          <w:p w14:paraId="255AEF9B"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-0.13</w:t>
            </w:r>
          </w:p>
        </w:tc>
        <w:tc>
          <w:tcPr>
            <w:tcW w:w="500" w:type="dxa"/>
            <w:tcBorders>
              <w:top w:val="nil"/>
              <w:left w:val="nil"/>
              <w:bottom w:val="single" w:sz="4" w:space="0" w:color="auto"/>
              <w:right w:val="nil"/>
            </w:tcBorders>
            <w:shd w:val="clear" w:color="000000" w:fill="FFFF00"/>
            <w:noWrap/>
            <w:vAlign w:val="center"/>
            <w:hideMark/>
          </w:tcPr>
          <w:p w14:paraId="2CA6DF82"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-0.11</w:t>
            </w:r>
          </w:p>
        </w:tc>
        <w:tc>
          <w:tcPr>
            <w:tcW w:w="500" w:type="dxa"/>
            <w:tcBorders>
              <w:top w:val="nil"/>
              <w:left w:val="nil"/>
              <w:bottom w:val="single" w:sz="4" w:space="0" w:color="auto"/>
              <w:right w:val="nil"/>
            </w:tcBorders>
            <w:shd w:val="clear" w:color="000000" w:fill="FFFF00"/>
            <w:noWrap/>
            <w:vAlign w:val="center"/>
            <w:hideMark/>
          </w:tcPr>
          <w:p w14:paraId="18D93BAC"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-0.12</w:t>
            </w:r>
          </w:p>
        </w:tc>
        <w:tc>
          <w:tcPr>
            <w:tcW w:w="500" w:type="dxa"/>
            <w:tcBorders>
              <w:top w:val="nil"/>
              <w:left w:val="nil"/>
              <w:bottom w:val="single" w:sz="4" w:space="0" w:color="auto"/>
              <w:right w:val="nil"/>
            </w:tcBorders>
            <w:shd w:val="clear" w:color="000000" w:fill="FFFF00"/>
            <w:noWrap/>
            <w:vAlign w:val="center"/>
            <w:hideMark/>
          </w:tcPr>
          <w:p w14:paraId="60D2E6DC"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0.45</w:t>
            </w:r>
          </w:p>
        </w:tc>
        <w:tc>
          <w:tcPr>
            <w:tcW w:w="500" w:type="dxa"/>
            <w:tcBorders>
              <w:top w:val="nil"/>
              <w:left w:val="nil"/>
              <w:bottom w:val="single" w:sz="4" w:space="0" w:color="auto"/>
              <w:right w:val="nil"/>
            </w:tcBorders>
            <w:shd w:val="clear" w:color="000000" w:fill="FFFF00"/>
            <w:noWrap/>
            <w:vAlign w:val="center"/>
            <w:hideMark/>
          </w:tcPr>
          <w:p w14:paraId="15EF7AAA"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0.09</w:t>
            </w:r>
          </w:p>
        </w:tc>
        <w:tc>
          <w:tcPr>
            <w:tcW w:w="500" w:type="dxa"/>
            <w:tcBorders>
              <w:top w:val="nil"/>
              <w:left w:val="nil"/>
              <w:bottom w:val="single" w:sz="4" w:space="0" w:color="auto"/>
              <w:right w:val="nil"/>
            </w:tcBorders>
            <w:shd w:val="clear" w:color="000000" w:fill="FFFF00"/>
            <w:noWrap/>
            <w:vAlign w:val="center"/>
            <w:hideMark/>
          </w:tcPr>
          <w:p w14:paraId="1F417F16"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0.08</w:t>
            </w:r>
          </w:p>
        </w:tc>
        <w:tc>
          <w:tcPr>
            <w:tcW w:w="500" w:type="dxa"/>
            <w:tcBorders>
              <w:top w:val="nil"/>
              <w:left w:val="nil"/>
              <w:bottom w:val="single" w:sz="4" w:space="0" w:color="auto"/>
              <w:right w:val="nil"/>
            </w:tcBorders>
            <w:shd w:val="clear" w:color="000000" w:fill="FFFF00"/>
            <w:noWrap/>
            <w:vAlign w:val="center"/>
            <w:hideMark/>
          </w:tcPr>
          <w:p w14:paraId="2EB532BB"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0.09</w:t>
            </w:r>
          </w:p>
        </w:tc>
        <w:tc>
          <w:tcPr>
            <w:tcW w:w="500" w:type="dxa"/>
            <w:tcBorders>
              <w:top w:val="nil"/>
              <w:left w:val="nil"/>
              <w:bottom w:val="single" w:sz="4" w:space="0" w:color="auto"/>
              <w:right w:val="nil"/>
            </w:tcBorders>
            <w:shd w:val="clear" w:color="auto" w:fill="auto"/>
            <w:noWrap/>
            <w:vAlign w:val="center"/>
            <w:hideMark/>
          </w:tcPr>
          <w:p w14:paraId="7867EB33" w14:textId="77777777" w:rsidR="004923A4" w:rsidRPr="00284B0B" w:rsidRDefault="004923A4" w:rsidP="004923A4">
            <w:pPr>
              <w:spacing w:after="0" w:line="240" w:lineRule="auto"/>
              <w:jc w:val="right"/>
              <w:rPr>
                <w:rFonts w:ascii="Times New Roman" w:eastAsia="Times New Roman" w:hAnsi="Times New Roman" w:cs="Times New Roman"/>
                <w:color w:val="000000"/>
                <w:sz w:val="16"/>
                <w:szCs w:val="16"/>
                <w:lang w:eastAsia="et-EE"/>
              </w:rPr>
            </w:pPr>
            <w:r w:rsidRPr="00284B0B">
              <w:rPr>
                <w:rFonts w:ascii="Times New Roman" w:eastAsia="Times New Roman" w:hAnsi="Times New Roman" w:cs="Times New Roman"/>
                <w:color w:val="000000"/>
                <w:sz w:val="16"/>
                <w:szCs w:val="16"/>
                <w:lang w:val="en-GB" w:eastAsia="et-EE"/>
              </w:rPr>
              <w:t>1</w:t>
            </w:r>
          </w:p>
        </w:tc>
      </w:tr>
    </w:tbl>
    <w:p w14:paraId="2D99BCF9" w14:textId="3F722DEC" w:rsidR="004923A4" w:rsidRDefault="004923A4" w:rsidP="000160AA">
      <w:pPr>
        <w:autoSpaceDE w:val="0"/>
        <w:autoSpaceDN w:val="0"/>
        <w:adjustRightInd w:val="0"/>
        <w:spacing w:before="240" w:after="120" w:line="228" w:lineRule="auto"/>
        <w:rPr>
          <w:rFonts w:ascii="Times New Roman" w:eastAsia="GillSansMT" w:hAnsi="Times New Roman" w:cs="Times New Roman"/>
          <w:sz w:val="18"/>
          <w:szCs w:val="18"/>
          <w:lang w:val="en-GB"/>
        </w:rPr>
      </w:pPr>
      <w:r>
        <w:rPr>
          <w:rFonts w:ascii="Times New Roman" w:eastAsia="GillSansMT" w:hAnsi="Times New Roman" w:cs="Times New Roman"/>
          <w:sz w:val="18"/>
          <w:szCs w:val="18"/>
          <w:lang w:val="en-GB"/>
        </w:rPr>
        <w:fldChar w:fldCharType="end"/>
      </w:r>
    </w:p>
    <w:p w14:paraId="7E9E23D5" w14:textId="77777777" w:rsidR="004923A4" w:rsidRPr="00FD0E64" w:rsidRDefault="004923A4" w:rsidP="000160AA">
      <w:pPr>
        <w:autoSpaceDE w:val="0"/>
        <w:autoSpaceDN w:val="0"/>
        <w:adjustRightInd w:val="0"/>
        <w:spacing w:before="240" w:after="120" w:line="228" w:lineRule="auto"/>
        <w:rPr>
          <w:rFonts w:ascii="Times New Roman" w:eastAsia="GillSansMT" w:hAnsi="Times New Roman" w:cs="Times New Roman"/>
          <w:sz w:val="18"/>
          <w:szCs w:val="18"/>
          <w:lang w:val="en-GB"/>
        </w:rPr>
      </w:pPr>
    </w:p>
    <w:p w14:paraId="09017D36" w14:textId="77777777" w:rsidR="00C9481C" w:rsidRPr="00FD0E64" w:rsidRDefault="00C9481C" w:rsidP="00C9481C">
      <w:pPr>
        <w:spacing w:after="120"/>
        <w:jc w:val="both"/>
        <w:rPr>
          <w:rFonts w:ascii="Times New Roman" w:hAnsi="Times New Roman" w:cs="Times New Roman"/>
          <w:b/>
          <w:bCs/>
          <w:sz w:val="18"/>
          <w:szCs w:val="18"/>
          <w:lang w:val="en-GB"/>
        </w:rPr>
      </w:pPr>
    </w:p>
    <w:sectPr w:rsidR="00C9481C" w:rsidRPr="00FD0E6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08042E8" w16cex:dateUtc="2023-10-22T12:32:00Z"/>
  <w16cex:commentExtensible w16cex:durableId="0D7CB444" w16cex:dateUtc="2023-10-22T12:33:00Z"/>
  <w16cex:commentExtensible w16cex:durableId="3FFA83C3" w16cex:dateUtc="2023-10-13T05:23:00Z"/>
  <w16cex:commentExtensible w16cex:durableId="58791D0F" w16cex:dateUtc="2023-10-22T12:38:00Z"/>
  <w16cex:commentExtensible w16cex:durableId="1EC70127" w16cex:dateUtc="2023-10-22T12:46:00Z"/>
  <w16cex:commentExtensible w16cex:durableId="6F8BF7C8" w16cex:dateUtc="2023-10-22T12:55:00Z"/>
  <w16cex:commentExtensible w16cex:durableId="28E0C2EC" w16cex:dateUtc="2023-10-23T07:01:00Z"/>
  <w16cex:commentExtensible w16cex:durableId="28E0C406" w16cex:dateUtc="2023-10-23T07:05:00Z"/>
  <w16cex:commentExtensible w16cex:durableId="3734BEB8" w16cex:dateUtc="2023-10-22T13:04:00Z"/>
  <w16cex:commentExtensible w16cex:durableId="28E0D6E3" w16cex:dateUtc="2023-10-23T08:26:00Z"/>
  <w16cex:commentExtensible w16cex:durableId="28E0D8A2" w16cex:dateUtc="2023-10-23T0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2657F3" w16cid:durableId="408042E8"/>
  <w16cid:commentId w16cid:paraId="20B20DD9" w16cid:durableId="0D7CB444"/>
  <w16cid:commentId w16cid:paraId="7DE871EA" w16cid:durableId="3FFA83C3"/>
  <w16cid:commentId w16cid:paraId="552F6612" w16cid:durableId="28E2284B"/>
  <w16cid:commentId w16cid:paraId="1026A146" w16cid:durableId="58791D0F"/>
  <w16cid:commentId w16cid:paraId="56455176" w16cid:durableId="28E229C8"/>
  <w16cid:commentId w16cid:paraId="0F03E2D3" w16cid:durableId="1EC70127"/>
  <w16cid:commentId w16cid:paraId="09581DF5" w16cid:durableId="28E22DEE"/>
  <w16cid:commentId w16cid:paraId="417F9B38" w16cid:durableId="28E22F50"/>
  <w16cid:commentId w16cid:paraId="2D659340" w16cid:durableId="28E231F1"/>
  <w16cid:commentId w16cid:paraId="786FB93F" w16cid:durableId="28E233D1"/>
  <w16cid:commentId w16cid:paraId="51AF68E5" w16cid:durableId="6F8BF7C8"/>
  <w16cid:commentId w16cid:paraId="1A08FA4E" w16cid:durableId="28E0C2EC"/>
  <w16cid:commentId w16cid:paraId="07682FB1" w16cid:durableId="28E0C406"/>
  <w16cid:commentId w16cid:paraId="723AE08E" w16cid:durableId="28E23CDC"/>
  <w16cid:commentId w16cid:paraId="72F36C90" w16cid:durableId="28E23D37"/>
  <w16cid:commentId w16cid:paraId="454216A8" w16cid:durableId="3734BEB8"/>
  <w16cid:commentId w16cid:paraId="7BE9FF1E" w16cid:durableId="28E23C3D"/>
  <w16cid:commentId w16cid:paraId="4E7E23B5" w16cid:durableId="28E23D81"/>
  <w16cid:commentId w16cid:paraId="09A5FCD8" w16cid:durableId="28E245D8"/>
  <w16cid:commentId w16cid:paraId="581805BB" w16cid:durableId="28E2466A"/>
  <w16cid:commentId w16cid:paraId="4858B3E3" w16cid:durableId="28E0D6E3"/>
  <w16cid:commentId w16cid:paraId="1B643A6E" w16cid:durableId="28E248BD"/>
  <w16cid:commentId w16cid:paraId="34A5F020" w16cid:durableId="28E24A9F"/>
  <w16cid:commentId w16cid:paraId="6C550F10" w16cid:durableId="28E24B28"/>
  <w16cid:commentId w16cid:paraId="1852B908" w16cid:durableId="28E25ADC"/>
  <w16cid:commentId w16cid:paraId="63509E87" w16cid:durableId="28E0D8A2"/>
  <w16cid:commentId w16cid:paraId="7A12758E" w16cid:durableId="28E2664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21943" w14:textId="77777777" w:rsidR="00D7655B" w:rsidRDefault="00D7655B" w:rsidP="00086332">
      <w:pPr>
        <w:spacing w:after="0" w:line="240" w:lineRule="auto"/>
      </w:pPr>
      <w:r>
        <w:separator/>
      </w:r>
    </w:p>
  </w:endnote>
  <w:endnote w:type="continuationSeparator" w:id="0">
    <w:p w14:paraId="148F0729" w14:textId="77777777" w:rsidR="00D7655B" w:rsidRDefault="00D7655B" w:rsidP="0008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GillSansMT">
    <w:altName w:val="MS Gothic"/>
    <w:charset w:val="80"/>
    <w:family w:val="auto"/>
    <w:pitch w:val="default"/>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F3A39" w14:textId="77777777" w:rsidR="00D7655B" w:rsidRDefault="00D765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9148149"/>
      <w:docPartObj>
        <w:docPartGallery w:val="Page Numbers (Bottom of Page)"/>
        <w:docPartUnique/>
      </w:docPartObj>
    </w:sdtPr>
    <w:sdtEndPr/>
    <w:sdtContent>
      <w:p w14:paraId="45B3D0C6" w14:textId="01451637" w:rsidR="00D7655B" w:rsidRDefault="00D7655B">
        <w:pPr>
          <w:pStyle w:val="Footer"/>
          <w:jc w:val="center"/>
        </w:pPr>
        <w:r>
          <w:fldChar w:fldCharType="begin"/>
        </w:r>
        <w:r>
          <w:instrText>PAGE   \* MERGEFORMAT</w:instrText>
        </w:r>
        <w:r>
          <w:fldChar w:fldCharType="separate"/>
        </w:r>
        <w:r w:rsidR="00E152A0">
          <w:rPr>
            <w:noProof/>
          </w:rPr>
          <w:t>4</w:t>
        </w:r>
        <w:r>
          <w:fldChar w:fldCharType="end"/>
        </w:r>
      </w:p>
    </w:sdtContent>
  </w:sdt>
  <w:p w14:paraId="147DC984" w14:textId="77777777" w:rsidR="00D7655B" w:rsidRDefault="00D765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C3D2E" w14:textId="77777777" w:rsidR="00D7655B" w:rsidRDefault="00D765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F4EB5" w14:textId="77777777" w:rsidR="00D7655B" w:rsidRDefault="00D7655B" w:rsidP="00086332">
      <w:pPr>
        <w:spacing w:after="0" w:line="240" w:lineRule="auto"/>
      </w:pPr>
      <w:r>
        <w:separator/>
      </w:r>
    </w:p>
  </w:footnote>
  <w:footnote w:type="continuationSeparator" w:id="0">
    <w:p w14:paraId="4C0CE2C0" w14:textId="77777777" w:rsidR="00D7655B" w:rsidRDefault="00D7655B" w:rsidP="0008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585C2" w14:textId="77777777" w:rsidR="00D7655B" w:rsidRDefault="00D765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885BB" w14:textId="77777777" w:rsidR="00D7655B" w:rsidRDefault="00D765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15997" w14:textId="77777777" w:rsidR="00D7655B" w:rsidRDefault="00D76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83828"/>
    <w:multiLevelType w:val="hybridMultilevel"/>
    <w:tmpl w:val="D09EFA22"/>
    <w:lvl w:ilvl="0" w:tplc="ABE051D0">
      <w:start w:val="1"/>
      <w:numFmt w:val="decimal"/>
      <w:lvlText w:val="%1."/>
      <w:lvlJc w:val="left"/>
      <w:pPr>
        <w:ind w:left="720" w:hanging="360"/>
      </w:pPr>
      <w:rPr>
        <w:rFonts w:hint="default"/>
        <w:b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C1F16FA"/>
    <w:multiLevelType w:val="hybridMultilevel"/>
    <w:tmpl w:val="C9D8DD4C"/>
    <w:lvl w:ilvl="0" w:tplc="2FA6400E">
      <w:start w:val="4"/>
      <w:numFmt w:val="decimal"/>
      <w:lvlText w:val="%1."/>
      <w:lvlJc w:val="left"/>
      <w:pPr>
        <w:ind w:left="786" w:hanging="360"/>
      </w:pPr>
      <w:rPr>
        <w:rFonts w:hint="default"/>
      </w:rPr>
    </w:lvl>
    <w:lvl w:ilvl="1" w:tplc="04250019" w:tentative="1">
      <w:start w:val="1"/>
      <w:numFmt w:val="lowerLetter"/>
      <w:lvlText w:val="%2."/>
      <w:lvlJc w:val="left"/>
      <w:pPr>
        <w:ind w:left="1506" w:hanging="360"/>
      </w:pPr>
    </w:lvl>
    <w:lvl w:ilvl="2" w:tplc="0425001B" w:tentative="1">
      <w:start w:val="1"/>
      <w:numFmt w:val="lowerRoman"/>
      <w:lvlText w:val="%3."/>
      <w:lvlJc w:val="right"/>
      <w:pPr>
        <w:ind w:left="2226" w:hanging="180"/>
      </w:pPr>
    </w:lvl>
    <w:lvl w:ilvl="3" w:tplc="0425000F" w:tentative="1">
      <w:start w:val="1"/>
      <w:numFmt w:val="decimal"/>
      <w:lvlText w:val="%4."/>
      <w:lvlJc w:val="left"/>
      <w:pPr>
        <w:ind w:left="2946" w:hanging="360"/>
      </w:pPr>
    </w:lvl>
    <w:lvl w:ilvl="4" w:tplc="04250019" w:tentative="1">
      <w:start w:val="1"/>
      <w:numFmt w:val="lowerLetter"/>
      <w:lvlText w:val="%5."/>
      <w:lvlJc w:val="left"/>
      <w:pPr>
        <w:ind w:left="3666" w:hanging="360"/>
      </w:pPr>
    </w:lvl>
    <w:lvl w:ilvl="5" w:tplc="0425001B" w:tentative="1">
      <w:start w:val="1"/>
      <w:numFmt w:val="lowerRoman"/>
      <w:lvlText w:val="%6."/>
      <w:lvlJc w:val="right"/>
      <w:pPr>
        <w:ind w:left="4386" w:hanging="180"/>
      </w:pPr>
    </w:lvl>
    <w:lvl w:ilvl="6" w:tplc="0425000F" w:tentative="1">
      <w:start w:val="1"/>
      <w:numFmt w:val="decimal"/>
      <w:lvlText w:val="%7."/>
      <w:lvlJc w:val="left"/>
      <w:pPr>
        <w:ind w:left="5106" w:hanging="360"/>
      </w:pPr>
    </w:lvl>
    <w:lvl w:ilvl="7" w:tplc="04250019" w:tentative="1">
      <w:start w:val="1"/>
      <w:numFmt w:val="lowerLetter"/>
      <w:lvlText w:val="%8."/>
      <w:lvlJc w:val="left"/>
      <w:pPr>
        <w:ind w:left="5826" w:hanging="360"/>
      </w:pPr>
    </w:lvl>
    <w:lvl w:ilvl="8" w:tplc="0425001B" w:tentative="1">
      <w:start w:val="1"/>
      <w:numFmt w:val="lowerRoman"/>
      <w:lvlText w:val="%9."/>
      <w:lvlJc w:val="right"/>
      <w:pPr>
        <w:ind w:left="6546" w:hanging="180"/>
      </w:pPr>
    </w:lvl>
  </w:abstractNum>
  <w:abstractNum w:abstractNumId="2" w15:restartNumberingAfterBreak="0">
    <w:nsid w:val="39122915"/>
    <w:multiLevelType w:val="hybridMultilevel"/>
    <w:tmpl w:val="7FE29A5A"/>
    <w:lvl w:ilvl="0" w:tplc="0425000F">
      <w:start w:val="4"/>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492B179E"/>
    <w:multiLevelType w:val="hybridMultilevel"/>
    <w:tmpl w:val="318C578A"/>
    <w:lvl w:ilvl="0" w:tplc="BB4242A2">
      <w:start w:val="1"/>
      <w:numFmt w:val="upperLetter"/>
      <w:lvlText w:val="%1."/>
      <w:lvlJc w:val="left"/>
      <w:pPr>
        <w:ind w:left="720" w:hanging="360"/>
      </w:pPr>
    </w:lvl>
    <w:lvl w:ilvl="1" w:tplc="B9C67340">
      <w:start w:val="1"/>
      <w:numFmt w:val="lowerLetter"/>
      <w:lvlText w:val="%2."/>
      <w:lvlJc w:val="left"/>
      <w:pPr>
        <w:ind w:left="1440" w:hanging="360"/>
      </w:pPr>
    </w:lvl>
    <w:lvl w:ilvl="2" w:tplc="F25AF124">
      <w:start w:val="1"/>
      <w:numFmt w:val="lowerRoman"/>
      <w:lvlText w:val="%3."/>
      <w:lvlJc w:val="right"/>
      <w:pPr>
        <w:ind w:left="2160" w:hanging="180"/>
      </w:pPr>
    </w:lvl>
    <w:lvl w:ilvl="3" w:tplc="94B6A5F4">
      <w:start w:val="1"/>
      <w:numFmt w:val="decimal"/>
      <w:lvlText w:val="%4."/>
      <w:lvlJc w:val="left"/>
      <w:pPr>
        <w:ind w:left="2880" w:hanging="360"/>
      </w:pPr>
    </w:lvl>
    <w:lvl w:ilvl="4" w:tplc="1B4A3F76">
      <w:start w:val="1"/>
      <w:numFmt w:val="lowerLetter"/>
      <w:lvlText w:val="%5."/>
      <w:lvlJc w:val="left"/>
      <w:pPr>
        <w:ind w:left="3600" w:hanging="360"/>
      </w:pPr>
    </w:lvl>
    <w:lvl w:ilvl="5" w:tplc="05EA2958">
      <w:start w:val="1"/>
      <w:numFmt w:val="lowerRoman"/>
      <w:lvlText w:val="%6."/>
      <w:lvlJc w:val="right"/>
      <w:pPr>
        <w:ind w:left="4320" w:hanging="180"/>
      </w:pPr>
    </w:lvl>
    <w:lvl w:ilvl="6" w:tplc="5920B6B0">
      <w:start w:val="1"/>
      <w:numFmt w:val="decimal"/>
      <w:lvlText w:val="%7."/>
      <w:lvlJc w:val="left"/>
      <w:pPr>
        <w:ind w:left="5040" w:hanging="360"/>
      </w:pPr>
    </w:lvl>
    <w:lvl w:ilvl="7" w:tplc="2F0C2E08">
      <w:start w:val="1"/>
      <w:numFmt w:val="lowerLetter"/>
      <w:lvlText w:val="%8."/>
      <w:lvlJc w:val="left"/>
      <w:pPr>
        <w:ind w:left="5760" w:hanging="360"/>
      </w:pPr>
    </w:lvl>
    <w:lvl w:ilvl="8" w:tplc="33407CCA">
      <w:start w:val="1"/>
      <w:numFmt w:val="lowerRoman"/>
      <w:lvlText w:val="%9."/>
      <w:lvlJc w:val="right"/>
      <w:pPr>
        <w:ind w:left="6480" w:hanging="180"/>
      </w:pPr>
    </w:lvl>
  </w:abstractNum>
  <w:abstractNum w:abstractNumId="4" w15:restartNumberingAfterBreak="0">
    <w:nsid w:val="5019121B"/>
    <w:multiLevelType w:val="multilevel"/>
    <w:tmpl w:val="A710AC02"/>
    <w:lvl w:ilvl="0">
      <w:start w:val="20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D35FF4"/>
    <w:multiLevelType w:val="multilevel"/>
    <w:tmpl w:val="C000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activeWritingStyle w:appName="MSWord" w:lang="en-GB" w:vendorID="64" w:dllVersion="6" w:nlCheck="1" w:checkStyle="1"/>
  <w:activeWritingStyle w:appName="MSWord" w:lang="en-GB" w:vendorID="64" w:dllVersion="0" w:nlCheck="1" w:checkStyle="0"/>
  <w:activeWritingStyle w:appName="MSWord" w:lang="es-MX" w:vendorID="64" w:dllVersion="0" w:nlCheck="1" w:checkStyle="0"/>
  <w:activeWritingStyle w:appName="MSWord" w:lang="nb-NO" w:vendorID="64" w:dllVersion="0" w:nlCheck="1" w:checkStyle="0"/>
  <w:activeWritingStyle w:appName="MSWord" w:lang="en-US" w:vendorID="64" w:dllVersion="0" w:nlCheck="1" w:checkStyle="0"/>
  <w:activeWritingStyle w:appName="MSWord" w:lang="en-GB"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es-MX" w:vendorID="64" w:dllVersion="131078" w:nlCheck="1" w:checkStyle="0"/>
  <w:activeWritingStyle w:appName="MSWord" w:lang="en-US" w:vendorID="64" w:dllVersion="131078" w:nlCheck="1" w:checkStyle="1"/>
  <w:activeWritingStyle w:appName="MSWord" w:lang="fr-FR"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56B"/>
    <w:rsid w:val="00003705"/>
    <w:rsid w:val="000061EA"/>
    <w:rsid w:val="000109B9"/>
    <w:rsid w:val="000160AA"/>
    <w:rsid w:val="00020427"/>
    <w:rsid w:val="000232D4"/>
    <w:rsid w:val="00025139"/>
    <w:rsid w:val="0002760F"/>
    <w:rsid w:val="00031188"/>
    <w:rsid w:val="000408E6"/>
    <w:rsid w:val="000419BA"/>
    <w:rsid w:val="0004779B"/>
    <w:rsid w:val="00050D02"/>
    <w:rsid w:val="0005180B"/>
    <w:rsid w:val="0005190D"/>
    <w:rsid w:val="0005729B"/>
    <w:rsid w:val="0006548F"/>
    <w:rsid w:val="0006577F"/>
    <w:rsid w:val="00071D5B"/>
    <w:rsid w:val="00071F24"/>
    <w:rsid w:val="00073BDD"/>
    <w:rsid w:val="00075C50"/>
    <w:rsid w:val="0007676E"/>
    <w:rsid w:val="0007766A"/>
    <w:rsid w:val="00086332"/>
    <w:rsid w:val="000909DE"/>
    <w:rsid w:val="000915B6"/>
    <w:rsid w:val="000A1798"/>
    <w:rsid w:val="000A6F80"/>
    <w:rsid w:val="000B1099"/>
    <w:rsid w:val="000B14C0"/>
    <w:rsid w:val="000B6718"/>
    <w:rsid w:val="000C02FB"/>
    <w:rsid w:val="000C0C8D"/>
    <w:rsid w:val="000C3119"/>
    <w:rsid w:val="000C7C20"/>
    <w:rsid w:val="000D7014"/>
    <w:rsid w:val="000E5099"/>
    <w:rsid w:val="000E6AE0"/>
    <w:rsid w:val="000F04F4"/>
    <w:rsid w:val="000F0EFC"/>
    <w:rsid w:val="000F21F8"/>
    <w:rsid w:val="000F2C96"/>
    <w:rsid w:val="000F3ABE"/>
    <w:rsid w:val="000F43C3"/>
    <w:rsid w:val="0010208B"/>
    <w:rsid w:val="00104075"/>
    <w:rsid w:val="00105410"/>
    <w:rsid w:val="00105A5E"/>
    <w:rsid w:val="00110E5E"/>
    <w:rsid w:val="001110CC"/>
    <w:rsid w:val="001121CF"/>
    <w:rsid w:val="0011340D"/>
    <w:rsid w:val="00113D97"/>
    <w:rsid w:val="001209AD"/>
    <w:rsid w:val="001212F0"/>
    <w:rsid w:val="0012133E"/>
    <w:rsid w:val="001222FA"/>
    <w:rsid w:val="00132F38"/>
    <w:rsid w:val="001343CB"/>
    <w:rsid w:val="001351B7"/>
    <w:rsid w:val="0014232E"/>
    <w:rsid w:val="00142DEB"/>
    <w:rsid w:val="001478AD"/>
    <w:rsid w:val="00155787"/>
    <w:rsid w:val="00155F4C"/>
    <w:rsid w:val="00156D24"/>
    <w:rsid w:val="00156E2D"/>
    <w:rsid w:val="00157C54"/>
    <w:rsid w:val="001601E1"/>
    <w:rsid w:val="001616F7"/>
    <w:rsid w:val="0016361E"/>
    <w:rsid w:val="00167C3E"/>
    <w:rsid w:val="00170218"/>
    <w:rsid w:val="0017410A"/>
    <w:rsid w:val="00175228"/>
    <w:rsid w:val="00180DFD"/>
    <w:rsid w:val="001817FF"/>
    <w:rsid w:val="00182DED"/>
    <w:rsid w:val="0018480A"/>
    <w:rsid w:val="00186064"/>
    <w:rsid w:val="00191FD3"/>
    <w:rsid w:val="0019550A"/>
    <w:rsid w:val="00195AEE"/>
    <w:rsid w:val="001972F5"/>
    <w:rsid w:val="001A0229"/>
    <w:rsid w:val="001A0580"/>
    <w:rsid w:val="001B0F33"/>
    <w:rsid w:val="001C4D89"/>
    <w:rsid w:val="001C55D0"/>
    <w:rsid w:val="001C565F"/>
    <w:rsid w:val="001D3AF1"/>
    <w:rsid w:val="001D4694"/>
    <w:rsid w:val="001D6576"/>
    <w:rsid w:val="001E09C4"/>
    <w:rsid w:val="001E16FE"/>
    <w:rsid w:val="001E2DCC"/>
    <w:rsid w:val="001E363F"/>
    <w:rsid w:val="001E399E"/>
    <w:rsid w:val="001E3CEC"/>
    <w:rsid w:val="001E406A"/>
    <w:rsid w:val="001E7B68"/>
    <w:rsid w:val="001F00CD"/>
    <w:rsid w:val="001F589F"/>
    <w:rsid w:val="002025BA"/>
    <w:rsid w:val="0020621F"/>
    <w:rsid w:val="002101AC"/>
    <w:rsid w:val="00212772"/>
    <w:rsid w:val="00214257"/>
    <w:rsid w:val="00217E6F"/>
    <w:rsid w:val="002268AC"/>
    <w:rsid w:val="00227141"/>
    <w:rsid w:val="00235136"/>
    <w:rsid w:val="00241E8E"/>
    <w:rsid w:val="00243263"/>
    <w:rsid w:val="00250EFB"/>
    <w:rsid w:val="0025694E"/>
    <w:rsid w:val="00256AD0"/>
    <w:rsid w:val="002600A3"/>
    <w:rsid w:val="002616DA"/>
    <w:rsid w:val="00262A15"/>
    <w:rsid w:val="00263EF6"/>
    <w:rsid w:val="00273758"/>
    <w:rsid w:val="00273F69"/>
    <w:rsid w:val="002764B5"/>
    <w:rsid w:val="00280B7B"/>
    <w:rsid w:val="00284B0B"/>
    <w:rsid w:val="002851D7"/>
    <w:rsid w:val="00285B2E"/>
    <w:rsid w:val="00291B6D"/>
    <w:rsid w:val="00295CEF"/>
    <w:rsid w:val="00297CC6"/>
    <w:rsid w:val="002A368A"/>
    <w:rsid w:val="002A4EDE"/>
    <w:rsid w:val="002A7017"/>
    <w:rsid w:val="002B0F4D"/>
    <w:rsid w:val="002B7E08"/>
    <w:rsid w:val="002C0DD7"/>
    <w:rsid w:val="002C3339"/>
    <w:rsid w:val="002C33B3"/>
    <w:rsid w:val="002C3738"/>
    <w:rsid w:val="002D2D11"/>
    <w:rsid w:val="002E103F"/>
    <w:rsid w:val="002E6F22"/>
    <w:rsid w:val="002F2F66"/>
    <w:rsid w:val="003000CA"/>
    <w:rsid w:val="0030373C"/>
    <w:rsid w:val="00305D84"/>
    <w:rsid w:val="00311E2B"/>
    <w:rsid w:val="0031459E"/>
    <w:rsid w:val="00314D30"/>
    <w:rsid w:val="00317266"/>
    <w:rsid w:val="0032232A"/>
    <w:rsid w:val="00322353"/>
    <w:rsid w:val="00333D07"/>
    <w:rsid w:val="003379FC"/>
    <w:rsid w:val="00353E88"/>
    <w:rsid w:val="00357AFB"/>
    <w:rsid w:val="003642B8"/>
    <w:rsid w:val="00370BCF"/>
    <w:rsid w:val="00372A11"/>
    <w:rsid w:val="003735E2"/>
    <w:rsid w:val="00380731"/>
    <w:rsid w:val="00385BE1"/>
    <w:rsid w:val="00386E58"/>
    <w:rsid w:val="003906A2"/>
    <w:rsid w:val="003936A1"/>
    <w:rsid w:val="00394624"/>
    <w:rsid w:val="003A33F6"/>
    <w:rsid w:val="003A4F64"/>
    <w:rsid w:val="003A5CCD"/>
    <w:rsid w:val="003B08B9"/>
    <w:rsid w:val="003C04E3"/>
    <w:rsid w:val="003C1088"/>
    <w:rsid w:val="003C5417"/>
    <w:rsid w:val="003C5FA3"/>
    <w:rsid w:val="003D222A"/>
    <w:rsid w:val="003D4D63"/>
    <w:rsid w:val="003E1FEA"/>
    <w:rsid w:val="003E3ACE"/>
    <w:rsid w:val="003E646A"/>
    <w:rsid w:val="003E657F"/>
    <w:rsid w:val="003F54B6"/>
    <w:rsid w:val="003F6971"/>
    <w:rsid w:val="00402233"/>
    <w:rsid w:val="004035EA"/>
    <w:rsid w:val="0042174C"/>
    <w:rsid w:val="004242BC"/>
    <w:rsid w:val="00425086"/>
    <w:rsid w:val="00427BC3"/>
    <w:rsid w:val="004302F2"/>
    <w:rsid w:val="00432054"/>
    <w:rsid w:val="00432999"/>
    <w:rsid w:val="00442FF3"/>
    <w:rsid w:val="00443297"/>
    <w:rsid w:val="004502F8"/>
    <w:rsid w:val="00450B89"/>
    <w:rsid w:val="00451A9A"/>
    <w:rsid w:val="00461F09"/>
    <w:rsid w:val="0046369F"/>
    <w:rsid w:val="0047056B"/>
    <w:rsid w:val="00476FAA"/>
    <w:rsid w:val="004777C5"/>
    <w:rsid w:val="00480A25"/>
    <w:rsid w:val="0048175D"/>
    <w:rsid w:val="004856BB"/>
    <w:rsid w:val="00487C7B"/>
    <w:rsid w:val="00490130"/>
    <w:rsid w:val="0049129D"/>
    <w:rsid w:val="004923A4"/>
    <w:rsid w:val="004968CE"/>
    <w:rsid w:val="004A289B"/>
    <w:rsid w:val="004A45EF"/>
    <w:rsid w:val="004A5A26"/>
    <w:rsid w:val="004B0447"/>
    <w:rsid w:val="004B6BF9"/>
    <w:rsid w:val="004B6DC3"/>
    <w:rsid w:val="004C6388"/>
    <w:rsid w:val="004C756E"/>
    <w:rsid w:val="004C7FA2"/>
    <w:rsid w:val="004D1CF0"/>
    <w:rsid w:val="004D2163"/>
    <w:rsid w:val="004D4AAC"/>
    <w:rsid w:val="004D6053"/>
    <w:rsid w:val="004D742F"/>
    <w:rsid w:val="004E335B"/>
    <w:rsid w:val="004E33B7"/>
    <w:rsid w:val="004E626C"/>
    <w:rsid w:val="004F563A"/>
    <w:rsid w:val="005008B9"/>
    <w:rsid w:val="00500C00"/>
    <w:rsid w:val="005014C8"/>
    <w:rsid w:val="0050197D"/>
    <w:rsid w:val="00502C28"/>
    <w:rsid w:val="00503074"/>
    <w:rsid w:val="0051033A"/>
    <w:rsid w:val="00513A29"/>
    <w:rsid w:val="00514D2B"/>
    <w:rsid w:val="0051766D"/>
    <w:rsid w:val="00517AF9"/>
    <w:rsid w:val="00524F0A"/>
    <w:rsid w:val="00525C00"/>
    <w:rsid w:val="00537993"/>
    <w:rsid w:val="005422FC"/>
    <w:rsid w:val="00552B5C"/>
    <w:rsid w:val="00555F12"/>
    <w:rsid w:val="00572B50"/>
    <w:rsid w:val="00575D55"/>
    <w:rsid w:val="00585E6A"/>
    <w:rsid w:val="00590DA0"/>
    <w:rsid w:val="00594E2F"/>
    <w:rsid w:val="00595678"/>
    <w:rsid w:val="005A0AC5"/>
    <w:rsid w:val="005A1AB2"/>
    <w:rsid w:val="005B0C50"/>
    <w:rsid w:val="005C29C2"/>
    <w:rsid w:val="005C393E"/>
    <w:rsid w:val="005C7672"/>
    <w:rsid w:val="005D51E2"/>
    <w:rsid w:val="005E1308"/>
    <w:rsid w:val="005E52EE"/>
    <w:rsid w:val="005E66AB"/>
    <w:rsid w:val="005F1241"/>
    <w:rsid w:val="005F238F"/>
    <w:rsid w:val="005F7218"/>
    <w:rsid w:val="005F7597"/>
    <w:rsid w:val="00606098"/>
    <w:rsid w:val="006067FD"/>
    <w:rsid w:val="00607F8A"/>
    <w:rsid w:val="00614CB8"/>
    <w:rsid w:val="0062124B"/>
    <w:rsid w:val="006248BE"/>
    <w:rsid w:val="00624935"/>
    <w:rsid w:val="00630F9E"/>
    <w:rsid w:val="006316C0"/>
    <w:rsid w:val="006320FF"/>
    <w:rsid w:val="006359EE"/>
    <w:rsid w:val="00636B77"/>
    <w:rsid w:val="006431DB"/>
    <w:rsid w:val="00645695"/>
    <w:rsid w:val="00647158"/>
    <w:rsid w:val="00647EC2"/>
    <w:rsid w:val="00652AFC"/>
    <w:rsid w:val="00656716"/>
    <w:rsid w:val="00661232"/>
    <w:rsid w:val="00662E34"/>
    <w:rsid w:val="00663384"/>
    <w:rsid w:val="00684120"/>
    <w:rsid w:val="0068508E"/>
    <w:rsid w:val="00697A11"/>
    <w:rsid w:val="00697BCE"/>
    <w:rsid w:val="00697C11"/>
    <w:rsid w:val="006A6658"/>
    <w:rsid w:val="006B587F"/>
    <w:rsid w:val="006C2987"/>
    <w:rsid w:val="006C6AE2"/>
    <w:rsid w:val="006D2225"/>
    <w:rsid w:val="006D2354"/>
    <w:rsid w:val="006D3775"/>
    <w:rsid w:val="006D5E1F"/>
    <w:rsid w:val="006D718F"/>
    <w:rsid w:val="006E2CF0"/>
    <w:rsid w:val="006E37C1"/>
    <w:rsid w:val="006E5F37"/>
    <w:rsid w:val="006F5736"/>
    <w:rsid w:val="007026DD"/>
    <w:rsid w:val="0071583A"/>
    <w:rsid w:val="007176D6"/>
    <w:rsid w:val="00723024"/>
    <w:rsid w:val="007231C9"/>
    <w:rsid w:val="007250CD"/>
    <w:rsid w:val="00736D19"/>
    <w:rsid w:val="00737806"/>
    <w:rsid w:val="00741884"/>
    <w:rsid w:val="00742FAB"/>
    <w:rsid w:val="0075093C"/>
    <w:rsid w:val="007516DD"/>
    <w:rsid w:val="007529A5"/>
    <w:rsid w:val="00752FB6"/>
    <w:rsid w:val="0075440F"/>
    <w:rsid w:val="00754E6F"/>
    <w:rsid w:val="00756884"/>
    <w:rsid w:val="00762A6C"/>
    <w:rsid w:val="00765585"/>
    <w:rsid w:val="00766E55"/>
    <w:rsid w:val="00771B26"/>
    <w:rsid w:val="00772AC8"/>
    <w:rsid w:val="0077562A"/>
    <w:rsid w:val="00780AAC"/>
    <w:rsid w:val="007825E3"/>
    <w:rsid w:val="00782D9F"/>
    <w:rsid w:val="00783668"/>
    <w:rsid w:val="00787FC8"/>
    <w:rsid w:val="00792359"/>
    <w:rsid w:val="007936E1"/>
    <w:rsid w:val="0079740D"/>
    <w:rsid w:val="0079770A"/>
    <w:rsid w:val="007A08F9"/>
    <w:rsid w:val="007A4485"/>
    <w:rsid w:val="007A4AFA"/>
    <w:rsid w:val="007A4B14"/>
    <w:rsid w:val="007A557F"/>
    <w:rsid w:val="007B0136"/>
    <w:rsid w:val="007B13E6"/>
    <w:rsid w:val="007B406A"/>
    <w:rsid w:val="007B4727"/>
    <w:rsid w:val="007B4B4C"/>
    <w:rsid w:val="007B7330"/>
    <w:rsid w:val="007C3609"/>
    <w:rsid w:val="007D1178"/>
    <w:rsid w:val="007D5D1C"/>
    <w:rsid w:val="007E6788"/>
    <w:rsid w:val="007F4CE3"/>
    <w:rsid w:val="008007F8"/>
    <w:rsid w:val="00801FA6"/>
    <w:rsid w:val="0081387F"/>
    <w:rsid w:val="0081481C"/>
    <w:rsid w:val="00814C3A"/>
    <w:rsid w:val="008150D1"/>
    <w:rsid w:val="00816CA1"/>
    <w:rsid w:val="00821549"/>
    <w:rsid w:val="0082399D"/>
    <w:rsid w:val="00830B30"/>
    <w:rsid w:val="0083186A"/>
    <w:rsid w:val="00833C6B"/>
    <w:rsid w:val="008354BF"/>
    <w:rsid w:val="008362DE"/>
    <w:rsid w:val="00841BD3"/>
    <w:rsid w:val="00843442"/>
    <w:rsid w:val="00845514"/>
    <w:rsid w:val="00846CDE"/>
    <w:rsid w:val="0084740E"/>
    <w:rsid w:val="008534B6"/>
    <w:rsid w:val="00854E9F"/>
    <w:rsid w:val="00854EAE"/>
    <w:rsid w:val="00856383"/>
    <w:rsid w:val="00870919"/>
    <w:rsid w:val="00883676"/>
    <w:rsid w:val="00883B8A"/>
    <w:rsid w:val="008923B9"/>
    <w:rsid w:val="00892A96"/>
    <w:rsid w:val="00895A99"/>
    <w:rsid w:val="00896076"/>
    <w:rsid w:val="00896DEE"/>
    <w:rsid w:val="008A0CA2"/>
    <w:rsid w:val="008A576B"/>
    <w:rsid w:val="008B0D27"/>
    <w:rsid w:val="008B56A6"/>
    <w:rsid w:val="008C0499"/>
    <w:rsid w:val="008C4CF5"/>
    <w:rsid w:val="008C519A"/>
    <w:rsid w:val="008C5B75"/>
    <w:rsid w:val="008D0CE7"/>
    <w:rsid w:val="008D2C9E"/>
    <w:rsid w:val="008D7AE5"/>
    <w:rsid w:val="008F176E"/>
    <w:rsid w:val="008F33B3"/>
    <w:rsid w:val="008F3EC6"/>
    <w:rsid w:val="00900DF6"/>
    <w:rsid w:val="00905308"/>
    <w:rsid w:val="00913434"/>
    <w:rsid w:val="009175B4"/>
    <w:rsid w:val="009176AD"/>
    <w:rsid w:val="009177F1"/>
    <w:rsid w:val="009214C6"/>
    <w:rsid w:val="00922D05"/>
    <w:rsid w:val="009231A9"/>
    <w:rsid w:val="00923924"/>
    <w:rsid w:val="00925091"/>
    <w:rsid w:val="00931D7F"/>
    <w:rsid w:val="00935100"/>
    <w:rsid w:val="0093689E"/>
    <w:rsid w:val="009404E1"/>
    <w:rsid w:val="00942260"/>
    <w:rsid w:val="0094436B"/>
    <w:rsid w:val="00944B92"/>
    <w:rsid w:val="00945D52"/>
    <w:rsid w:val="00947B4B"/>
    <w:rsid w:val="00955AA8"/>
    <w:rsid w:val="00955B8D"/>
    <w:rsid w:val="00955EC3"/>
    <w:rsid w:val="009564A3"/>
    <w:rsid w:val="00963C53"/>
    <w:rsid w:val="0096580C"/>
    <w:rsid w:val="00965B25"/>
    <w:rsid w:val="00973BE3"/>
    <w:rsid w:val="009778A0"/>
    <w:rsid w:val="00981B13"/>
    <w:rsid w:val="009830CF"/>
    <w:rsid w:val="009832B0"/>
    <w:rsid w:val="00996D7D"/>
    <w:rsid w:val="00997EFA"/>
    <w:rsid w:val="009A0048"/>
    <w:rsid w:val="009A3286"/>
    <w:rsid w:val="009B01BA"/>
    <w:rsid w:val="009B208F"/>
    <w:rsid w:val="009B7268"/>
    <w:rsid w:val="009C491C"/>
    <w:rsid w:val="009C72B6"/>
    <w:rsid w:val="009D1493"/>
    <w:rsid w:val="009D1EC2"/>
    <w:rsid w:val="009D3158"/>
    <w:rsid w:val="009D4C17"/>
    <w:rsid w:val="009D4C9C"/>
    <w:rsid w:val="009E098A"/>
    <w:rsid w:val="009E3CA9"/>
    <w:rsid w:val="009E612A"/>
    <w:rsid w:val="009E7FD5"/>
    <w:rsid w:val="009F21E4"/>
    <w:rsid w:val="009F59C8"/>
    <w:rsid w:val="00A15ADD"/>
    <w:rsid w:val="00A2216F"/>
    <w:rsid w:val="00A24F43"/>
    <w:rsid w:val="00A25C7C"/>
    <w:rsid w:val="00A30D03"/>
    <w:rsid w:val="00A325D3"/>
    <w:rsid w:val="00A339DE"/>
    <w:rsid w:val="00A36463"/>
    <w:rsid w:val="00A40042"/>
    <w:rsid w:val="00A40E8E"/>
    <w:rsid w:val="00A430D0"/>
    <w:rsid w:val="00A44A29"/>
    <w:rsid w:val="00A45E36"/>
    <w:rsid w:val="00A46DC8"/>
    <w:rsid w:val="00A4756B"/>
    <w:rsid w:val="00A510DD"/>
    <w:rsid w:val="00A5127B"/>
    <w:rsid w:val="00A530AE"/>
    <w:rsid w:val="00A5356A"/>
    <w:rsid w:val="00A635D3"/>
    <w:rsid w:val="00A64A27"/>
    <w:rsid w:val="00A6564A"/>
    <w:rsid w:val="00A66D2B"/>
    <w:rsid w:val="00A70984"/>
    <w:rsid w:val="00A7178E"/>
    <w:rsid w:val="00A71F03"/>
    <w:rsid w:val="00A729A8"/>
    <w:rsid w:val="00A8290E"/>
    <w:rsid w:val="00A851A1"/>
    <w:rsid w:val="00A85BE0"/>
    <w:rsid w:val="00A91DE1"/>
    <w:rsid w:val="00A966C8"/>
    <w:rsid w:val="00AA10B1"/>
    <w:rsid w:val="00AC70E0"/>
    <w:rsid w:val="00AD4E1B"/>
    <w:rsid w:val="00AE2C6A"/>
    <w:rsid w:val="00AE408B"/>
    <w:rsid w:val="00AE4474"/>
    <w:rsid w:val="00AE7A68"/>
    <w:rsid w:val="00AF5F7C"/>
    <w:rsid w:val="00B024BE"/>
    <w:rsid w:val="00B024C2"/>
    <w:rsid w:val="00B03D7B"/>
    <w:rsid w:val="00B07281"/>
    <w:rsid w:val="00B07581"/>
    <w:rsid w:val="00B1054F"/>
    <w:rsid w:val="00B12BD2"/>
    <w:rsid w:val="00B13377"/>
    <w:rsid w:val="00B148CC"/>
    <w:rsid w:val="00B14C77"/>
    <w:rsid w:val="00B22DE1"/>
    <w:rsid w:val="00B3393B"/>
    <w:rsid w:val="00B36B7D"/>
    <w:rsid w:val="00B36B95"/>
    <w:rsid w:val="00B36F9C"/>
    <w:rsid w:val="00B42303"/>
    <w:rsid w:val="00B429E8"/>
    <w:rsid w:val="00B43F27"/>
    <w:rsid w:val="00B53A36"/>
    <w:rsid w:val="00B61A4E"/>
    <w:rsid w:val="00B67A28"/>
    <w:rsid w:val="00B67AA6"/>
    <w:rsid w:val="00B72AA7"/>
    <w:rsid w:val="00B736AE"/>
    <w:rsid w:val="00B77159"/>
    <w:rsid w:val="00B809F1"/>
    <w:rsid w:val="00B8180B"/>
    <w:rsid w:val="00B95F7A"/>
    <w:rsid w:val="00BA1FF9"/>
    <w:rsid w:val="00BA28C6"/>
    <w:rsid w:val="00BA3C85"/>
    <w:rsid w:val="00BA6F3A"/>
    <w:rsid w:val="00BB0813"/>
    <w:rsid w:val="00BB2CB2"/>
    <w:rsid w:val="00BB4064"/>
    <w:rsid w:val="00BB766D"/>
    <w:rsid w:val="00BC5572"/>
    <w:rsid w:val="00BC5F3D"/>
    <w:rsid w:val="00BC76FE"/>
    <w:rsid w:val="00BD0E39"/>
    <w:rsid w:val="00BD7E75"/>
    <w:rsid w:val="00BF188A"/>
    <w:rsid w:val="00BF1B05"/>
    <w:rsid w:val="00BF2AD0"/>
    <w:rsid w:val="00BF40F7"/>
    <w:rsid w:val="00BF494B"/>
    <w:rsid w:val="00C00B4F"/>
    <w:rsid w:val="00C04828"/>
    <w:rsid w:val="00C066AC"/>
    <w:rsid w:val="00C10EF9"/>
    <w:rsid w:val="00C11651"/>
    <w:rsid w:val="00C24C62"/>
    <w:rsid w:val="00C32AE9"/>
    <w:rsid w:val="00C42110"/>
    <w:rsid w:val="00C425A4"/>
    <w:rsid w:val="00C42CD7"/>
    <w:rsid w:val="00C43D83"/>
    <w:rsid w:val="00C44A5B"/>
    <w:rsid w:val="00C53EDE"/>
    <w:rsid w:val="00C57EAE"/>
    <w:rsid w:val="00C6652D"/>
    <w:rsid w:val="00C665CF"/>
    <w:rsid w:val="00C70DC2"/>
    <w:rsid w:val="00C7107B"/>
    <w:rsid w:val="00C747A6"/>
    <w:rsid w:val="00C76038"/>
    <w:rsid w:val="00C779BF"/>
    <w:rsid w:val="00C80FCD"/>
    <w:rsid w:val="00C82C3B"/>
    <w:rsid w:val="00C833CE"/>
    <w:rsid w:val="00C91979"/>
    <w:rsid w:val="00C93F8A"/>
    <w:rsid w:val="00C9481C"/>
    <w:rsid w:val="00C967C5"/>
    <w:rsid w:val="00C97140"/>
    <w:rsid w:val="00CA62C3"/>
    <w:rsid w:val="00CA7CE3"/>
    <w:rsid w:val="00CB6A36"/>
    <w:rsid w:val="00CB7BCB"/>
    <w:rsid w:val="00CC7554"/>
    <w:rsid w:val="00CD0A2B"/>
    <w:rsid w:val="00CD26E1"/>
    <w:rsid w:val="00CD2CF3"/>
    <w:rsid w:val="00CD7415"/>
    <w:rsid w:val="00CD7C78"/>
    <w:rsid w:val="00CE081E"/>
    <w:rsid w:val="00CE09D5"/>
    <w:rsid w:val="00CE309C"/>
    <w:rsid w:val="00CE67F7"/>
    <w:rsid w:val="00CE74EC"/>
    <w:rsid w:val="00CE7A9C"/>
    <w:rsid w:val="00CF012E"/>
    <w:rsid w:val="00CF0640"/>
    <w:rsid w:val="00CF1CD0"/>
    <w:rsid w:val="00CF54C0"/>
    <w:rsid w:val="00D00EE7"/>
    <w:rsid w:val="00D01985"/>
    <w:rsid w:val="00D11A56"/>
    <w:rsid w:val="00D14F34"/>
    <w:rsid w:val="00D153AF"/>
    <w:rsid w:val="00D20993"/>
    <w:rsid w:val="00D21860"/>
    <w:rsid w:val="00D22274"/>
    <w:rsid w:val="00D228BD"/>
    <w:rsid w:val="00D2338D"/>
    <w:rsid w:val="00D352CA"/>
    <w:rsid w:val="00D4120B"/>
    <w:rsid w:val="00D41596"/>
    <w:rsid w:val="00D41904"/>
    <w:rsid w:val="00D52759"/>
    <w:rsid w:val="00D52CAB"/>
    <w:rsid w:val="00D610F3"/>
    <w:rsid w:val="00D629DC"/>
    <w:rsid w:val="00D630E1"/>
    <w:rsid w:val="00D730AB"/>
    <w:rsid w:val="00D74D87"/>
    <w:rsid w:val="00D7655B"/>
    <w:rsid w:val="00D80759"/>
    <w:rsid w:val="00D8566D"/>
    <w:rsid w:val="00D90950"/>
    <w:rsid w:val="00D9534D"/>
    <w:rsid w:val="00DA0CCD"/>
    <w:rsid w:val="00DA5A70"/>
    <w:rsid w:val="00DA7EC9"/>
    <w:rsid w:val="00DB11DA"/>
    <w:rsid w:val="00DB7B5C"/>
    <w:rsid w:val="00DC05E9"/>
    <w:rsid w:val="00DC1D2E"/>
    <w:rsid w:val="00DC2472"/>
    <w:rsid w:val="00DD446B"/>
    <w:rsid w:val="00DD5A29"/>
    <w:rsid w:val="00DD641F"/>
    <w:rsid w:val="00DE4236"/>
    <w:rsid w:val="00DE6D31"/>
    <w:rsid w:val="00DE7E0C"/>
    <w:rsid w:val="00DF0038"/>
    <w:rsid w:val="00DF06DD"/>
    <w:rsid w:val="00DF24B0"/>
    <w:rsid w:val="00DF2E14"/>
    <w:rsid w:val="00DF5A10"/>
    <w:rsid w:val="00E01CC5"/>
    <w:rsid w:val="00E020ED"/>
    <w:rsid w:val="00E10D18"/>
    <w:rsid w:val="00E12E17"/>
    <w:rsid w:val="00E152A0"/>
    <w:rsid w:val="00E200E9"/>
    <w:rsid w:val="00E31C55"/>
    <w:rsid w:val="00E324DA"/>
    <w:rsid w:val="00E325EC"/>
    <w:rsid w:val="00E34ECF"/>
    <w:rsid w:val="00E41344"/>
    <w:rsid w:val="00E42652"/>
    <w:rsid w:val="00E42B15"/>
    <w:rsid w:val="00E440FB"/>
    <w:rsid w:val="00E458ED"/>
    <w:rsid w:val="00E54F90"/>
    <w:rsid w:val="00E574FB"/>
    <w:rsid w:val="00E57EF9"/>
    <w:rsid w:val="00E7119B"/>
    <w:rsid w:val="00E82BC9"/>
    <w:rsid w:val="00E8384F"/>
    <w:rsid w:val="00E863C1"/>
    <w:rsid w:val="00E86818"/>
    <w:rsid w:val="00E86EAD"/>
    <w:rsid w:val="00E87F27"/>
    <w:rsid w:val="00E901EC"/>
    <w:rsid w:val="00E91C53"/>
    <w:rsid w:val="00E9494F"/>
    <w:rsid w:val="00E95823"/>
    <w:rsid w:val="00E9590E"/>
    <w:rsid w:val="00E95FE5"/>
    <w:rsid w:val="00EA360D"/>
    <w:rsid w:val="00EA619C"/>
    <w:rsid w:val="00EA6C46"/>
    <w:rsid w:val="00EA76EC"/>
    <w:rsid w:val="00EB03CB"/>
    <w:rsid w:val="00EC3FA6"/>
    <w:rsid w:val="00EC4DEA"/>
    <w:rsid w:val="00EC5F0F"/>
    <w:rsid w:val="00EC7C21"/>
    <w:rsid w:val="00EC7D31"/>
    <w:rsid w:val="00ED1135"/>
    <w:rsid w:val="00ED3341"/>
    <w:rsid w:val="00ED53AF"/>
    <w:rsid w:val="00ED72E7"/>
    <w:rsid w:val="00EE02E1"/>
    <w:rsid w:val="00EE0BE2"/>
    <w:rsid w:val="00EE39ED"/>
    <w:rsid w:val="00EF5226"/>
    <w:rsid w:val="00F00102"/>
    <w:rsid w:val="00F03B75"/>
    <w:rsid w:val="00F03D56"/>
    <w:rsid w:val="00F04466"/>
    <w:rsid w:val="00F14563"/>
    <w:rsid w:val="00F15115"/>
    <w:rsid w:val="00F20E55"/>
    <w:rsid w:val="00F30BC7"/>
    <w:rsid w:val="00F30EA6"/>
    <w:rsid w:val="00F329B1"/>
    <w:rsid w:val="00F341BE"/>
    <w:rsid w:val="00F34BC3"/>
    <w:rsid w:val="00F361E0"/>
    <w:rsid w:val="00F363B9"/>
    <w:rsid w:val="00F37B40"/>
    <w:rsid w:val="00F37D3F"/>
    <w:rsid w:val="00F4094D"/>
    <w:rsid w:val="00F40F18"/>
    <w:rsid w:val="00F43EA3"/>
    <w:rsid w:val="00F44032"/>
    <w:rsid w:val="00F47AF4"/>
    <w:rsid w:val="00F51D84"/>
    <w:rsid w:val="00F55642"/>
    <w:rsid w:val="00F57972"/>
    <w:rsid w:val="00F57B8C"/>
    <w:rsid w:val="00F60FB3"/>
    <w:rsid w:val="00F674C6"/>
    <w:rsid w:val="00F67A74"/>
    <w:rsid w:val="00F83106"/>
    <w:rsid w:val="00F90AAE"/>
    <w:rsid w:val="00F922F3"/>
    <w:rsid w:val="00F943E8"/>
    <w:rsid w:val="00FA5607"/>
    <w:rsid w:val="00FA5A08"/>
    <w:rsid w:val="00FA72F4"/>
    <w:rsid w:val="00FC1D22"/>
    <w:rsid w:val="00FC26BD"/>
    <w:rsid w:val="00FC2BBE"/>
    <w:rsid w:val="00FC5E49"/>
    <w:rsid w:val="00FD06D9"/>
    <w:rsid w:val="00FD0E64"/>
    <w:rsid w:val="00FD1685"/>
    <w:rsid w:val="00FE0310"/>
    <w:rsid w:val="00FE08B5"/>
    <w:rsid w:val="00FE306F"/>
    <w:rsid w:val="00FE6EBF"/>
    <w:rsid w:val="00FF0647"/>
    <w:rsid w:val="00FF07A6"/>
    <w:rsid w:val="00FF7CE0"/>
    <w:rsid w:val="03008667"/>
    <w:rsid w:val="039E2FA8"/>
    <w:rsid w:val="0770E4A1"/>
    <w:rsid w:val="07DFAFE9"/>
    <w:rsid w:val="083C182C"/>
    <w:rsid w:val="08848163"/>
    <w:rsid w:val="088B3C28"/>
    <w:rsid w:val="0A0E2526"/>
    <w:rsid w:val="0C44A7A6"/>
    <w:rsid w:val="0E55F391"/>
    <w:rsid w:val="1131A94B"/>
    <w:rsid w:val="115A4BF0"/>
    <w:rsid w:val="13D30EEE"/>
    <w:rsid w:val="13F35EF6"/>
    <w:rsid w:val="14DB251E"/>
    <w:rsid w:val="15BC6E7B"/>
    <w:rsid w:val="1959A42D"/>
    <w:rsid w:val="199E1C78"/>
    <w:rsid w:val="1A0C2BE2"/>
    <w:rsid w:val="1AA02C97"/>
    <w:rsid w:val="1AFE0793"/>
    <w:rsid w:val="1BC54ED9"/>
    <w:rsid w:val="1C6A97C6"/>
    <w:rsid w:val="1DFE7FD7"/>
    <w:rsid w:val="1F3324CD"/>
    <w:rsid w:val="228A9CDA"/>
    <w:rsid w:val="24E1C4B4"/>
    <w:rsid w:val="27C98075"/>
    <w:rsid w:val="2B27A4B9"/>
    <w:rsid w:val="2B330ED2"/>
    <w:rsid w:val="2CB25538"/>
    <w:rsid w:val="2CFE8D9D"/>
    <w:rsid w:val="2E2FE951"/>
    <w:rsid w:val="2E6695E9"/>
    <w:rsid w:val="2F68584B"/>
    <w:rsid w:val="34CCCEDE"/>
    <w:rsid w:val="34CDDCF5"/>
    <w:rsid w:val="3526ADF3"/>
    <w:rsid w:val="3A351914"/>
    <w:rsid w:val="3B2000B6"/>
    <w:rsid w:val="3C945A99"/>
    <w:rsid w:val="3CD4A08B"/>
    <w:rsid w:val="3CD8756F"/>
    <w:rsid w:val="3E1BE8FB"/>
    <w:rsid w:val="42C4B426"/>
    <w:rsid w:val="44847178"/>
    <w:rsid w:val="46356C27"/>
    <w:rsid w:val="466AC2DF"/>
    <w:rsid w:val="471F95E8"/>
    <w:rsid w:val="481A912D"/>
    <w:rsid w:val="48808BEF"/>
    <w:rsid w:val="48AD6B87"/>
    <w:rsid w:val="48BB285B"/>
    <w:rsid w:val="4D59EA81"/>
    <w:rsid w:val="503A2A8D"/>
    <w:rsid w:val="5252F51F"/>
    <w:rsid w:val="527B870F"/>
    <w:rsid w:val="53020A27"/>
    <w:rsid w:val="562BF9D9"/>
    <w:rsid w:val="565199BE"/>
    <w:rsid w:val="582FBB2D"/>
    <w:rsid w:val="5A8A17FB"/>
    <w:rsid w:val="5A9A2B7C"/>
    <w:rsid w:val="5C165A07"/>
    <w:rsid w:val="5E51A6B4"/>
    <w:rsid w:val="5EC96338"/>
    <w:rsid w:val="5F39036C"/>
    <w:rsid w:val="5FFB32F8"/>
    <w:rsid w:val="6132CA4D"/>
    <w:rsid w:val="6294218E"/>
    <w:rsid w:val="65FE7903"/>
    <w:rsid w:val="6657BC39"/>
    <w:rsid w:val="67276FCB"/>
    <w:rsid w:val="689EB472"/>
    <w:rsid w:val="69EC3448"/>
    <w:rsid w:val="6DD0F816"/>
    <w:rsid w:val="6E7354B9"/>
    <w:rsid w:val="71399EAB"/>
    <w:rsid w:val="72828B6D"/>
    <w:rsid w:val="729B0D57"/>
    <w:rsid w:val="72C6B157"/>
    <w:rsid w:val="73D44687"/>
    <w:rsid w:val="7D611C7B"/>
    <w:rsid w:val="7E3A8A84"/>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7EBC5"/>
  <w15:chartTrackingRefBased/>
  <w15:docId w15:val="{12AAE41A-5E89-456A-B528-E86BE5A02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E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64B5"/>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Strong">
    <w:name w:val="Strong"/>
    <w:basedOn w:val="DefaultParagraphFont"/>
    <w:uiPriority w:val="22"/>
    <w:qFormat/>
    <w:rsid w:val="002764B5"/>
    <w:rPr>
      <w:b/>
      <w:bCs/>
    </w:rPr>
  </w:style>
  <w:style w:type="character" w:styleId="Emphasis">
    <w:name w:val="Emphasis"/>
    <w:basedOn w:val="DefaultParagraphFont"/>
    <w:uiPriority w:val="20"/>
    <w:qFormat/>
    <w:rsid w:val="00F674C6"/>
    <w:rPr>
      <w:i/>
      <w:iCs/>
    </w:rPr>
  </w:style>
  <w:style w:type="character" w:styleId="Hyperlink">
    <w:name w:val="Hyperlink"/>
    <w:basedOn w:val="DefaultParagraphFont"/>
    <w:uiPriority w:val="99"/>
    <w:unhideWhenUsed/>
    <w:rsid w:val="00595678"/>
    <w:rPr>
      <w:color w:val="0000FF"/>
      <w:u w:val="single"/>
    </w:rPr>
  </w:style>
  <w:style w:type="paragraph" w:styleId="ListParagraph">
    <w:name w:val="List Paragraph"/>
    <w:basedOn w:val="Normal"/>
    <w:uiPriority w:val="34"/>
    <w:qFormat/>
    <w:rsid w:val="00B95F7A"/>
    <w:pPr>
      <w:ind w:left="720"/>
      <w:contextualSpacing/>
    </w:pPr>
  </w:style>
  <w:style w:type="character" w:customStyle="1" w:styleId="c-pjlv">
    <w:name w:val="c-pjlv"/>
    <w:basedOn w:val="DefaultParagraphFont"/>
    <w:rsid w:val="00EC4DEA"/>
  </w:style>
  <w:style w:type="character" w:styleId="CommentReference">
    <w:name w:val="annotation reference"/>
    <w:basedOn w:val="DefaultParagraphFont"/>
    <w:uiPriority w:val="99"/>
    <w:semiHidden/>
    <w:unhideWhenUsed/>
    <w:rsid w:val="00A40042"/>
    <w:rPr>
      <w:sz w:val="16"/>
      <w:szCs w:val="16"/>
    </w:rPr>
  </w:style>
  <w:style w:type="paragraph" w:styleId="CommentText">
    <w:name w:val="annotation text"/>
    <w:basedOn w:val="Normal"/>
    <w:link w:val="CommentTextChar"/>
    <w:uiPriority w:val="99"/>
    <w:unhideWhenUsed/>
    <w:rsid w:val="00A40042"/>
    <w:pPr>
      <w:spacing w:line="240" w:lineRule="auto"/>
    </w:pPr>
    <w:rPr>
      <w:rFonts w:ascii="Times New Roman" w:eastAsiaTheme="minorEastAsia" w:hAnsi="Times New Roman"/>
      <w:sz w:val="20"/>
      <w:szCs w:val="20"/>
      <w:lang w:val="en-US" w:eastAsia="zh-CN"/>
    </w:rPr>
  </w:style>
  <w:style w:type="character" w:customStyle="1" w:styleId="CommentTextChar">
    <w:name w:val="Comment Text Char"/>
    <w:basedOn w:val="DefaultParagraphFont"/>
    <w:link w:val="CommentText"/>
    <w:uiPriority w:val="99"/>
    <w:rsid w:val="00A40042"/>
    <w:rPr>
      <w:rFonts w:ascii="Times New Roman" w:eastAsiaTheme="minorEastAsia" w:hAnsi="Times New Roman"/>
      <w:sz w:val="20"/>
      <w:szCs w:val="20"/>
      <w:lang w:val="en-US" w:eastAsia="zh-CN"/>
    </w:rPr>
  </w:style>
  <w:style w:type="paragraph" w:styleId="BalloonText">
    <w:name w:val="Balloon Text"/>
    <w:basedOn w:val="Normal"/>
    <w:link w:val="BalloonTextChar"/>
    <w:uiPriority w:val="99"/>
    <w:semiHidden/>
    <w:unhideWhenUsed/>
    <w:rsid w:val="00A400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04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C33B3"/>
    <w:rPr>
      <w:rFonts w:asciiTheme="minorHAnsi" w:eastAsiaTheme="minorHAnsi" w:hAnsiTheme="minorHAnsi"/>
      <w:b/>
      <w:bCs/>
      <w:lang w:val="et-EE" w:eastAsia="en-US"/>
    </w:rPr>
  </w:style>
  <w:style w:type="character" w:customStyle="1" w:styleId="CommentSubjectChar">
    <w:name w:val="Comment Subject Char"/>
    <w:basedOn w:val="CommentTextChar"/>
    <w:link w:val="CommentSubject"/>
    <w:uiPriority w:val="99"/>
    <w:semiHidden/>
    <w:rsid w:val="002C33B3"/>
    <w:rPr>
      <w:rFonts w:ascii="Times New Roman" w:eastAsiaTheme="minorEastAsia" w:hAnsi="Times New Roman"/>
      <w:b/>
      <w:bCs/>
      <w:sz w:val="20"/>
      <w:szCs w:val="20"/>
      <w:lang w:val="en-US" w:eastAsia="zh-CN"/>
    </w:rPr>
  </w:style>
  <w:style w:type="character" w:customStyle="1" w:styleId="Mention">
    <w:name w:val="Mention"/>
    <w:basedOn w:val="DefaultParagraphFont"/>
    <w:uiPriority w:val="99"/>
    <w:unhideWhenUsed/>
    <w:rsid w:val="000E5099"/>
    <w:rPr>
      <w:color w:val="2B579A"/>
      <w:shd w:val="clear" w:color="auto" w:fill="E1DFDD"/>
    </w:rPr>
  </w:style>
  <w:style w:type="paragraph" w:styleId="Revision">
    <w:name w:val="Revision"/>
    <w:hidden/>
    <w:uiPriority w:val="99"/>
    <w:semiHidden/>
    <w:rsid w:val="0094436B"/>
    <w:pPr>
      <w:spacing w:after="0" w:line="240" w:lineRule="auto"/>
    </w:pPr>
  </w:style>
  <w:style w:type="character" w:styleId="FollowedHyperlink">
    <w:name w:val="FollowedHyperlink"/>
    <w:basedOn w:val="DefaultParagraphFont"/>
    <w:uiPriority w:val="99"/>
    <w:semiHidden/>
    <w:unhideWhenUsed/>
    <w:rsid w:val="004F563A"/>
    <w:rPr>
      <w:color w:val="954F72" w:themeColor="followedHyperlink"/>
      <w:u w:val="single"/>
    </w:rPr>
  </w:style>
  <w:style w:type="character" w:customStyle="1" w:styleId="anchor-text">
    <w:name w:val="anchor-text"/>
    <w:basedOn w:val="DefaultParagraphFont"/>
    <w:rsid w:val="00780AAC"/>
  </w:style>
  <w:style w:type="paragraph" w:customStyle="1" w:styleId="MDPI16affiliation">
    <w:name w:val="MDPI_1.6_affiliation"/>
    <w:qFormat/>
    <w:rsid w:val="00922D05"/>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styleId="Header">
    <w:name w:val="header"/>
    <w:basedOn w:val="Normal"/>
    <w:link w:val="HeaderChar"/>
    <w:uiPriority w:val="99"/>
    <w:unhideWhenUsed/>
    <w:rsid w:val="00086332"/>
    <w:pPr>
      <w:tabs>
        <w:tab w:val="center" w:pos="4536"/>
        <w:tab w:val="right" w:pos="9072"/>
      </w:tabs>
      <w:spacing w:after="0" w:line="240" w:lineRule="auto"/>
    </w:pPr>
  </w:style>
  <w:style w:type="character" w:customStyle="1" w:styleId="HeaderChar">
    <w:name w:val="Header Char"/>
    <w:basedOn w:val="DefaultParagraphFont"/>
    <w:link w:val="Header"/>
    <w:uiPriority w:val="99"/>
    <w:rsid w:val="00086332"/>
  </w:style>
  <w:style w:type="paragraph" w:styleId="Footer">
    <w:name w:val="footer"/>
    <w:basedOn w:val="Normal"/>
    <w:link w:val="FooterChar"/>
    <w:uiPriority w:val="99"/>
    <w:unhideWhenUsed/>
    <w:rsid w:val="00086332"/>
    <w:pPr>
      <w:tabs>
        <w:tab w:val="center" w:pos="4536"/>
        <w:tab w:val="right" w:pos="9072"/>
      </w:tabs>
      <w:spacing w:after="0" w:line="240" w:lineRule="auto"/>
    </w:pPr>
  </w:style>
  <w:style w:type="character" w:customStyle="1" w:styleId="FooterChar">
    <w:name w:val="Footer Char"/>
    <w:basedOn w:val="DefaultParagraphFont"/>
    <w:link w:val="Footer"/>
    <w:uiPriority w:val="99"/>
    <w:rsid w:val="00086332"/>
  </w:style>
  <w:style w:type="paragraph" w:customStyle="1" w:styleId="Standard">
    <w:name w:val="Standard"/>
    <w:rsid w:val="007C3609"/>
    <w:pPr>
      <w:widowControl w:val="0"/>
      <w:suppressAutoHyphens/>
      <w:autoSpaceDN w:val="0"/>
      <w:spacing w:after="0" w:line="240" w:lineRule="auto"/>
      <w:textAlignment w:val="baseline"/>
    </w:pPr>
    <w:rPr>
      <w:rFonts w:ascii="Times New Roman" w:eastAsia="SimSun" w:hAnsi="Times New Roman" w:cs="Mangal"/>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57662">
      <w:bodyDiv w:val="1"/>
      <w:marLeft w:val="0"/>
      <w:marRight w:val="0"/>
      <w:marTop w:val="0"/>
      <w:marBottom w:val="0"/>
      <w:divBdr>
        <w:top w:val="none" w:sz="0" w:space="0" w:color="auto"/>
        <w:left w:val="none" w:sz="0" w:space="0" w:color="auto"/>
        <w:bottom w:val="none" w:sz="0" w:space="0" w:color="auto"/>
        <w:right w:val="none" w:sz="0" w:space="0" w:color="auto"/>
      </w:divBdr>
    </w:div>
    <w:div w:id="389769279">
      <w:bodyDiv w:val="1"/>
      <w:marLeft w:val="0"/>
      <w:marRight w:val="0"/>
      <w:marTop w:val="0"/>
      <w:marBottom w:val="0"/>
      <w:divBdr>
        <w:top w:val="none" w:sz="0" w:space="0" w:color="auto"/>
        <w:left w:val="none" w:sz="0" w:space="0" w:color="auto"/>
        <w:bottom w:val="none" w:sz="0" w:space="0" w:color="auto"/>
        <w:right w:val="none" w:sz="0" w:space="0" w:color="auto"/>
      </w:divBdr>
    </w:div>
    <w:div w:id="466319492">
      <w:bodyDiv w:val="1"/>
      <w:marLeft w:val="0"/>
      <w:marRight w:val="0"/>
      <w:marTop w:val="0"/>
      <w:marBottom w:val="0"/>
      <w:divBdr>
        <w:top w:val="none" w:sz="0" w:space="0" w:color="auto"/>
        <w:left w:val="none" w:sz="0" w:space="0" w:color="auto"/>
        <w:bottom w:val="none" w:sz="0" w:space="0" w:color="auto"/>
        <w:right w:val="none" w:sz="0" w:space="0" w:color="auto"/>
      </w:divBdr>
    </w:div>
    <w:div w:id="568464278">
      <w:bodyDiv w:val="1"/>
      <w:marLeft w:val="0"/>
      <w:marRight w:val="0"/>
      <w:marTop w:val="0"/>
      <w:marBottom w:val="0"/>
      <w:divBdr>
        <w:top w:val="none" w:sz="0" w:space="0" w:color="auto"/>
        <w:left w:val="none" w:sz="0" w:space="0" w:color="auto"/>
        <w:bottom w:val="none" w:sz="0" w:space="0" w:color="auto"/>
        <w:right w:val="none" w:sz="0" w:space="0" w:color="auto"/>
      </w:divBdr>
    </w:div>
    <w:div w:id="572084926">
      <w:bodyDiv w:val="1"/>
      <w:marLeft w:val="0"/>
      <w:marRight w:val="0"/>
      <w:marTop w:val="0"/>
      <w:marBottom w:val="0"/>
      <w:divBdr>
        <w:top w:val="none" w:sz="0" w:space="0" w:color="auto"/>
        <w:left w:val="none" w:sz="0" w:space="0" w:color="auto"/>
        <w:bottom w:val="none" w:sz="0" w:space="0" w:color="auto"/>
        <w:right w:val="none" w:sz="0" w:space="0" w:color="auto"/>
      </w:divBdr>
    </w:div>
    <w:div w:id="604340155">
      <w:bodyDiv w:val="1"/>
      <w:marLeft w:val="0"/>
      <w:marRight w:val="0"/>
      <w:marTop w:val="0"/>
      <w:marBottom w:val="0"/>
      <w:divBdr>
        <w:top w:val="none" w:sz="0" w:space="0" w:color="auto"/>
        <w:left w:val="none" w:sz="0" w:space="0" w:color="auto"/>
        <w:bottom w:val="none" w:sz="0" w:space="0" w:color="auto"/>
        <w:right w:val="none" w:sz="0" w:space="0" w:color="auto"/>
      </w:divBdr>
    </w:div>
    <w:div w:id="697193783">
      <w:bodyDiv w:val="1"/>
      <w:marLeft w:val="0"/>
      <w:marRight w:val="0"/>
      <w:marTop w:val="0"/>
      <w:marBottom w:val="0"/>
      <w:divBdr>
        <w:top w:val="none" w:sz="0" w:space="0" w:color="auto"/>
        <w:left w:val="none" w:sz="0" w:space="0" w:color="auto"/>
        <w:bottom w:val="none" w:sz="0" w:space="0" w:color="auto"/>
        <w:right w:val="none" w:sz="0" w:space="0" w:color="auto"/>
      </w:divBdr>
    </w:div>
    <w:div w:id="717240545">
      <w:bodyDiv w:val="1"/>
      <w:marLeft w:val="0"/>
      <w:marRight w:val="0"/>
      <w:marTop w:val="0"/>
      <w:marBottom w:val="0"/>
      <w:divBdr>
        <w:top w:val="none" w:sz="0" w:space="0" w:color="auto"/>
        <w:left w:val="none" w:sz="0" w:space="0" w:color="auto"/>
        <w:bottom w:val="none" w:sz="0" w:space="0" w:color="auto"/>
        <w:right w:val="none" w:sz="0" w:space="0" w:color="auto"/>
      </w:divBdr>
    </w:div>
    <w:div w:id="736586064">
      <w:bodyDiv w:val="1"/>
      <w:marLeft w:val="0"/>
      <w:marRight w:val="0"/>
      <w:marTop w:val="0"/>
      <w:marBottom w:val="0"/>
      <w:divBdr>
        <w:top w:val="none" w:sz="0" w:space="0" w:color="auto"/>
        <w:left w:val="none" w:sz="0" w:space="0" w:color="auto"/>
        <w:bottom w:val="none" w:sz="0" w:space="0" w:color="auto"/>
        <w:right w:val="none" w:sz="0" w:space="0" w:color="auto"/>
      </w:divBdr>
    </w:div>
    <w:div w:id="974221373">
      <w:bodyDiv w:val="1"/>
      <w:marLeft w:val="0"/>
      <w:marRight w:val="0"/>
      <w:marTop w:val="0"/>
      <w:marBottom w:val="0"/>
      <w:divBdr>
        <w:top w:val="none" w:sz="0" w:space="0" w:color="auto"/>
        <w:left w:val="none" w:sz="0" w:space="0" w:color="auto"/>
        <w:bottom w:val="none" w:sz="0" w:space="0" w:color="auto"/>
        <w:right w:val="none" w:sz="0" w:space="0" w:color="auto"/>
      </w:divBdr>
    </w:div>
    <w:div w:id="986127793">
      <w:bodyDiv w:val="1"/>
      <w:marLeft w:val="0"/>
      <w:marRight w:val="0"/>
      <w:marTop w:val="0"/>
      <w:marBottom w:val="0"/>
      <w:divBdr>
        <w:top w:val="none" w:sz="0" w:space="0" w:color="auto"/>
        <w:left w:val="none" w:sz="0" w:space="0" w:color="auto"/>
        <w:bottom w:val="none" w:sz="0" w:space="0" w:color="auto"/>
        <w:right w:val="none" w:sz="0" w:space="0" w:color="auto"/>
      </w:divBdr>
    </w:div>
    <w:div w:id="987515834">
      <w:bodyDiv w:val="1"/>
      <w:marLeft w:val="0"/>
      <w:marRight w:val="0"/>
      <w:marTop w:val="0"/>
      <w:marBottom w:val="0"/>
      <w:divBdr>
        <w:top w:val="none" w:sz="0" w:space="0" w:color="auto"/>
        <w:left w:val="none" w:sz="0" w:space="0" w:color="auto"/>
        <w:bottom w:val="none" w:sz="0" w:space="0" w:color="auto"/>
        <w:right w:val="none" w:sz="0" w:space="0" w:color="auto"/>
      </w:divBdr>
    </w:div>
    <w:div w:id="992876942">
      <w:bodyDiv w:val="1"/>
      <w:marLeft w:val="0"/>
      <w:marRight w:val="0"/>
      <w:marTop w:val="0"/>
      <w:marBottom w:val="0"/>
      <w:divBdr>
        <w:top w:val="none" w:sz="0" w:space="0" w:color="auto"/>
        <w:left w:val="none" w:sz="0" w:space="0" w:color="auto"/>
        <w:bottom w:val="none" w:sz="0" w:space="0" w:color="auto"/>
        <w:right w:val="none" w:sz="0" w:space="0" w:color="auto"/>
      </w:divBdr>
    </w:div>
    <w:div w:id="1010058541">
      <w:bodyDiv w:val="1"/>
      <w:marLeft w:val="0"/>
      <w:marRight w:val="0"/>
      <w:marTop w:val="0"/>
      <w:marBottom w:val="0"/>
      <w:divBdr>
        <w:top w:val="none" w:sz="0" w:space="0" w:color="auto"/>
        <w:left w:val="none" w:sz="0" w:space="0" w:color="auto"/>
        <w:bottom w:val="none" w:sz="0" w:space="0" w:color="auto"/>
        <w:right w:val="none" w:sz="0" w:space="0" w:color="auto"/>
      </w:divBdr>
    </w:div>
    <w:div w:id="1064446388">
      <w:bodyDiv w:val="1"/>
      <w:marLeft w:val="0"/>
      <w:marRight w:val="0"/>
      <w:marTop w:val="0"/>
      <w:marBottom w:val="0"/>
      <w:divBdr>
        <w:top w:val="none" w:sz="0" w:space="0" w:color="auto"/>
        <w:left w:val="none" w:sz="0" w:space="0" w:color="auto"/>
        <w:bottom w:val="none" w:sz="0" w:space="0" w:color="auto"/>
        <w:right w:val="none" w:sz="0" w:space="0" w:color="auto"/>
      </w:divBdr>
    </w:div>
    <w:div w:id="1145008369">
      <w:bodyDiv w:val="1"/>
      <w:marLeft w:val="0"/>
      <w:marRight w:val="0"/>
      <w:marTop w:val="0"/>
      <w:marBottom w:val="0"/>
      <w:divBdr>
        <w:top w:val="none" w:sz="0" w:space="0" w:color="auto"/>
        <w:left w:val="none" w:sz="0" w:space="0" w:color="auto"/>
        <w:bottom w:val="none" w:sz="0" w:space="0" w:color="auto"/>
        <w:right w:val="none" w:sz="0" w:space="0" w:color="auto"/>
      </w:divBdr>
    </w:div>
    <w:div w:id="1160393016">
      <w:bodyDiv w:val="1"/>
      <w:marLeft w:val="0"/>
      <w:marRight w:val="0"/>
      <w:marTop w:val="0"/>
      <w:marBottom w:val="0"/>
      <w:divBdr>
        <w:top w:val="none" w:sz="0" w:space="0" w:color="auto"/>
        <w:left w:val="none" w:sz="0" w:space="0" w:color="auto"/>
        <w:bottom w:val="none" w:sz="0" w:space="0" w:color="auto"/>
        <w:right w:val="none" w:sz="0" w:space="0" w:color="auto"/>
      </w:divBdr>
    </w:div>
    <w:div w:id="1165243350">
      <w:bodyDiv w:val="1"/>
      <w:marLeft w:val="0"/>
      <w:marRight w:val="0"/>
      <w:marTop w:val="0"/>
      <w:marBottom w:val="0"/>
      <w:divBdr>
        <w:top w:val="none" w:sz="0" w:space="0" w:color="auto"/>
        <w:left w:val="none" w:sz="0" w:space="0" w:color="auto"/>
        <w:bottom w:val="none" w:sz="0" w:space="0" w:color="auto"/>
        <w:right w:val="none" w:sz="0" w:space="0" w:color="auto"/>
      </w:divBdr>
    </w:div>
    <w:div w:id="1284463789">
      <w:bodyDiv w:val="1"/>
      <w:marLeft w:val="0"/>
      <w:marRight w:val="0"/>
      <w:marTop w:val="0"/>
      <w:marBottom w:val="0"/>
      <w:divBdr>
        <w:top w:val="none" w:sz="0" w:space="0" w:color="auto"/>
        <w:left w:val="none" w:sz="0" w:space="0" w:color="auto"/>
        <w:bottom w:val="none" w:sz="0" w:space="0" w:color="auto"/>
        <w:right w:val="none" w:sz="0" w:space="0" w:color="auto"/>
      </w:divBdr>
    </w:div>
    <w:div w:id="1329212528">
      <w:bodyDiv w:val="1"/>
      <w:marLeft w:val="0"/>
      <w:marRight w:val="0"/>
      <w:marTop w:val="0"/>
      <w:marBottom w:val="0"/>
      <w:divBdr>
        <w:top w:val="none" w:sz="0" w:space="0" w:color="auto"/>
        <w:left w:val="none" w:sz="0" w:space="0" w:color="auto"/>
        <w:bottom w:val="none" w:sz="0" w:space="0" w:color="auto"/>
        <w:right w:val="none" w:sz="0" w:space="0" w:color="auto"/>
      </w:divBdr>
    </w:div>
    <w:div w:id="1338120876">
      <w:bodyDiv w:val="1"/>
      <w:marLeft w:val="0"/>
      <w:marRight w:val="0"/>
      <w:marTop w:val="0"/>
      <w:marBottom w:val="0"/>
      <w:divBdr>
        <w:top w:val="none" w:sz="0" w:space="0" w:color="auto"/>
        <w:left w:val="none" w:sz="0" w:space="0" w:color="auto"/>
        <w:bottom w:val="none" w:sz="0" w:space="0" w:color="auto"/>
        <w:right w:val="none" w:sz="0" w:space="0" w:color="auto"/>
      </w:divBdr>
    </w:div>
    <w:div w:id="1461878093">
      <w:bodyDiv w:val="1"/>
      <w:marLeft w:val="0"/>
      <w:marRight w:val="0"/>
      <w:marTop w:val="0"/>
      <w:marBottom w:val="0"/>
      <w:divBdr>
        <w:top w:val="none" w:sz="0" w:space="0" w:color="auto"/>
        <w:left w:val="none" w:sz="0" w:space="0" w:color="auto"/>
        <w:bottom w:val="none" w:sz="0" w:space="0" w:color="auto"/>
        <w:right w:val="none" w:sz="0" w:space="0" w:color="auto"/>
      </w:divBdr>
    </w:div>
    <w:div w:id="1647050833">
      <w:bodyDiv w:val="1"/>
      <w:marLeft w:val="0"/>
      <w:marRight w:val="0"/>
      <w:marTop w:val="0"/>
      <w:marBottom w:val="0"/>
      <w:divBdr>
        <w:top w:val="none" w:sz="0" w:space="0" w:color="auto"/>
        <w:left w:val="none" w:sz="0" w:space="0" w:color="auto"/>
        <w:bottom w:val="none" w:sz="0" w:space="0" w:color="auto"/>
        <w:right w:val="none" w:sz="0" w:space="0" w:color="auto"/>
      </w:divBdr>
    </w:div>
    <w:div w:id="1881043276">
      <w:bodyDiv w:val="1"/>
      <w:marLeft w:val="0"/>
      <w:marRight w:val="0"/>
      <w:marTop w:val="0"/>
      <w:marBottom w:val="0"/>
      <w:divBdr>
        <w:top w:val="none" w:sz="0" w:space="0" w:color="auto"/>
        <w:left w:val="none" w:sz="0" w:space="0" w:color="auto"/>
        <w:bottom w:val="none" w:sz="0" w:space="0" w:color="auto"/>
        <w:right w:val="none" w:sz="0" w:space="0" w:color="auto"/>
      </w:divBdr>
    </w:div>
    <w:div w:id="1885798585">
      <w:bodyDiv w:val="1"/>
      <w:marLeft w:val="0"/>
      <w:marRight w:val="0"/>
      <w:marTop w:val="0"/>
      <w:marBottom w:val="0"/>
      <w:divBdr>
        <w:top w:val="none" w:sz="0" w:space="0" w:color="auto"/>
        <w:left w:val="none" w:sz="0" w:space="0" w:color="auto"/>
        <w:bottom w:val="none" w:sz="0" w:space="0" w:color="auto"/>
        <w:right w:val="none" w:sz="0" w:space="0" w:color="auto"/>
      </w:divBdr>
    </w:div>
    <w:div w:id="2055543630">
      <w:bodyDiv w:val="1"/>
      <w:marLeft w:val="0"/>
      <w:marRight w:val="0"/>
      <w:marTop w:val="0"/>
      <w:marBottom w:val="0"/>
      <w:divBdr>
        <w:top w:val="none" w:sz="0" w:space="0" w:color="auto"/>
        <w:left w:val="none" w:sz="0" w:space="0" w:color="auto"/>
        <w:bottom w:val="none" w:sz="0" w:space="0" w:color="auto"/>
        <w:right w:val="none" w:sz="0" w:space="0" w:color="auto"/>
      </w:divBdr>
    </w:div>
    <w:div w:id="2107383639">
      <w:bodyDiv w:val="1"/>
      <w:marLeft w:val="0"/>
      <w:marRight w:val="0"/>
      <w:marTop w:val="0"/>
      <w:marBottom w:val="0"/>
      <w:divBdr>
        <w:top w:val="none" w:sz="0" w:space="0" w:color="auto"/>
        <w:left w:val="none" w:sz="0" w:space="0" w:color="auto"/>
        <w:bottom w:val="none" w:sz="0" w:space="0" w:color="auto"/>
        <w:right w:val="none" w:sz="0" w:space="0" w:color="auto"/>
      </w:divBdr>
    </w:div>
    <w:div w:id="213332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8"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57" Type="http://schemas.microsoft.com/office/2016/09/relationships/commentsIds" Target="commentsIds.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09684961946128"/>
          <c:y val="9.5740761278079678E-2"/>
          <c:w val="0.83130482583482379"/>
          <c:h val="0.75350017867484875"/>
        </c:manualLayout>
      </c:layout>
      <c:scatterChart>
        <c:scatterStyle val="lineMarker"/>
        <c:varyColors val="0"/>
        <c:ser>
          <c:idx val="0"/>
          <c:order val="0"/>
          <c:spPr>
            <a:ln w="25400" cap="rnd">
              <a:noFill/>
              <a:round/>
            </a:ln>
            <a:effectLst/>
          </c:spPr>
          <c:marker>
            <c:symbol val="circle"/>
            <c:size val="5"/>
            <c:spPr>
              <a:solidFill>
                <a:schemeClr val="bg1">
                  <a:lumMod val="65000"/>
                </a:schemeClr>
              </a:solidFill>
              <a:ln w="9525">
                <a:solidFill>
                  <a:schemeClr val="tx1"/>
                </a:solidFill>
              </a:ln>
              <a:effectLst/>
            </c:spPr>
          </c:marker>
          <c:dPt>
            <c:idx val="299"/>
            <c:marker>
              <c:symbol val="circle"/>
              <c:size val="5"/>
              <c:spPr>
                <a:solidFill>
                  <a:schemeClr val="bg1">
                    <a:lumMod val="65000"/>
                  </a:schemeClr>
                </a:solidFill>
                <a:ln w="9525">
                  <a:solidFill>
                    <a:schemeClr val="tx1"/>
                  </a:solidFill>
                </a:ln>
                <a:effectLst/>
              </c:spPr>
            </c:marker>
            <c:bubble3D val="0"/>
            <c:extLst>
              <c:ext xmlns:c16="http://schemas.microsoft.com/office/drawing/2014/chart" uri="{C3380CC4-5D6E-409C-BE32-E72D297353CC}">
                <c16:uniqueId val="{00000000-7FAD-41CF-B5D6-5DFA0376D15D}"/>
              </c:ext>
            </c:extLst>
          </c:dPt>
          <c:dLbls>
            <c:dLbl>
              <c:idx val="19"/>
              <c:layout>
                <c:manualLayout>
                  <c:x val="9.8328416912487251E-3"/>
                  <c:y val="-1.4637002341920393E-2"/>
                </c:manualLayout>
              </c:layout>
              <c:tx>
                <c:rich>
                  <a:bodyPr rot="0" spcFirstLastPara="1" vertOverflow="overflow" horzOverflow="overflow" vert="horz" wrap="square" lIns="38100" tIns="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r>
                      <a:rPr lang="en-US" sz="800" b="0">
                        <a:latin typeface="Palatino Linotype" panose="02040502050505030304" pitchFamily="18" charset="0"/>
                      </a:rPr>
                      <a:t>SHA3/CBRD</a:t>
                    </a:r>
                  </a:p>
                </c:rich>
              </c:tx>
              <c:spPr>
                <a:solidFill>
                  <a:srgbClr val="FF99FF">
                    <a:alpha val="50000"/>
                  </a:srgbClr>
                </a:solidFill>
                <a:ln>
                  <a:noFill/>
                </a:ln>
                <a:effectLst/>
              </c:spPr>
              <c:txPr>
                <a:bodyPr rot="0" spcFirstLastPara="1" vertOverflow="overflow" horzOverflow="overflow" vert="horz" wrap="square" lIns="38100" tIns="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endParaRPr lang="et-EE"/>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ext>
                <c:ext xmlns:c16="http://schemas.microsoft.com/office/drawing/2014/chart" uri="{C3380CC4-5D6E-409C-BE32-E72D297353CC}">
                  <c16:uniqueId val="{00000001-7FAD-41CF-B5D6-5DFA0376D15D}"/>
                </c:ext>
              </c:extLst>
            </c:dLbl>
            <c:dLbl>
              <c:idx val="35"/>
              <c:layout>
                <c:manualLayout>
                  <c:x val="1.2291052114060964E-2"/>
                  <c:y val="-2.244340359094461E-2"/>
                </c:manualLayout>
              </c:layout>
              <c:tx>
                <c:rich>
                  <a:bodyPr rot="0" spcFirstLastPara="1" vertOverflow="overflow" horzOverflow="overflow" vert="horz" wrap="square" lIns="38100" tIns="0" rIns="38100" bIns="19050" anchor="ctr" anchorCtr="1">
                    <a:spAutoFit/>
                  </a:bodyPr>
                  <a:lstStyle/>
                  <a:p>
                    <a:pPr>
                      <a:defRPr sz="8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r>
                      <a:rPr lang="en-US" sz="800" b="0">
                        <a:latin typeface="Palatino Linotype" panose="02040502050505030304" pitchFamily="18" charset="0"/>
                      </a:rPr>
                      <a:t>SPORT</a:t>
                    </a:r>
                  </a:p>
                </c:rich>
              </c:tx>
              <c:spPr>
                <a:solidFill>
                  <a:srgbClr val="FF99FF">
                    <a:alpha val="50000"/>
                  </a:srgbClr>
                </a:solidFill>
                <a:ln>
                  <a:noFill/>
                </a:ln>
                <a:effectLst/>
              </c:spPr>
              <c:txPr>
                <a:bodyPr rot="0" spcFirstLastPara="1" vertOverflow="overflow" horzOverflow="overflow" vert="horz" wrap="square" lIns="38100" tIns="0" rIns="38100" bIns="19050" anchor="ctr" anchorCtr="1">
                  <a:spAutoFit/>
                </a:bodyPr>
                <a:lstStyle/>
                <a:p>
                  <a:pPr>
                    <a:defRPr sz="8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endParaRPr lang="et-EE"/>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ext>
                <c:ext xmlns:c16="http://schemas.microsoft.com/office/drawing/2014/chart" uri="{C3380CC4-5D6E-409C-BE32-E72D297353CC}">
                  <c16:uniqueId val="{00000002-7FAD-41CF-B5D6-5DFA0376D15D}"/>
                </c:ext>
              </c:extLst>
            </c:dLbl>
            <c:spPr>
              <a:solidFill>
                <a:srgbClr val="FF99FF">
                  <a:alpha val="50000"/>
                </a:srgbClr>
              </a:solidFill>
              <a:ln>
                <a:noFill/>
              </a:ln>
              <a:effectLst/>
            </c:spPr>
            <c:txPr>
              <a:bodyPr rot="0" spcFirstLastPara="1" vertOverflow="overflow" horzOverflow="overflow" vert="horz" wrap="square" tIns="0" anchor="ctr" anchorCtr="1">
                <a:spAutoFit/>
              </a:bodyPr>
              <a:lstStyle/>
              <a:p>
                <a:pPr>
                  <a:defRPr sz="8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endParaRPr lang="et-E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trendline>
            <c:spPr>
              <a:ln w="28575" cap="rnd">
                <a:solidFill>
                  <a:schemeClr val="tx1"/>
                </a:solidFill>
                <a:prstDash val="sysDot"/>
              </a:ln>
              <a:effectLst/>
            </c:spPr>
            <c:trendlineType val="linear"/>
            <c:dispRSqr val="1"/>
            <c:dispEq val="1"/>
            <c:trendlineLbl>
              <c:layout>
                <c:manualLayout>
                  <c:x val="6.2988992047635833E-2"/>
                  <c:y val="-0.39432259664859898"/>
                </c:manualLayout>
              </c:layout>
              <c:tx>
                <c:rich>
                  <a:bodyPr rot="0" spcFirstLastPara="1" vertOverflow="ellipsis" vert="horz" wrap="square" anchor="ctr" anchorCtr="1"/>
                  <a:lstStyle/>
                  <a:p>
                    <a:pPr>
                      <a:defRPr sz="1000" b="1"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r>
                      <a:rPr lang="en-US" b="1" baseline="0">
                        <a:solidFill>
                          <a:sysClr val="windowText" lastClr="000000"/>
                        </a:solidFill>
                      </a:rPr>
                      <a:t>y = -0.3166x + 46.38</a:t>
                    </a:r>
                    <a:br>
                      <a:rPr lang="en-US" b="1" baseline="0">
                        <a:solidFill>
                          <a:sysClr val="windowText" lastClr="000000"/>
                        </a:solidFill>
                      </a:rPr>
                    </a:br>
                    <a:r>
                      <a:rPr lang="en-US" b="1" baseline="0">
                        <a:solidFill>
                          <a:sysClr val="windowText" lastClr="000000"/>
                        </a:solidFill>
                      </a:rPr>
                      <a:t>R² = 0.3947</a:t>
                    </a:r>
                    <a:r>
                      <a:rPr lang="et-EE" b="1" baseline="0">
                        <a:solidFill>
                          <a:sysClr val="windowText" lastClr="000000"/>
                        </a:solidFill>
                      </a:rPr>
                      <a:t> (P&lt;0.001)</a:t>
                    </a:r>
                    <a:endParaRPr lang="en-US" b="1">
                      <a:solidFill>
                        <a:sysClr val="windowText" lastClr="000000"/>
                      </a:solidFill>
                    </a:endParaRPr>
                  </a:p>
                </c:rich>
              </c:tx>
              <c:numFmt formatCode="General" sourceLinked="0"/>
              <c:spPr>
                <a:solidFill>
                  <a:schemeClr val="bg1">
                    <a:lumMod val="75000"/>
                    <a:alpha val="30000"/>
                  </a:schemeClr>
                </a:solidFill>
                <a:ln>
                  <a:solidFill>
                    <a:schemeClr val="tx1"/>
                  </a:solidFill>
                </a:ln>
                <a:effectLst/>
              </c:spPr>
              <c:txPr>
                <a:bodyPr rot="0" spcFirstLastPara="1" vertOverflow="ellipsis" vert="horz" wrap="square" anchor="ctr" anchorCtr="1"/>
                <a:lstStyle/>
                <a:p>
                  <a:pPr>
                    <a:defRPr sz="1000" b="1"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endParaRPr lang="et-EE"/>
                </a:p>
              </c:txPr>
            </c:trendlineLbl>
          </c:trendline>
          <c:xVal>
            <c:numRef>
              <c:f>Fig_PROT_YIELD!$D$47:$D$346</c:f>
              <c:numCache>
                <c:formatCode>General</c:formatCode>
                <c:ptCount val="300"/>
                <c:pt idx="0">
                  <c:v>104.1875</c:v>
                </c:pt>
                <c:pt idx="1">
                  <c:v>103.812375</c:v>
                </c:pt>
                <c:pt idx="2">
                  <c:v>103.812625</c:v>
                </c:pt>
                <c:pt idx="3">
                  <c:v>104.875125</c:v>
                </c:pt>
                <c:pt idx="4">
                  <c:v>102.43737499999999</c:v>
                </c:pt>
                <c:pt idx="5">
                  <c:v>104.31249999999999</c:v>
                </c:pt>
                <c:pt idx="6">
                  <c:v>102.625</c:v>
                </c:pt>
                <c:pt idx="7">
                  <c:v>103.499875</c:v>
                </c:pt>
                <c:pt idx="8">
                  <c:v>105.124875</c:v>
                </c:pt>
                <c:pt idx="9">
                  <c:v>105.875</c:v>
                </c:pt>
                <c:pt idx="10">
                  <c:v>105.62500000000001</c:v>
                </c:pt>
                <c:pt idx="11">
                  <c:v>102.125125</c:v>
                </c:pt>
                <c:pt idx="12">
                  <c:v>105.062625</c:v>
                </c:pt>
                <c:pt idx="13">
                  <c:v>103.375</c:v>
                </c:pt>
                <c:pt idx="14">
                  <c:v>105.06237500000002</c:v>
                </c:pt>
                <c:pt idx="15">
                  <c:v>101.5625</c:v>
                </c:pt>
                <c:pt idx="16">
                  <c:v>100.750125</c:v>
                </c:pt>
                <c:pt idx="17">
                  <c:v>104.5</c:v>
                </c:pt>
                <c:pt idx="18">
                  <c:v>106.437375</c:v>
                </c:pt>
                <c:pt idx="19">
                  <c:v>103.375</c:v>
                </c:pt>
                <c:pt idx="20">
                  <c:v>106.18737499999999</c:v>
                </c:pt>
                <c:pt idx="21">
                  <c:v>104.125125</c:v>
                </c:pt>
                <c:pt idx="22">
                  <c:v>104.43774999999999</c:v>
                </c:pt>
                <c:pt idx="23">
                  <c:v>104.0625</c:v>
                </c:pt>
                <c:pt idx="24">
                  <c:v>104.812375</c:v>
                </c:pt>
                <c:pt idx="25">
                  <c:v>103.87512500000001</c:v>
                </c:pt>
                <c:pt idx="26">
                  <c:v>104.625125</c:v>
                </c:pt>
                <c:pt idx="27">
                  <c:v>105.375</c:v>
                </c:pt>
                <c:pt idx="28">
                  <c:v>105.749875</c:v>
                </c:pt>
                <c:pt idx="29">
                  <c:v>105.25</c:v>
                </c:pt>
                <c:pt idx="30">
                  <c:v>103.6875</c:v>
                </c:pt>
                <c:pt idx="31">
                  <c:v>105.062375</c:v>
                </c:pt>
                <c:pt idx="32">
                  <c:v>101.875</c:v>
                </c:pt>
                <c:pt idx="33">
                  <c:v>103.87499999999999</c:v>
                </c:pt>
                <c:pt idx="34">
                  <c:v>103</c:v>
                </c:pt>
                <c:pt idx="35">
                  <c:v>102.9375</c:v>
                </c:pt>
                <c:pt idx="36">
                  <c:v>102.812625</c:v>
                </c:pt>
                <c:pt idx="37">
                  <c:v>103.749875</c:v>
                </c:pt>
                <c:pt idx="38">
                  <c:v>102.187375</c:v>
                </c:pt>
                <c:pt idx="39">
                  <c:v>101.875</c:v>
                </c:pt>
                <c:pt idx="40">
                  <c:v>106.93762500000001</c:v>
                </c:pt>
                <c:pt idx="41">
                  <c:v>104.93762499999998</c:v>
                </c:pt>
                <c:pt idx="42">
                  <c:v>103.43749999999999</c:v>
                </c:pt>
                <c:pt idx="43">
                  <c:v>102.56249999999999</c:v>
                </c:pt>
                <c:pt idx="44">
                  <c:v>103.749875</c:v>
                </c:pt>
                <c:pt idx="45">
                  <c:v>103.62512500000001</c:v>
                </c:pt>
                <c:pt idx="46">
                  <c:v>103.625</c:v>
                </c:pt>
                <c:pt idx="47">
                  <c:v>104.87474999999999</c:v>
                </c:pt>
                <c:pt idx="48">
                  <c:v>102.3125</c:v>
                </c:pt>
                <c:pt idx="49">
                  <c:v>104.375125</c:v>
                </c:pt>
                <c:pt idx="50">
                  <c:v>104.25</c:v>
                </c:pt>
                <c:pt idx="51">
                  <c:v>104.87487500000002</c:v>
                </c:pt>
                <c:pt idx="52">
                  <c:v>103.0625</c:v>
                </c:pt>
                <c:pt idx="53">
                  <c:v>104.750125</c:v>
                </c:pt>
                <c:pt idx="54">
                  <c:v>106.000125</c:v>
                </c:pt>
                <c:pt idx="55">
                  <c:v>103.06250000000001</c:v>
                </c:pt>
                <c:pt idx="56">
                  <c:v>105.624875</c:v>
                </c:pt>
                <c:pt idx="57">
                  <c:v>103.18774999999999</c:v>
                </c:pt>
                <c:pt idx="58">
                  <c:v>103.625125</c:v>
                </c:pt>
                <c:pt idx="59">
                  <c:v>104.625</c:v>
                </c:pt>
                <c:pt idx="60">
                  <c:v>103.750125</c:v>
                </c:pt>
                <c:pt idx="61">
                  <c:v>102.937625</c:v>
                </c:pt>
                <c:pt idx="62">
                  <c:v>104.375</c:v>
                </c:pt>
                <c:pt idx="63">
                  <c:v>104.375</c:v>
                </c:pt>
                <c:pt idx="64">
                  <c:v>103.625</c:v>
                </c:pt>
                <c:pt idx="65">
                  <c:v>102.375</c:v>
                </c:pt>
                <c:pt idx="66">
                  <c:v>103.62500000000001</c:v>
                </c:pt>
                <c:pt idx="67">
                  <c:v>106.25</c:v>
                </c:pt>
                <c:pt idx="68">
                  <c:v>105.37512500000001</c:v>
                </c:pt>
                <c:pt idx="69">
                  <c:v>105.5625</c:v>
                </c:pt>
                <c:pt idx="70">
                  <c:v>107.937625</c:v>
                </c:pt>
                <c:pt idx="71">
                  <c:v>104.5</c:v>
                </c:pt>
                <c:pt idx="72">
                  <c:v>105.5</c:v>
                </c:pt>
                <c:pt idx="73">
                  <c:v>106.3125</c:v>
                </c:pt>
                <c:pt idx="74">
                  <c:v>105.81250000000001</c:v>
                </c:pt>
                <c:pt idx="75">
                  <c:v>107.43762500000001</c:v>
                </c:pt>
                <c:pt idx="76">
                  <c:v>106.624875</c:v>
                </c:pt>
                <c:pt idx="77">
                  <c:v>101.4375</c:v>
                </c:pt>
                <c:pt idx="78">
                  <c:v>104.12474999999999</c:v>
                </c:pt>
                <c:pt idx="79">
                  <c:v>103.374875</c:v>
                </c:pt>
                <c:pt idx="80">
                  <c:v>106.1875</c:v>
                </c:pt>
                <c:pt idx="81">
                  <c:v>105.37500000000001</c:v>
                </c:pt>
                <c:pt idx="82">
                  <c:v>103.24999999999999</c:v>
                </c:pt>
                <c:pt idx="83">
                  <c:v>104.5</c:v>
                </c:pt>
                <c:pt idx="84">
                  <c:v>107.56249999999999</c:v>
                </c:pt>
                <c:pt idx="85">
                  <c:v>105.187375</c:v>
                </c:pt>
                <c:pt idx="86">
                  <c:v>103.437375</c:v>
                </c:pt>
                <c:pt idx="87">
                  <c:v>100.75</c:v>
                </c:pt>
                <c:pt idx="88">
                  <c:v>103.25012500000001</c:v>
                </c:pt>
                <c:pt idx="89">
                  <c:v>102.5625</c:v>
                </c:pt>
                <c:pt idx="90">
                  <c:v>106.562625</c:v>
                </c:pt>
                <c:pt idx="91">
                  <c:v>102.5625</c:v>
                </c:pt>
                <c:pt idx="92">
                  <c:v>106.062625</c:v>
                </c:pt>
                <c:pt idx="93">
                  <c:v>105.625</c:v>
                </c:pt>
                <c:pt idx="94">
                  <c:v>103.312625</c:v>
                </c:pt>
                <c:pt idx="95">
                  <c:v>106.62499999999999</c:v>
                </c:pt>
                <c:pt idx="96">
                  <c:v>106.43737500000002</c:v>
                </c:pt>
                <c:pt idx="97">
                  <c:v>106.93737499999999</c:v>
                </c:pt>
                <c:pt idx="98">
                  <c:v>104.24999999999999</c:v>
                </c:pt>
                <c:pt idx="99">
                  <c:v>104.81249999999999</c:v>
                </c:pt>
                <c:pt idx="100">
                  <c:v>104.874875</c:v>
                </c:pt>
                <c:pt idx="101">
                  <c:v>102.0625</c:v>
                </c:pt>
                <c:pt idx="102">
                  <c:v>103.875125</c:v>
                </c:pt>
                <c:pt idx="103">
                  <c:v>106.25</c:v>
                </c:pt>
                <c:pt idx="104">
                  <c:v>103.125</c:v>
                </c:pt>
                <c:pt idx="105">
                  <c:v>103.000125</c:v>
                </c:pt>
                <c:pt idx="106">
                  <c:v>101.624875</c:v>
                </c:pt>
                <c:pt idx="107">
                  <c:v>103.437625</c:v>
                </c:pt>
                <c:pt idx="108">
                  <c:v>102.749875</c:v>
                </c:pt>
                <c:pt idx="109">
                  <c:v>104.12499999999999</c:v>
                </c:pt>
                <c:pt idx="110">
                  <c:v>104.75</c:v>
                </c:pt>
                <c:pt idx="111">
                  <c:v>103.99974999999999</c:v>
                </c:pt>
                <c:pt idx="112">
                  <c:v>102.99975000000001</c:v>
                </c:pt>
                <c:pt idx="113">
                  <c:v>102.3125</c:v>
                </c:pt>
                <c:pt idx="114">
                  <c:v>103.68749999999999</c:v>
                </c:pt>
                <c:pt idx="115">
                  <c:v>102.37500000000001</c:v>
                </c:pt>
                <c:pt idx="116">
                  <c:v>103.8125</c:v>
                </c:pt>
                <c:pt idx="117">
                  <c:v>101.62474999999999</c:v>
                </c:pt>
                <c:pt idx="118">
                  <c:v>102.374875</c:v>
                </c:pt>
                <c:pt idx="119">
                  <c:v>102.9375</c:v>
                </c:pt>
                <c:pt idx="120">
                  <c:v>101.687625</c:v>
                </c:pt>
                <c:pt idx="121">
                  <c:v>101.9375</c:v>
                </c:pt>
                <c:pt idx="122">
                  <c:v>103.81250000000001</c:v>
                </c:pt>
                <c:pt idx="123">
                  <c:v>104.125125</c:v>
                </c:pt>
                <c:pt idx="124">
                  <c:v>103.062625</c:v>
                </c:pt>
                <c:pt idx="125">
                  <c:v>103.62499999999999</c:v>
                </c:pt>
                <c:pt idx="126">
                  <c:v>104.68750000000001</c:v>
                </c:pt>
                <c:pt idx="127">
                  <c:v>103.562625</c:v>
                </c:pt>
                <c:pt idx="128">
                  <c:v>103.937625</c:v>
                </c:pt>
                <c:pt idx="129">
                  <c:v>103.56249999999999</c:v>
                </c:pt>
                <c:pt idx="130">
                  <c:v>104.06237499999999</c:v>
                </c:pt>
                <c:pt idx="131">
                  <c:v>103.81274999999999</c:v>
                </c:pt>
                <c:pt idx="132">
                  <c:v>103.9375</c:v>
                </c:pt>
                <c:pt idx="133">
                  <c:v>104.74987499999999</c:v>
                </c:pt>
                <c:pt idx="134">
                  <c:v>105.43725000000001</c:v>
                </c:pt>
                <c:pt idx="135">
                  <c:v>104.9375</c:v>
                </c:pt>
                <c:pt idx="136">
                  <c:v>105.687375</c:v>
                </c:pt>
                <c:pt idx="137">
                  <c:v>105</c:v>
                </c:pt>
                <c:pt idx="138">
                  <c:v>106.625125</c:v>
                </c:pt>
                <c:pt idx="139">
                  <c:v>104.749875</c:v>
                </c:pt>
                <c:pt idx="140">
                  <c:v>106.187375</c:v>
                </c:pt>
                <c:pt idx="141">
                  <c:v>107.375</c:v>
                </c:pt>
                <c:pt idx="142">
                  <c:v>105.56237499999999</c:v>
                </c:pt>
                <c:pt idx="143">
                  <c:v>106.18762500000001</c:v>
                </c:pt>
                <c:pt idx="144">
                  <c:v>105.500125</c:v>
                </c:pt>
                <c:pt idx="145">
                  <c:v>104.812375</c:v>
                </c:pt>
                <c:pt idx="146">
                  <c:v>105.18762500000001</c:v>
                </c:pt>
                <c:pt idx="147">
                  <c:v>105.93762499999998</c:v>
                </c:pt>
                <c:pt idx="148">
                  <c:v>105.624875</c:v>
                </c:pt>
                <c:pt idx="149">
                  <c:v>103.8125</c:v>
                </c:pt>
                <c:pt idx="150">
                  <c:v>104.37499999999999</c:v>
                </c:pt>
                <c:pt idx="151">
                  <c:v>105.749875</c:v>
                </c:pt>
                <c:pt idx="152">
                  <c:v>104.249875</c:v>
                </c:pt>
                <c:pt idx="153">
                  <c:v>105.437375</c:v>
                </c:pt>
                <c:pt idx="154">
                  <c:v>103.562625</c:v>
                </c:pt>
                <c:pt idx="155">
                  <c:v>103.9375</c:v>
                </c:pt>
                <c:pt idx="156">
                  <c:v>106.0625</c:v>
                </c:pt>
                <c:pt idx="157">
                  <c:v>107.74987499999999</c:v>
                </c:pt>
                <c:pt idx="158">
                  <c:v>108.43750000000001</c:v>
                </c:pt>
                <c:pt idx="159">
                  <c:v>103.6875</c:v>
                </c:pt>
                <c:pt idx="160">
                  <c:v>104.1875</c:v>
                </c:pt>
                <c:pt idx="161">
                  <c:v>104.43750000000001</c:v>
                </c:pt>
                <c:pt idx="162">
                  <c:v>104.0625</c:v>
                </c:pt>
                <c:pt idx="163">
                  <c:v>105.1875</c:v>
                </c:pt>
                <c:pt idx="164">
                  <c:v>105.0625</c:v>
                </c:pt>
                <c:pt idx="165">
                  <c:v>106.31249999999999</c:v>
                </c:pt>
                <c:pt idx="166">
                  <c:v>103.499875</c:v>
                </c:pt>
                <c:pt idx="167">
                  <c:v>106.3125</c:v>
                </c:pt>
                <c:pt idx="168">
                  <c:v>107.249875</c:v>
                </c:pt>
                <c:pt idx="169">
                  <c:v>103.56249999999999</c:v>
                </c:pt>
                <c:pt idx="170">
                  <c:v>104.12475000000001</c:v>
                </c:pt>
                <c:pt idx="171">
                  <c:v>103.24999999999999</c:v>
                </c:pt>
                <c:pt idx="172">
                  <c:v>106.12487500000002</c:v>
                </c:pt>
                <c:pt idx="173">
                  <c:v>106.43774999999999</c:v>
                </c:pt>
                <c:pt idx="174">
                  <c:v>106.75000000000001</c:v>
                </c:pt>
                <c:pt idx="175">
                  <c:v>106.375</c:v>
                </c:pt>
                <c:pt idx="176">
                  <c:v>106.43737499999999</c:v>
                </c:pt>
                <c:pt idx="177">
                  <c:v>106.8125</c:v>
                </c:pt>
                <c:pt idx="178">
                  <c:v>106.125</c:v>
                </c:pt>
                <c:pt idx="179">
                  <c:v>105.75</c:v>
                </c:pt>
                <c:pt idx="180">
                  <c:v>106.375</c:v>
                </c:pt>
                <c:pt idx="181">
                  <c:v>105.00000000000001</c:v>
                </c:pt>
                <c:pt idx="182">
                  <c:v>104.124875</c:v>
                </c:pt>
                <c:pt idx="183">
                  <c:v>104.375125</c:v>
                </c:pt>
                <c:pt idx="184">
                  <c:v>106.25</c:v>
                </c:pt>
                <c:pt idx="185">
                  <c:v>105.312625</c:v>
                </c:pt>
                <c:pt idx="186">
                  <c:v>105.999875</c:v>
                </c:pt>
                <c:pt idx="187">
                  <c:v>105.49987500000003</c:v>
                </c:pt>
                <c:pt idx="188">
                  <c:v>106.062375</c:v>
                </c:pt>
                <c:pt idx="189">
                  <c:v>104.562375</c:v>
                </c:pt>
                <c:pt idx="190">
                  <c:v>104.31249999999999</c:v>
                </c:pt>
                <c:pt idx="191">
                  <c:v>105.625</c:v>
                </c:pt>
                <c:pt idx="192">
                  <c:v>104.625</c:v>
                </c:pt>
                <c:pt idx="193">
                  <c:v>104.93762500000001</c:v>
                </c:pt>
                <c:pt idx="194">
                  <c:v>105.87499999999999</c:v>
                </c:pt>
                <c:pt idx="195">
                  <c:v>105.687625</c:v>
                </c:pt>
                <c:pt idx="196">
                  <c:v>105.31249999999999</c:v>
                </c:pt>
                <c:pt idx="197">
                  <c:v>105.125125</c:v>
                </c:pt>
                <c:pt idx="198">
                  <c:v>105.187625</c:v>
                </c:pt>
                <c:pt idx="199">
                  <c:v>105.1875</c:v>
                </c:pt>
                <c:pt idx="200">
                  <c:v>107.312375</c:v>
                </c:pt>
                <c:pt idx="201">
                  <c:v>106.06250000000001</c:v>
                </c:pt>
                <c:pt idx="202">
                  <c:v>107.874875</c:v>
                </c:pt>
                <c:pt idx="203">
                  <c:v>105.12512500000001</c:v>
                </c:pt>
                <c:pt idx="204">
                  <c:v>105.68775000000001</c:v>
                </c:pt>
                <c:pt idx="205">
                  <c:v>105.125</c:v>
                </c:pt>
                <c:pt idx="206">
                  <c:v>105.68737499999999</c:v>
                </c:pt>
                <c:pt idx="207">
                  <c:v>106.5625</c:v>
                </c:pt>
                <c:pt idx="208">
                  <c:v>104.74999999999999</c:v>
                </c:pt>
                <c:pt idx="209">
                  <c:v>106.43762500000001</c:v>
                </c:pt>
                <c:pt idx="210">
                  <c:v>105.312625</c:v>
                </c:pt>
                <c:pt idx="211">
                  <c:v>107.87512499999998</c:v>
                </c:pt>
                <c:pt idx="212">
                  <c:v>106.00012500000001</c:v>
                </c:pt>
                <c:pt idx="213">
                  <c:v>106.1875</c:v>
                </c:pt>
                <c:pt idx="214">
                  <c:v>105.125125</c:v>
                </c:pt>
                <c:pt idx="215">
                  <c:v>107.24999999999999</c:v>
                </c:pt>
                <c:pt idx="216">
                  <c:v>106.812625</c:v>
                </c:pt>
                <c:pt idx="217">
                  <c:v>106.0625</c:v>
                </c:pt>
                <c:pt idx="218">
                  <c:v>105.56249999999999</c:v>
                </c:pt>
                <c:pt idx="219">
                  <c:v>106.187625</c:v>
                </c:pt>
                <c:pt idx="220">
                  <c:v>106</c:v>
                </c:pt>
                <c:pt idx="221">
                  <c:v>104.125125</c:v>
                </c:pt>
                <c:pt idx="222">
                  <c:v>104.5625</c:v>
                </c:pt>
                <c:pt idx="223">
                  <c:v>108.750125</c:v>
                </c:pt>
                <c:pt idx="224">
                  <c:v>107.62500000000001</c:v>
                </c:pt>
                <c:pt idx="225">
                  <c:v>106.68749999999999</c:v>
                </c:pt>
                <c:pt idx="226">
                  <c:v>105.50012500000001</c:v>
                </c:pt>
                <c:pt idx="227">
                  <c:v>106.625</c:v>
                </c:pt>
                <c:pt idx="228">
                  <c:v>107.250125</c:v>
                </c:pt>
                <c:pt idx="229">
                  <c:v>102.625</c:v>
                </c:pt>
                <c:pt idx="230">
                  <c:v>104.8125</c:v>
                </c:pt>
                <c:pt idx="231">
                  <c:v>105.06237499999999</c:v>
                </c:pt>
                <c:pt idx="232">
                  <c:v>104.624875</c:v>
                </c:pt>
                <c:pt idx="233">
                  <c:v>107.5625</c:v>
                </c:pt>
                <c:pt idx="234">
                  <c:v>105</c:v>
                </c:pt>
                <c:pt idx="235">
                  <c:v>105.31250000000003</c:v>
                </c:pt>
                <c:pt idx="236">
                  <c:v>105.625</c:v>
                </c:pt>
                <c:pt idx="237">
                  <c:v>106.3125</c:v>
                </c:pt>
                <c:pt idx="238">
                  <c:v>105.62512500000001</c:v>
                </c:pt>
                <c:pt idx="239">
                  <c:v>107.4375</c:v>
                </c:pt>
                <c:pt idx="240">
                  <c:v>108.062375</c:v>
                </c:pt>
                <c:pt idx="241">
                  <c:v>105.93750000000001</c:v>
                </c:pt>
                <c:pt idx="242">
                  <c:v>107</c:v>
                </c:pt>
                <c:pt idx="243">
                  <c:v>108.187375</c:v>
                </c:pt>
                <c:pt idx="244">
                  <c:v>108.18787499999999</c:v>
                </c:pt>
                <c:pt idx="245">
                  <c:v>107.8125</c:v>
                </c:pt>
                <c:pt idx="246">
                  <c:v>104.68750000000001</c:v>
                </c:pt>
                <c:pt idx="247">
                  <c:v>104</c:v>
                </c:pt>
                <c:pt idx="248">
                  <c:v>108.68737499999999</c:v>
                </c:pt>
                <c:pt idx="249">
                  <c:v>106.93749999999999</c:v>
                </c:pt>
                <c:pt idx="250">
                  <c:v>106.125</c:v>
                </c:pt>
                <c:pt idx="251">
                  <c:v>105.5625</c:v>
                </c:pt>
                <c:pt idx="252">
                  <c:v>108.249875</c:v>
                </c:pt>
                <c:pt idx="253">
                  <c:v>105.87499999999999</c:v>
                </c:pt>
                <c:pt idx="254">
                  <c:v>104.81237500000002</c:v>
                </c:pt>
                <c:pt idx="255">
                  <c:v>104.812625</c:v>
                </c:pt>
                <c:pt idx="256">
                  <c:v>108.87512500000001</c:v>
                </c:pt>
                <c:pt idx="257">
                  <c:v>109.187625</c:v>
                </c:pt>
                <c:pt idx="258">
                  <c:v>108.125</c:v>
                </c:pt>
                <c:pt idx="259">
                  <c:v>108.375</c:v>
                </c:pt>
                <c:pt idx="260">
                  <c:v>108.000125</c:v>
                </c:pt>
                <c:pt idx="261">
                  <c:v>110.06250000000001</c:v>
                </c:pt>
                <c:pt idx="262">
                  <c:v>106.24987499999999</c:v>
                </c:pt>
                <c:pt idx="263">
                  <c:v>105.874875</c:v>
                </c:pt>
                <c:pt idx="264">
                  <c:v>106.3125</c:v>
                </c:pt>
                <c:pt idx="265">
                  <c:v>104.875125</c:v>
                </c:pt>
                <c:pt idx="266">
                  <c:v>106.68750000000001</c:v>
                </c:pt>
                <c:pt idx="267">
                  <c:v>105.374875</c:v>
                </c:pt>
                <c:pt idx="268">
                  <c:v>107.250125</c:v>
                </c:pt>
                <c:pt idx="269">
                  <c:v>106.0625</c:v>
                </c:pt>
                <c:pt idx="270">
                  <c:v>107.24987499999999</c:v>
                </c:pt>
                <c:pt idx="271">
                  <c:v>107.75</c:v>
                </c:pt>
                <c:pt idx="272">
                  <c:v>105.06262500000003</c:v>
                </c:pt>
                <c:pt idx="273">
                  <c:v>106.125</c:v>
                </c:pt>
                <c:pt idx="274">
                  <c:v>104.874875</c:v>
                </c:pt>
                <c:pt idx="275">
                  <c:v>106.062625</c:v>
                </c:pt>
                <c:pt idx="276">
                  <c:v>104.81249999999999</c:v>
                </c:pt>
                <c:pt idx="277">
                  <c:v>105.00025000000001</c:v>
                </c:pt>
                <c:pt idx="278">
                  <c:v>106</c:v>
                </c:pt>
                <c:pt idx="279">
                  <c:v>105.5</c:v>
                </c:pt>
                <c:pt idx="280">
                  <c:v>107.062375</c:v>
                </c:pt>
                <c:pt idx="281">
                  <c:v>105.125</c:v>
                </c:pt>
                <c:pt idx="282">
                  <c:v>105.999875</c:v>
                </c:pt>
                <c:pt idx="283">
                  <c:v>105.4375</c:v>
                </c:pt>
                <c:pt idx="284">
                  <c:v>104.499875</c:v>
                </c:pt>
                <c:pt idx="285">
                  <c:v>104.5625</c:v>
                </c:pt>
                <c:pt idx="286">
                  <c:v>106.75</c:v>
                </c:pt>
                <c:pt idx="287">
                  <c:v>107.25</c:v>
                </c:pt>
                <c:pt idx="288">
                  <c:v>108.31249999999999</c:v>
                </c:pt>
                <c:pt idx="289">
                  <c:v>105.812375</c:v>
                </c:pt>
                <c:pt idx="290">
                  <c:v>107.124875</c:v>
                </c:pt>
                <c:pt idx="291">
                  <c:v>107.5</c:v>
                </c:pt>
                <c:pt idx="292">
                  <c:v>107.5625</c:v>
                </c:pt>
                <c:pt idx="293">
                  <c:v>106.1875</c:v>
                </c:pt>
                <c:pt idx="294">
                  <c:v>105.56250000000001</c:v>
                </c:pt>
                <c:pt idx="295">
                  <c:v>106.56262500000001</c:v>
                </c:pt>
                <c:pt idx="296">
                  <c:v>106.8125</c:v>
                </c:pt>
                <c:pt idx="297">
                  <c:v>106.187625</c:v>
                </c:pt>
                <c:pt idx="298">
                  <c:v>106.81262500000001</c:v>
                </c:pt>
                <c:pt idx="299">
                  <c:v>105.75</c:v>
                </c:pt>
              </c:numCache>
            </c:numRef>
          </c:xVal>
          <c:yVal>
            <c:numRef>
              <c:f>Fig_PROT_YIELD!$E$47:$E$346</c:f>
              <c:numCache>
                <c:formatCode>General</c:formatCode>
                <c:ptCount val="300"/>
                <c:pt idx="0">
                  <c:v>14</c:v>
                </c:pt>
                <c:pt idx="1">
                  <c:v>13.8</c:v>
                </c:pt>
                <c:pt idx="2">
                  <c:v>14.2</c:v>
                </c:pt>
                <c:pt idx="3">
                  <c:v>13.2</c:v>
                </c:pt>
                <c:pt idx="4">
                  <c:v>14.2</c:v>
                </c:pt>
                <c:pt idx="5">
                  <c:v>13.34</c:v>
                </c:pt>
                <c:pt idx="6">
                  <c:v>13.66</c:v>
                </c:pt>
                <c:pt idx="7">
                  <c:v>14.28</c:v>
                </c:pt>
                <c:pt idx="8">
                  <c:v>13.49</c:v>
                </c:pt>
                <c:pt idx="9">
                  <c:v>12.95</c:v>
                </c:pt>
                <c:pt idx="10">
                  <c:v>13.8</c:v>
                </c:pt>
                <c:pt idx="11">
                  <c:v>14.15</c:v>
                </c:pt>
                <c:pt idx="12">
                  <c:v>13.65</c:v>
                </c:pt>
                <c:pt idx="13">
                  <c:v>15.36</c:v>
                </c:pt>
                <c:pt idx="14">
                  <c:v>12.64</c:v>
                </c:pt>
                <c:pt idx="15">
                  <c:v>15.01</c:v>
                </c:pt>
                <c:pt idx="16">
                  <c:v>15.09</c:v>
                </c:pt>
                <c:pt idx="17">
                  <c:v>13.65</c:v>
                </c:pt>
                <c:pt idx="18">
                  <c:v>13.48</c:v>
                </c:pt>
                <c:pt idx="19">
                  <c:v>16.399999999999999</c:v>
                </c:pt>
                <c:pt idx="20">
                  <c:v>14.23</c:v>
                </c:pt>
                <c:pt idx="21">
                  <c:v>12.81</c:v>
                </c:pt>
                <c:pt idx="22">
                  <c:v>13.38</c:v>
                </c:pt>
                <c:pt idx="23">
                  <c:v>14.14</c:v>
                </c:pt>
                <c:pt idx="24">
                  <c:v>12.96</c:v>
                </c:pt>
                <c:pt idx="25">
                  <c:v>13.48</c:v>
                </c:pt>
                <c:pt idx="26">
                  <c:v>12.91</c:v>
                </c:pt>
                <c:pt idx="27">
                  <c:v>12.89</c:v>
                </c:pt>
                <c:pt idx="28">
                  <c:v>12.9</c:v>
                </c:pt>
                <c:pt idx="29">
                  <c:v>13.35</c:v>
                </c:pt>
                <c:pt idx="30">
                  <c:v>14.54</c:v>
                </c:pt>
                <c:pt idx="31">
                  <c:v>13.73</c:v>
                </c:pt>
                <c:pt idx="32">
                  <c:v>13.56</c:v>
                </c:pt>
                <c:pt idx="33">
                  <c:v>13.31</c:v>
                </c:pt>
                <c:pt idx="34">
                  <c:v>14.31</c:v>
                </c:pt>
                <c:pt idx="35">
                  <c:v>15.79</c:v>
                </c:pt>
                <c:pt idx="37">
                  <c:v>12.89</c:v>
                </c:pt>
                <c:pt idx="38">
                  <c:v>14.9</c:v>
                </c:pt>
                <c:pt idx="39">
                  <c:v>14.85</c:v>
                </c:pt>
                <c:pt idx="40">
                  <c:v>13.6</c:v>
                </c:pt>
                <c:pt idx="41">
                  <c:v>13.09</c:v>
                </c:pt>
                <c:pt idx="42">
                  <c:v>13.85</c:v>
                </c:pt>
                <c:pt idx="43">
                  <c:v>13.74</c:v>
                </c:pt>
                <c:pt idx="44">
                  <c:v>15.61</c:v>
                </c:pt>
                <c:pt idx="45">
                  <c:v>13.15</c:v>
                </c:pt>
                <c:pt idx="46">
                  <c:v>13.69</c:v>
                </c:pt>
                <c:pt idx="47">
                  <c:v>13.73</c:v>
                </c:pt>
                <c:pt idx="48">
                  <c:v>13.65</c:v>
                </c:pt>
                <c:pt idx="49">
                  <c:v>12.59</c:v>
                </c:pt>
                <c:pt idx="50">
                  <c:v>12.33</c:v>
                </c:pt>
                <c:pt idx="51">
                  <c:v>12.48</c:v>
                </c:pt>
                <c:pt idx="52">
                  <c:v>13.98</c:v>
                </c:pt>
                <c:pt idx="53">
                  <c:v>14.31</c:v>
                </c:pt>
                <c:pt idx="54">
                  <c:v>12.91</c:v>
                </c:pt>
                <c:pt idx="55">
                  <c:v>13.54</c:v>
                </c:pt>
                <c:pt idx="56">
                  <c:v>11.99</c:v>
                </c:pt>
                <c:pt idx="57">
                  <c:v>13.5</c:v>
                </c:pt>
                <c:pt idx="58">
                  <c:v>13.29</c:v>
                </c:pt>
                <c:pt idx="59">
                  <c:v>13.4</c:v>
                </c:pt>
                <c:pt idx="60">
                  <c:v>13.26</c:v>
                </c:pt>
                <c:pt idx="61">
                  <c:v>13.44</c:v>
                </c:pt>
                <c:pt idx="62">
                  <c:v>13.15</c:v>
                </c:pt>
                <c:pt idx="63">
                  <c:v>13.03</c:v>
                </c:pt>
                <c:pt idx="64">
                  <c:v>13.53</c:v>
                </c:pt>
                <c:pt idx="65">
                  <c:v>15.65</c:v>
                </c:pt>
                <c:pt idx="66">
                  <c:v>14.25</c:v>
                </c:pt>
                <c:pt idx="67">
                  <c:v>13.13</c:v>
                </c:pt>
                <c:pt idx="68">
                  <c:v>12.53</c:v>
                </c:pt>
                <c:pt idx="69">
                  <c:v>12.33</c:v>
                </c:pt>
                <c:pt idx="70">
                  <c:v>11.94</c:v>
                </c:pt>
                <c:pt idx="71">
                  <c:v>13.4</c:v>
                </c:pt>
                <c:pt idx="72">
                  <c:v>12.61</c:v>
                </c:pt>
                <c:pt idx="73">
                  <c:v>12.13</c:v>
                </c:pt>
                <c:pt idx="74">
                  <c:v>12.66</c:v>
                </c:pt>
                <c:pt idx="75">
                  <c:v>11.95</c:v>
                </c:pt>
                <c:pt idx="76">
                  <c:v>12.21</c:v>
                </c:pt>
                <c:pt idx="77">
                  <c:v>14.25</c:v>
                </c:pt>
                <c:pt idx="78">
                  <c:v>12.73</c:v>
                </c:pt>
                <c:pt idx="79">
                  <c:v>13.2</c:v>
                </c:pt>
                <c:pt idx="80">
                  <c:v>12.2</c:v>
                </c:pt>
                <c:pt idx="81">
                  <c:v>13.14</c:v>
                </c:pt>
                <c:pt idx="82">
                  <c:v>13.78</c:v>
                </c:pt>
                <c:pt idx="83">
                  <c:v>13.73</c:v>
                </c:pt>
                <c:pt idx="84">
                  <c:v>12.03</c:v>
                </c:pt>
                <c:pt idx="85">
                  <c:v>12.99</c:v>
                </c:pt>
                <c:pt idx="86">
                  <c:v>13.63</c:v>
                </c:pt>
                <c:pt idx="87">
                  <c:v>14.99</c:v>
                </c:pt>
                <c:pt idx="88">
                  <c:v>13.44</c:v>
                </c:pt>
                <c:pt idx="89">
                  <c:v>13.83</c:v>
                </c:pt>
                <c:pt idx="90">
                  <c:v>12.28</c:v>
                </c:pt>
                <c:pt idx="91">
                  <c:v>13.9</c:v>
                </c:pt>
                <c:pt idx="92">
                  <c:v>12.9</c:v>
                </c:pt>
                <c:pt idx="93">
                  <c:v>12.74</c:v>
                </c:pt>
                <c:pt idx="94">
                  <c:v>13.43</c:v>
                </c:pt>
                <c:pt idx="95">
                  <c:v>12.86</c:v>
                </c:pt>
                <c:pt idx="96">
                  <c:v>12.3</c:v>
                </c:pt>
                <c:pt idx="97">
                  <c:v>11.99</c:v>
                </c:pt>
                <c:pt idx="98">
                  <c:v>12.75</c:v>
                </c:pt>
                <c:pt idx="99">
                  <c:v>12.81</c:v>
                </c:pt>
                <c:pt idx="100">
                  <c:v>12.81</c:v>
                </c:pt>
                <c:pt idx="101">
                  <c:v>13.73</c:v>
                </c:pt>
                <c:pt idx="102">
                  <c:v>12.98</c:v>
                </c:pt>
                <c:pt idx="103">
                  <c:v>12.29</c:v>
                </c:pt>
                <c:pt idx="104">
                  <c:v>13.58</c:v>
                </c:pt>
                <c:pt idx="105">
                  <c:v>14.13</c:v>
                </c:pt>
                <c:pt idx="106">
                  <c:v>14.7</c:v>
                </c:pt>
                <c:pt idx="107">
                  <c:v>13.78</c:v>
                </c:pt>
                <c:pt idx="108">
                  <c:v>14.29</c:v>
                </c:pt>
                <c:pt idx="109">
                  <c:v>13.63</c:v>
                </c:pt>
                <c:pt idx="110">
                  <c:v>13.14</c:v>
                </c:pt>
                <c:pt idx="111">
                  <c:v>13.29</c:v>
                </c:pt>
                <c:pt idx="112">
                  <c:v>13.45</c:v>
                </c:pt>
                <c:pt idx="113">
                  <c:v>14.85</c:v>
                </c:pt>
                <c:pt idx="114">
                  <c:v>13.21</c:v>
                </c:pt>
                <c:pt idx="115">
                  <c:v>14.84</c:v>
                </c:pt>
                <c:pt idx="116">
                  <c:v>12.96</c:v>
                </c:pt>
                <c:pt idx="117">
                  <c:v>14.36</c:v>
                </c:pt>
                <c:pt idx="118">
                  <c:v>13.14</c:v>
                </c:pt>
                <c:pt idx="119">
                  <c:v>13.58</c:v>
                </c:pt>
                <c:pt idx="120">
                  <c:v>13.76</c:v>
                </c:pt>
                <c:pt idx="121">
                  <c:v>13.54</c:v>
                </c:pt>
                <c:pt idx="122">
                  <c:v>12.7</c:v>
                </c:pt>
                <c:pt idx="123">
                  <c:v>13.06</c:v>
                </c:pt>
                <c:pt idx="124">
                  <c:v>13.51</c:v>
                </c:pt>
                <c:pt idx="125">
                  <c:v>13.13</c:v>
                </c:pt>
                <c:pt idx="126">
                  <c:v>12.95</c:v>
                </c:pt>
                <c:pt idx="127">
                  <c:v>12.86</c:v>
                </c:pt>
                <c:pt idx="128">
                  <c:v>12.98</c:v>
                </c:pt>
                <c:pt idx="129">
                  <c:v>13.08</c:v>
                </c:pt>
                <c:pt idx="130">
                  <c:v>13.59</c:v>
                </c:pt>
                <c:pt idx="131">
                  <c:v>13.38</c:v>
                </c:pt>
                <c:pt idx="132">
                  <c:v>13.85</c:v>
                </c:pt>
                <c:pt idx="133">
                  <c:v>13.25</c:v>
                </c:pt>
                <c:pt idx="134">
                  <c:v>12.95</c:v>
                </c:pt>
                <c:pt idx="135">
                  <c:v>13.71</c:v>
                </c:pt>
                <c:pt idx="136">
                  <c:v>12.74</c:v>
                </c:pt>
                <c:pt idx="137">
                  <c:v>12.65</c:v>
                </c:pt>
                <c:pt idx="138">
                  <c:v>12.18</c:v>
                </c:pt>
                <c:pt idx="139">
                  <c:v>12.86</c:v>
                </c:pt>
                <c:pt idx="140">
                  <c:v>13.06</c:v>
                </c:pt>
                <c:pt idx="141">
                  <c:v>12.54</c:v>
                </c:pt>
                <c:pt idx="142">
                  <c:v>13.11</c:v>
                </c:pt>
                <c:pt idx="143">
                  <c:v>12.69</c:v>
                </c:pt>
                <c:pt idx="144">
                  <c:v>11.74</c:v>
                </c:pt>
                <c:pt idx="145">
                  <c:v>12.94</c:v>
                </c:pt>
                <c:pt idx="146">
                  <c:v>12.86</c:v>
                </c:pt>
                <c:pt idx="147">
                  <c:v>13.54</c:v>
                </c:pt>
                <c:pt idx="148">
                  <c:v>13.09</c:v>
                </c:pt>
                <c:pt idx="149">
                  <c:v>12.88</c:v>
                </c:pt>
                <c:pt idx="150">
                  <c:v>13</c:v>
                </c:pt>
                <c:pt idx="151">
                  <c:v>13.09</c:v>
                </c:pt>
                <c:pt idx="152">
                  <c:v>12.91</c:v>
                </c:pt>
                <c:pt idx="153">
                  <c:v>12.75</c:v>
                </c:pt>
                <c:pt idx="154">
                  <c:v>12.98</c:v>
                </c:pt>
                <c:pt idx="155">
                  <c:v>12.58</c:v>
                </c:pt>
                <c:pt idx="156">
                  <c:v>13.19</c:v>
                </c:pt>
                <c:pt idx="157">
                  <c:v>12.69</c:v>
                </c:pt>
                <c:pt idx="158">
                  <c:v>12.13</c:v>
                </c:pt>
                <c:pt idx="159">
                  <c:v>13.03</c:v>
                </c:pt>
                <c:pt idx="160">
                  <c:v>12.9</c:v>
                </c:pt>
                <c:pt idx="161">
                  <c:v>13</c:v>
                </c:pt>
                <c:pt idx="162">
                  <c:v>12.84</c:v>
                </c:pt>
                <c:pt idx="163">
                  <c:v>12.44</c:v>
                </c:pt>
                <c:pt idx="164">
                  <c:v>12.63</c:v>
                </c:pt>
                <c:pt idx="165">
                  <c:v>12.59</c:v>
                </c:pt>
                <c:pt idx="166">
                  <c:v>13.03</c:v>
                </c:pt>
                <c:pt idx="167">
                  <c:v>12.85</c:v>
                </c:pt>
                <c:pt idx="168">
                  <c:v>12.65</c:v>
                </c:pt>
                <c:pt idx="169">
                  <c:v>12.74</c:v>
                </c:pt>
                <c:pt idx="170">
                  <c:v>12.94</c:v>
                </c:pt>
                <c:pt idx="171">
                  <c:v>13.7</c:v>
                </c:pt>
                <c:pt idx="172">
                  <c:v>13.23</c:v>
                </c:pt>
                <c:pt idx="173">
                  <c:v>13.05</c:v>
                </c:pt>
                <c:pt idx="174">
                  <c:v>12.88</c:v>
                </c:pt>
                <c:pt idx="175">
                  <c:v>12.93</c:v>
                </c:pt>
                <c:pt idx="176">
                  <c:v>13.01</c:v>
                </c:pt>
                <c:pt idx="177">
                  <c:v>13.4</c:v>
                </c:pt>
                <c:pt idx="178">
                  <c:v>12.64</c:v>
                </c:pt>
                <c:pt idx="179">
                  <c:v>13.14</c:v>
                </c:pt>
                <c:pt idx="180">
                  <c:v>13.11</c:v>
                </c:pt>
                <c:pt idx="181">
                  <c:v>12.84</c:v>
                </c:pt>
                <c:pt idx="182">
                  <c:v>13</c:v>
                </c:pt>
                <c:pt idx="183">
                  <c:v>13.13</c:v>
                </c:pt>
                <c:pt idx="184">
                  <c:v>14.2</c:v>
                </c:pt>
                <c:pt idx="185">
                  <c:v>14.3</c:v>
                </c:pt>
                <c:pt idx="186">
                  <c:v>14.53</c:v>
                </c:pt>
                <c:pt idx="187">
                  <c:v>14.43</c:v>
                </c:pt>
                <c:pt idx="188">
                  <c:v>13.01</c:v>
                </c:pt>
                <c:pt idx="189">
                  <c:v>13.69</c:v>
                </c:pt>
                <c:pt idx="190">
                  <c:v>14.74</c:v>
                </c:pt>
                <c:pt idx="191">
                  <c:v>14.48</c:v>
                </c:pt>
                <c:pt idx="192">
                  <c:v>14.73</c:v>
                </c:pt>
                <c:pt idx="193">
                  <c:v>14.09</c:v>
                </c:pt>
                <c:pt idx="194">
                  <c:v>14.83</c:v>
                </c:pt>
                <c:pt idx="195">
                  <c:v>14.43</c:v>
                </c:pt>
                <c:pt idx="196">
                  <c:v>14.79</c:v>
                </c:pt>
                <c:pt idx="197">
                  <c:v>12.48</c:v>
                </c:pt>
                <c:pt idx="198">
                  <c:v>12.51</c:v>
                </c:pt>
                <c:pt idx="199">
                  <c:v>12.75</c:v>
                </c:pt>
                <c:pt idx="200">
                  <c:v>12.6</c:v>
                </c:pt>
                <c:pt idx="201">
                  <c:v>11.99</c:v>
                </c:pt>
                <c:pt idx="202">
                  <c:v>11.89</c:v>
                </c:pt>
                <c:pt idx="203">
                  <c:v>12.04</c:v>
                </c:pt>
                <c:pt idx="204">
                  <c:v>13.96</c:v>
                </c:pt>
                <c:pt idx="205">
                  <c:v>13.24</c:v>
                </c:pt>
                <c:pt idx="206">
                  <c:v>13.54</c:v>
                </c:pt>
                <c:pt idx="207">
                  <c:v>14.79</c:v>
                </c:pt>
                <c:pt idx="208">
                  <c:v>13.65</c:v>
                </c:pt>
                <c:pt idx="209">
                  <c:v>12.49</c:v>
                </c:pt>
                <c:pt idx="210">
                  <c:v>12.43</c:v>
                </c:pt>
                <c:pt idx="211">
                  <c:v>12.49</c:v>
                </c:pt>
                <c:pt idx="212">
                  <c:v>13.78</c:v>
                </c:pt>
                <c:pt idx="213">
                  <c:v>12.69</c:v>
                </c:pt>
                <c:pt idx="214">
                  <c:v>12.75</c:v>
                </c:pt>
                <c:pt idx="215">
                  <c:v>11.99</c:v>
                </c:pt>
                <c:pt idx="216">
                  <c:v>12.13</c:v>
                </c:pt>
                <c:pt idx="217">
                  <c:v>12.13</c:v>
                </c:pt>
                <c:pt idx="218">
                  <c:v>11.91</c:v>
                </c:pt>
                <c:pt idx="219">
                  <c:v>12.5</c:v>
                </c:pt>
                <c:pt idx="220">
                  <c:v>12.63</c:v>
                </c:pt>
                <c:pt idx="221">
                  <c:v>12.83</c:v>
                </c:pt>
                <c:pt idx="222">
                  <c:v>13.06</c:v>
                </c:pt>
                <c:pt idx="223">
                  <c:v>12.31</c:v>
                </c:pt>
                <c:pt idx="224">
                  <c:v>12.5</c:v>
                </c:pt>
                <c:pt idx="225">
                  <c:v>12.35</c:v>
                </c:pt>
                <c:pt idx="226">
                  <c:v>12.16</c:v>
                </c:pt>
                <c:pt idx="227">
                  <c:v>12.41</c:v>
                </c:pt>
                <c:pt idx="228">
                  <c:v>12.06</c:v>
                </c:pt>
                <c:pt idx="229">
                  <c:v>14.36</c:v>
                </c:pt>
                <c:pt idx="230">
                  <c:v>12.18</c:v>
                </c:pt>
                <c:pt idx="231">
                  <c:v>12.34</c:v>
                </c:pt>
                <c:pt idx="232">
                  <c:v>14.35</c:v>
                </c:pt>
                <c:pt idx="233">
                  <c:v>12.23</c:v>
                </c:pt>
                <c:pt idx="234">
                  <c:v>12.64</c:v>
                </c:pt>
                <c:pt idx="235">
                  <c:v>12.91</c:v>
                </c:pt>
                <c:pt idx="236">
                  <c:v>13.31</c:v>
                </c:pt>
                <c:pt idx="237">
                  <c:v>12.79</c:v>
                </c:pt>
                <c:pt idx="238">
                  <c:v>13.36</c:v>
                </c:pt>
                <c:pt idx="239">
                  <c:v>12.25</c:v>
                </c:pt>
                <c:pt idx="240">
                  <c:v>11.93</c:v>
                </c:pt>
                <c:pt idx="241">
                  <c:v>12.34</c:v>
                </c:pt>
                <c:pt idx="242">
                  <c:v>11.91</c:v>
                </c:pt>
                <c:pt idx="243">
                  <c:v>12.2</c:v>
                </c:pt>
                <c:pt idx="244">
                  <c:v>12.71</c:v>
                </c:pt>
                <c:pt idx="245">
                  <c:v>11.9</c:v>
                </c:pt>
                <c:pt idx="246">
                  <c:v>12.46</c:v>
                </c:pt>
                <c:pt idx="247">
                  <c:v>12.69</c:v>
                </c:pt>
                <c:pt idx="248">
                  <c:v>12.54</c:v>
                </c:pt>
                <c:pt idx="249">
                  <c:v>12.09</c:v>
                </c:pt>
                <c:pt idx="250">
                  <c:v>11.9</c:v>
                </c:pt>
                <c:pt idx="251">
                  <c:v>12.4</c:v>
                </c:pt>
                <c:pt idx="252">
                  <c:v>12.7</c:v>
                </c:pt>
                <c:pt idx="253">
                  <c:v>12.66</c:v>
                </c:pt>
                <c:pt idx="254">
                  <c:v>13.54</c:v>
                </c:pt>
                <c:pt idx="255">
                  <c:v>12.53</c:v>
                </c:pt>
                <c:pt idx="256">
                  <c:v>12.71</c:v>
                </c:pt>
                <c:pt idx="257">
                  <c:v>12.31</c:v>
                </c:pt>
                <c:pt idx="258">
                  <c:v>12.54</c:v>
                </c:pt>
                <c:pt idx="259">
                  <c:v>12</c:v>
                </c:pt>
                <c:pt idx="260">
                  <c:v>12.39</c:v>
                </c:pt>
                <c:pt idx="261">
                  <c:v>12.31</c:v>
                </c:pt>
                <c:pt idx="262">
                  <c:v>12.8</c:v>
                </c:pt>
                <c:pt idx="263">
                  <c:v>13.44</c:v>
                </c:pt>
                <c:pt idx="264">
                  <c:v>12.99</c:v>
                </c:pt>
                <c:pt idx="265">
                  <c:v>13.09</c:v>
                </c:pt>
                <c:pt idx="266">
                  <c:v>12.59</c:v>
                </c:pt>
                <c:pt idx="267">
                  <c:v>13.35</c:v>
                </c:pt>
                <c:pt idx="268">
                  <c:v>12.75</c:v>
                </c:pt>
                <c:pt idx="269">
                  <c:v>13.5</c:v>
                </c:pt>
                <c:pt idx="270">
                  <c:v>12.05</c:v>
                </c:pt>
                <c:pt idx="271">
                  <c:v>11.7</c:v>
                </c:pt>
                <c:pt idx="272">
                  <c:v>12.69</c:v>
                </c:pt>
                <c:pt idx="273">
                  <c:v>13.18</c:v>
                </c:pt>
                <c:pt idx="274">
                  <c:v>14.05</c:v>
                </c:pt>
                <c:pt idx="275">
                  <c:v>12.36</c:v>
                </c:pt>
                <c:pt idx="276">
                  <c:v>12.7</c:v>
                </c:pt>
                <c:pt idx="277">
                  <c:v>12.75</c:v>
                </c:pt>
                <c:pt idx="278">
                  <c:v>11.89</c:v>
                </c:pt>
                <c:pt idx="279">
                  <c:v>11.74</c:v>
                </c:pt>
                <c:pt idx="280">
                  <c:v>11.99</c:v>
                </c:pt>
                <c:pt idx="281">
                  <c:v>12.49</c:v>
                </c:pt>
                <c:pt idx="282">
                  <c:v>12.71</c:v>
                </c:pt>
                <c:pt idx="283">
                  <c:v>12.13</c:v>
                </c:pt>
                <c:pt idx="284">
                  <c:v>12.75</c:v>
                </c:pt>
                <c:pt idx="285">
                  <c:v>12.35</c:v>
                </c:pt>
                <c:pt idx="286">
                  <c:v>12.29</c:v>
                </c:pt>
                <c:pt idx="287">
                  <c:v>12.64</c:v>
                </c:pt>
                <c:pt idx="288">
                  <c:v>12.58</c:v>
                </c:pt>
                <c:pt idx="289">
                  <c:v>11.9</c:v>
                </c:pt>
                <c:pt idx="290">
                  <c:v>12.45</c:v>
                </c:pt>
                <c:pt idx="291">
                  <c:v>12.03</c:v>
                </c:pt>
                <c:pt idx="292">
                  <c:v>11.88</c:v>
                </c:pt>
                <c:pt idx="293">
                  <c:v>11.89</c:v>
                </c:pt>
                <c:pt idx="294">
                  <c:v>12.13</c:v>
                </c:pt>
                <c:pt idx="295">
                  <c:v>12.3</c:v>
                </c:pt>
                <c:pt idx="296">
                  <c:v>11.83</c:v>
                </c:pt>
                <c:pt idx="297">
                  <c:v>11.81</c:v>
                </c:pt>
                <c:pt idx="298">
                  <c:v>12.13</c:v>
                </c:pt>
                <c:pt idx="299">
                  <c:v>12.58</c:v>
                </c:pt>
              </c:numCache>
            </c:numRef>
          </c:yVal>
          <c:smooth val="0"/>
          <c:extLst>
            <c:ext xmlns:c16="http://schemas.microsoft.com/office/drawing/2014/chart" uri="{C3380CC4-5D6E-409C-BE32-E72D297353CC}">
              <c16:uniqueId val="{00000003-7FAD-41CF-B5D6-5DFA0376D15D}"/>
            </c:ext>
          </c:extLst>
        </c:ser>
        <c:dLbls>
          <c:showLegendKey val="0"/>
          <c:showVal val="0"/>
          <c:showCatName val="0"/>
          <c:showSerName val="0"/>
          <c:showPercent val="0"/>
          <c:showBubbleSize val="0"/>
        </c:dLbls>
        <c:axId val="684177080"/>
        <c:axId val="684180360"/>
      </c:scatterChart>
      <c:valAx>
        <c:axId val="684177080"/>
        <c:scaling>
          <c:orientation val="minMax"/>
          <c:max val="111.5"/>
          <c:min val="10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r>
                  <a:rPr lang="et-EE"/>
                  <a:t>Growing period, days</a:t>
                </a:r>
              </a:p>
            </c:rich>
          </c:tx>
          <c:layout>
            <c:manualLayout>
              <c:xMode val="edge"/>
              <c:yMode val="edge"/>
              <c:x val="0.44032229373817899"/>
              <c:y val="0.926360393331115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endParaRPr lang="et-EE"/>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endParaRPr lang="et-EE"/>
          </a:p>
        </c:txPr>
        <c:crossAx val="684180360"/>
        <c:crosses val="autoZero"/>
        <c:crossBetween val="midCat"/>
      </c:valAx>
      <c:valAx>
        <c:axId val="684180360"/>
        <c:scaling>
          <c:orientation val="minMax"/>
          <c:min val="11"/>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r>
                  <a:rPr lang="et-EE"/>
                  <a:t>Protein, %</a:t>
                </a:r>
              </a:p>
            </c:rich>
          </c:tx>
          <c:layout>
            <c:manualLayout>
              <c:xMode val="edge"/>
              <c:yMode val="edge"/>
              <c:x val="8.0244896773795388E-3"/>
              <c:y val="0.342052665951967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endParaRPr lang="et-EE"/>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endParaRPr lang="et-EE"/>
          </a:p>
        </c:txPr>
        <c:crossAx val="684177080"/>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Palatino Linotype" panose="02040502050505030304" pitchFamily="18" charset="0"/>
          <a:cs typeface="Arial" panose="020B0604020202020204" pitchFamily="34" charset="0"/>
        </a:defRPr>
      </a:pPr>
      <a:endParaRPr lang="et-EE"/>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29009196308732"/>
          <c:y val="0.11207585843006737"/>
          <c:w val="0.85138004373125586"/>
          <c:h val="0.73325283437508459"/>
        </c:manualLayout>
      </c:layout>
      <c:scatterChart>
        <c:scatterStyle val="lineMarker"/>
        <c:varyColors val="0"/>
        <c:ser>
          <c:idx val="0"/>
          <c:order val="0"/>
          <c:spPr>
            <a:ln w="19050" cap="rnd">
              <a:noFill/>
              <a:round/>
            </a:ln>
            <a:effectLst/>
          </c:spPr>
          <c:marker>
            <c:symbol val="circle"/>
            <c:size val="5"/>
            <c:spPr>
              <a:solidFill>
                <a:schemeClr val="bg1">
                  <a:lumMod val="65000"/>
                </a:schemeClr>
              </a:solidFill>
              <a:ln w="9525">
                <a:solidFill>
                  <a:schemeClr val="tx1"/>
                </a:solidFill>
              </a:ln>
              <a:effectLst/>
            </c:spPr>
          </c:marker>
          <c:dPt>
            <c:idx val="0"/>
            <c:bubble3D val="0"/>
            <c:extLst>
              <c:ext xmlns:c16="http://schemas.microsoft.com/office/drawing/2014/chart" uri="{C3380CC4-5D6E-409C-BE32-E72D297353CC}">
                <c16:uniqueId val="{00000000-8392-4EF5-AE9B-46436AB9AC5F}"/>
              </c:ext>
            </c:extLst>
          </c:dPt>
          <c:dPt>
            <c:idx val="69"/>
            <c:bubble3D val="0"/>
            <c:extLst>
              <c:ext xmlns:c16="http://schemas.microsoft.com/office/drawing/2014/chart" uri="{C3380CC4-5D6E-409C-BE32-E72D297353CC}">
                <c16:uniqueId val="{00000001-8392-4EF5-AE9B-46436AB9AC5F}"/>
              </c:ext>
            </c:extLst>
          </c:dPt>
          <c:dPt>
            <c:idx val="70"/>
            <c:bubble3D val="0"/>
            <c:extLst>
              <c:ext xmlns:c16="http://schemas.microsoft.com/office/drawing/2014/chart" uri="{C3380CC4-5D6E-409C-BE32-E72D297353CC}">
                <c16:uniqueId val="{00000002-8392-4EF5-AE9B-46436AB9AC5F}"/>
              </c:ext>
            </c:extLst>
          </c:dPt>
          <c:dPt>
            <c:idx val="217"/>
            <c:bubble3D val="0"/>
            <c:extLst>
              <c:ext xmlns:c16="http://schemas.microsoft.com/office/drawing/2014/chart" uri="{C3380CC4-5D6E-409C-BE32-E72D297353CC}">
                <c16:uniqueId val="{00000003-8392-4EF5-AE9B-46436AB9AC5F}"/>
              </c:ext>
            </c:extLst>
          </c:dPt>
          <c:dPt>
            <c:idx val="218"/>
            <c:bubble3D val="0"/>
            <c:extLst>
              <c:ext xmlns:c16="http://schemas.microsoft.com/office/drawing/2014/chart" uri="{C3380CC4-5D6E-409C-BE32-E72D297353CC}">
                <c16:uniqueId val="{00000004-8392-4EF5-AE9B-46436AB9AC5F}"/>
              </c:ext>
            </c:extLst>
          </c:dPt>
          <c:dPt>
            <c:idx val="242"/>
            <c:bubble3D val="0"/>
            <c:extLst>
              <c:ext xmlns:c16="http://schemas.microsoft.com/office/drawing/2014/chart" uri="{C3380CC4-5D6E-409C-BE32-E72D297353CC}">
                <c16:uniqueId val="{00000005-8392-4EF5-AE9B-46436AB9AC5F}"/>
              </c:ext>
            </c:extLst>
          </c:dPt>
          <c:dPt>
            <c:idx val="243"/>
            <c:bubble3D val="0"/>
            <c:extLst>
              <c:ext xmlns:c16="http://schemas.microsoft.com/office/drawing/2014/chart" uri="{C3380CC4-5D6E-409C-BE32-E72D297353CC}">
                <c16:uniqueId val="{00000006-8392-4EF5-AE9B-46436AB9AC5F}"/>
              </c:ext>
            </c:extLst>
          </c:dPt>
          <c:dPt>
            <c:idx val="282"/>
            <c:bubble3D val="0"/>
            <c:extLst>
              <c:ext xmlns:c16="http://schemas.microsoft.com/office/drawing/2014/chart" uri="{C3380CC4-5D6E-409C-BE32-E72D297353CC}">
                <c16:uniqueId val="{00000007-8392-4EF5-AE9B-46436AB9AC5F}"/>
              </c:ext>
            </c:extLst>
          </c:dPt>
          <c:dPt>
            <c:idx val="283"/>
            <c:bubble3D val="0"/>
            <c:extLst>
              <c:ext xmlns:c16="http://schemas.microsoft.com/office/drawing/2014/chart" uri="{C3380CC4-5D6E-409C-BE32-E72D297353CC}">
                <c16:uniqueId val="{00000008-8392-4EF5-AE9B-46436AB9AC5F}"/>
              </c:ext>
            </c:extLst>
          </c:dPt>
          <c:dPt>
            <c:idx val="291"/>
            <c:bubble3D val="0"/>
            <c:extLst>
              <c:ext xmlns:c16="http://schemas.microsoft.com/office/drawing/2014/chart" uri="{C3380CC4-5D6E-409C-BE32-E72D297353CC}">
                <c16:uniqueId val="{00000009-8392-4EF5-AE9B-46436AB9AC5F}"/>
              </c:ext>
            </c:extLst>
          </c:dPt>
          <c:dPt>
            <c:idx val="292"/>
            <c:bubble3D val="0"/>
            <c:extLst>
              <c:ext xmlns:c16="http://schemas.microsoft.com/office/drawing/2014/chart" uri="{C3380CC4-5D6E-409C-BE32-E72D297353CC}">
                <c16:uniqueId val="{0000000A-8392-4EF5-AE9B-46436AB9AC5F}"/>
              </c:ext>
            </c:extLst>
          </c:dPt>
          <c:dPt>
            <c:idx val="298"/>
            <c:bubble3D val="0"/>
            <c:extLst>
              <c:ext xmlns:c16="http://schemas.microsoft.com/office/drawing/2014/chart" uri="{C3380CC4-5D6E-409C-BE32-E72D297353CC}">
                <c16:uniqueId val="{0000000B-8392-4EF5-AE9B-46436AB9AC5F}"/>
              </c:ext>
            </c:extLst>
          </c:dPt>
          <c:dPt>
            <c:idx val="299"/>
            <c:bubble3D val="0"/>
            <c:extLst>
              <c:ext xmlns:c16="http://schemas.microsoft.com/office/drawing/2014/chart" uri="{C3380CC4-5D6E-409C-BE32-E72D297353CC}">
                <c16:uniqueId val="{0000000C-8392-4EF5-AE9B-46436AB9AC5F}"/>
              </c:ext>
            </c:extLst>
          </c:dPt>
          <c:dLbls>
            <c:dLbl>
              <c:idx val="19"/>
              <c:layout>
                <c:manualLayout>
                  <c:x val="-4.5283756197142026E-2"/>
                  <c:y val="-5.8552506967557046E-2"/>
                </c:manualLayout>
              </c:layout>
              <c:tx>
                <c:rich>
                  <a:bodyPr rot="0" spcFirstLastPara="1" vertOverflow="overflow" horzOverflow="overflow" vert="horz" wrap="square" tIns="0" anchor="ctr" anchorCtr="1">
                    <a:spAutoFit/>
                  </a:bodyPr>
                  <a:lstStyle/>
                  <a:p>
                    <a:pPr>
                      <a:defRPr sz="8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r>
                      <a:rPr lang="en-US" sz="800"/>
                      <a:t>SHA3/CBRD</a:t>
                    </a:r>
                  </a:p>
                </c:rich>
              </c:tx>
              <c:spPr>
                <a:solidFill>
                  <a:srgbClr val="FF99FF">
                    <a:alpha val="50000"/>
                  </a:srgbClr>
                </a:solid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ext>
                <c:ext xmlns:c16="http://schemas.microsoft.com/office/drawing/2014/chart" uri="{C3380CC4-5D6E-409C-BE32-E72D297353CC}">
                  <c16:uniqueId val="{0000000D-8392-4EF5-AE9B-46436AB9AC5F}"/>
                </c:ext>
              </c:extLst>
            </c:dLbl>
            <c:dLbl>
              <c:idx val="35"/>
              <c:layout>
                <c:manualLayout>
                  <c:x val="-2.0349956255468066E-3"/>
                  <c:y val="-4.2087087696512086E-2"/>
                </c:manualLayout>
              </c:layout>
              <c:tx>
                <c:rich>
                  <a:bodyPr rot="0" spcFirstLastPara="1" vertOverflow="overflow" horzOverflow="overflow" vert="horz" wrap="square" lIns="36576" tIns="0" rIns="36576" bIns="18288" anchor="ctr" anchorCtr="1">
                    <a:spAutoFit/>
                  </a:bodyPr>
                  <a:lstStyle/>
                  <a:p>
                    <a:pPr>
                      <a:defRPr sz="8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r>
                      <a:rPr lang="en-US" sz="800"/>
                      <a:t>SPORT</a:t>
                    </a:r>
                  </a:p>
                </c:rich>
              </c:tx>
              <c:spPr>
                <a:solidFill>
                  <a:srgbClr val="FF99FF">
                    <a:alpha val="50000"/>
                  </a:srgbClr>
                </a:solidFill>
                <a:ln w="6350">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ext>
                <c:ext xmlns:c16="http://schemas.microsoft.com/office/drawing/2014/chart" uri="{C3380CC4-5D6E-409C-BE32-E72D297353CC}">
                  <c16:uniqueId val="{0000000E-8392-4EF5-AE9B-46436AB9AC5F}"/>
                </c:ext>
              </c:extLst>
            </c:dLbl>
            <c:dLbl>
              <c:idx val="70"/>
              <c:layout>
                <c:manualLayout>
                  <c:x val="2.5723145717896374E-2"/>
                  <c:y val="2.9007698135671185E-2"/>
                </c:manualLayout>
              </c:layout>
              <c:tx>
                <c:rich>
                  <a:bodyPr rot="0" spcFirstLastPara="1" vertOverflow="overflow" horzOverflow="overflow" vert="horz" wrap="square" lIns="36576" tIns="0" rIns="36576" bIns="18288" anchor="ctr" anchorCtr="1">
                    <a:spAutoFit/>
                  </a:bodyPr>
                  <a:lstStyle/>
                  <a:p>
                    <a:pPr>
                      <a:defRPr sz="8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r>
                      <a:rPr lang="en-US" sz="800"/>
                      <a:t>DAUGANA</a:t>
                    </a:r>
                  </a:p>
                </c:rich>
              </c:tx>
              <c:spPr>
                <a:solidFill>
                  <a:srgbClr val="92D050">
                    <a:alpha val="50000"/>
                  </a:srgbClr>
                </a:solid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ext>
                <c:ext xmlns:c16="http://schemas.microsoft.com/office/drawing/2014/chart" uri="{C3380CC4-5D6E-409C-BE32-E72D297353CC}">
                  <c16:uniqueId val="{00000002-8392-4EF5-AE9B-46436AB9AC5F}"/>
                </c:ext>
              </c:extLst>
            </c:dLbl>
            <c:dLbl>
              <c:idx val="262"/>
              <c:layout>
                <c:manualLayout>
                  <c:x val="2.1808885000486049E-2"/>
                  <c:y val="-4.1626755418459289E-2"/>
                </c:manualLayout>
              </c:layout>
              <c:tx>
                <c:rich>
                  <a:bodyPr rot="0" spcFirstLastPara="1" vertOverflow="overflow" horzOverflow="overflow" vert="horz" wrap="square" lIns="36576" tIns="0" rIns="36576" bIns="18288" anchor="ctr" anchorCtr="1">
                    <a:spAutoFit/>
                  </a:bodyPr>
                  <a:lstStyle/>
                  <a:p>
                    <a:pPr>
                      <a:defRPr sz="8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r>
                      <a:rPr lang="en-US" sz="800"/>
                      <a:t>DS-655-5-DH</a:t>
                    </a:r>
                  </a:p>
                </c:rich>
              </c:tx>
              <c:spPr>
                <a:solidFill>
                  <a:srgbClr val="92D050">
                    <a:alpha val="50000"/>
                  </a:srgbClr>
                </a:solid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ext>
                <c:ext xmlns:c16="http://schemas.microsoft.com/office/drawing/2014/chart" uri="{C3380CC4-5D6E-409C-BE32-E72D297353CC}">
                  <c16:uniqueId val="{0000000F-8392-4EF5-AE9B-46436AB9AC5F}"/>
                </c:ext>
              </c:extLst>
            </c:dLbl>
            <c:dLbl>
              <c:idx val="266"/>
              <c:layout>
                <c:manualLayout>
                  <c:x val="4.6229221347331585E-3"/>
                  <c:y val="-0.11160064399166601"/>
                </c:manualLayout>
              </c:layout>
              <c:tx>
                <c:rich>
                  <a:bodyPr rot="0" spcFirstLastPara="1" vertOverflow="overflow" horzOverflow="overflow" vert="horz" wrap="square" lIns="36576" tIns="0" rIns="36576" bIns="18288" anchor="ctr" anchorCtr="1">
                    <a:spAutoFit/>
                  </a:bodyPr>
                  <a:lstStyle/>
                  <a:p>
                    <a:pPr>
                      <a:defRPr sz="8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r>
                      <a:rPr lang="en-US" sz="800"/>
                      <a:t>DS-661-11-DH</a:t>
                    </a:r>
                  </a:p>
                </c:rich>
              </c:tx>
              <c:spPr>
                <a:solidFill>
                  <a:srgbClr val="92D050">
                    <a:alpha val="50000"/>
                  </a:srgbClr>
                </a:solid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ext>
                <c:ext xmlns:c16="http://schemas.microsoft.com/office/drawing/2014/chart" uri="{C3380CC4-5D6E-409C-BE32-E72D297353CC}">
                  <c16:uniqueId val="{00000010-8392-4EF5-AE9B-46436AB9AC5F}"/>
                </c:ext>
              </c:extLst>
            </c:dLbl>
            <c:dLbl>
              <c:idx val="268"/>
              <c:layout>
                <c:manualLayout>
                  <c:x val="5.2585399047341302E-2"/>
                  <c:y val="-1.4572340828530454E-2"/>
                </c:manualLayout>
              </c:layout>
              <c:tx>
                <c:rich>
                  <a:bodyPr rot="0" spcFirstLastPara="1" vertOverflow="overflow" horzOverflow="overflow" vert="horz" wrap="square" lIns="36576" tIns="0" rIns="36576" bIns="18288" anchor="ctr" anchorCtr="1">
                    <a:spAutoFit/>
                  </a:bodyPr>
                  <a:lstStyle/>
                  <a:p>
                    <a:pPr>
                      <a:defRPr sz="8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r>
                      <a:rPr lang="en-US" sz="800"/>
                      <a:t>DS-661-14-DH</a:t>
                    </a:r>
                  </a:p>
                </c:rich>
              </c:tx>
              <c:spPr>
                <a:solidFill>
                  <a:srgbClr val="92D050">
                    <a:alpha val="50000"/>
                  </a:srgbClr>
                </a:solid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ext>
                <c:ext xmlns:c16="http://schemas.microsoft.com/office/drawing/2014/chart" uri="{C3380CC4-5D6E-409C-BE32-E72D297353CC}">
                  <c16:uniqueId val="{00000011-8392-4EF5-AE9B-46436AB9AC5F}"/>
                </c:ext>
              </c:extLst>
            </c:dLbl>
            <c:spPr>
              <a:solidFill>
                <a:schemeClr val="lt1"/>
              </a:solidFill>
              <a:ln w="6350">
                <a:noFill/>
              </a:ln>
              <a:effectLst/>
            </c:spPr>
            <c:txPr>
              <a:bodyPr rot="0" spcFirstLastPara="1" vertOverflow="overflow" horzOverflow="overflow" vert="horz" wrap="square" lIns="36576" tIns="0" rIns="36576" bIns="18288" anchor="ctr" anchorCtr="1">
                <a:spAutoFit/>
              </a:bodyPr>
              <a:lstStyle/>
              <a:p>
                <a:pPr>
                  <a:defRPr sz="8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endParaRPr lang="et-EE"/>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solidFill>
                      <a:round/>
                    </a:ln>
                    <a:effectLst/>
                  </c:spPr>
                </c15:leaderLines>
              </c:ext>
            </c:extLst>
          </c:dLbls>
          <c:trendline>
            <c:spPr>
              <a:ln w="28575" cap="rnd">
                <a:solidFill>
                  <a:schemeClr val="tx1"/>
                </a:solidFill>
                <a:prstDash val="sysDot"/>
              </a:ln>
              <a:effectLst/>
            </c:spPr>
            <c:trendlineType val="linear"/>
            <c:dispRSqr val="1"/>
            <c:dispEq val="1"/>
            <c:trendlineLbl>
              <c:layout>
                <c:manualLayout>
                  <c:x val="-0.46865558471857682"/>
                  <c:y val="-4.4528100224585331E-2"/>
                </c:manualLayout>
              </c:layout>
              <c:tx>
                <c:rich>
                  <a:bodyPr rot="0" spcFirstLastPara="1" vertOverflow="ellipsis" vert="horz" wrap="square" anchor="ctr" anchorCtr="1"/>
                  <a:lstStyle/>
                  <a:p>
                    <a:pPr>
                      <a:defRPr sz="1000" b="1"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r>
                      <a:rPr lang="en-US" b="1">
                        <a:solidFill>
                          <a:sysClr val="windowText" lastClr="000000"/>
                        </a:solidFill>
                      </a:rPr>
                      <a:t>y = -62.711x + 1376.3</a:t>
                    </a:r>
                    <a:br>
                      <a:rPr lang="en-US" b="1">
                        <a:solidFill>
                          <a:sysClr val="windowText" lastClr="000000"/>
                        </a:solidFill>
                      </a:rPr>
                    </a:br>
                    <a:r>
                      <a:rPr lang="en-US" b="1">
                        <a:solidFill>
                          <a:sysClr val="windowText" lastClr="000000"/>
                        </a:solidFill>
                      </a:rPr>
                      <a:t>R² = 0.7288</a:t>
                    </a:r>
                    <a:r>
                      <a:rPr lang="et-EE" b="1">
                        <a:solidFill>
                          <a:sysClr val="windowText" lastClr="000000"/>
                        </a:solidFill>
                      </a:rPr>
                      <a:t> (P&lt;0.001)</a:t>
                    </a:r>
                    <a:endParaRPr lang="en-US" b="1">
                      <a:solidFill>
                        <a:sysClr val="windowText" lastClr="000000"/>
                      </a:solidFill>
                    </a:endParaRPr>
                  </a:p>
                </c:rich>
              </c:tx>
              <c:numFmt formatCode="General" sourceLinked="0"/>
              <c:spPr>
                <a:solidFill>
                  <a:schemeClr val="bg1">
                    <a:lumMod val="75000"/>
                    <a:alpha val="30000"/>
                  </a:schemeClr>
                </a:solidFill>
                <a:ln>
                  <a:solidFill>
                    <a:schemeClr val="tx1"/>
                  </a:solidFill>
                </a:ln>
                <a:effectLst/>
              </c:spPr>
            </c:trendlineLbl>
          </c:trendline>
          <c:xVal>
            <c:numRef>
              <c:f>Fig_PROT_YIELD!$D$47:$D$345</c:f>
              <c:numCache>
                <c:formatCode>General</c:formatCode>
                <c:ptCount val="299"/>
                <c:pt idx="0">
                  <c:v>14</c:v>
                </c:pt>
                <c:pt idx="1">
                  <c:v>13.8</c:v>
                </c:pt>
                <c:pt idx="2">
                  <c:v>14.2</c:v>
                </c:pt>
                <c:pt idx="3">
                  <c:v>13.2</c:v>
                </c:pt>
                <c:pt idx="4">
                  <c:v>14.2</c:v>
                </c:pt>
                <c:pt idx="5">
                  <c:v>13.34</c:v>
                </c:pt>
                <c:pt idx="6">
                  <c:v>13.66</c:v>
                </c:pt>
                <c:pt idx="7">
                  <c:v>14.28</c:v>
                </c:pt>
                <c:pt idx="8">
                  <c:v>13.49</c:v>
                </c:pt>
                <c:pt idx="9">
                  <c:v>12.95</c:v>
                </c:pt>
                <c:pt idx="10">
                  <c:v>13.8</c:v>
                </c:pt>
                <c:pt idx="11">
                  <c:v>14.15</c:v>
                </c:pt>
                <c:pt idx="12">
                  <c:v>13.65</c:v>
                </c:pt>
                <c:pt idx="13">
                  <c:v>15.36</c:v>
                </c:pt>
                <c:pt idx="14">
                  <c:v>12.64</c:v>
                </c:pt>
                <c:pt idx="15">
                  <c:v>15.01</c:v>
                </c:pt>
                <c:pt idx="16">
                  <c:v>15.09</c:v>
                </c:pt>
                <c:pt idx="17">
                  <c:v>13.65</c:v>
                </c:pt>
                <c:pt idx="18">
                  <c:v>13.48</c:v>
                </c:pt>
                <c:pt idx="19">
                  <c:v>16.399999999999999</c:v>
                </c:pt>
                <c:pt idx="20">
                  <c:v>14.23</c:v>
                </c:pt>
                <c:pt idx="21">
                  <c:v>12.81</c:v>
                </c:pt>
                <c:pt idx="22">
                  <c:v>13.38</c:v>
                </c:pt>
                <c:pt idx="23">
                  <c:v>14.14</c:v>
                </c:pt>
                <c:pt idx="24">
                  <c:v>12.96</c:v>
                </c:pt>
                <c:pt idx="25">
                  <c:v>13.48</c:v>
                </c:pt>
                <c:pt idx="26">
                  <c:v>12.91</c:v>
                </c:pt>
                <c:pt idx="27">
                  <c:v>12.89</c:v>
                </c:pt>
                <c:pt idx="28">
                  <c:v>12.9</c:v>
                </c:pt>
                <c:pt idx="29">
                  <c:v>13.35</c:v>
                </c:pt>
                <c:pt idx="30">
                  <c:v>14.54</c:v>
                </c:pt>
                <c:pt idx="31">
                  <c:v>13.73</c:v>
                </c:pt>
                <c:pt idx="32">
                  <c:v>13.56</c:v>
                </c:pt>
                <c:pt idx="33">
                  <c:v>13.31</c:v>
                </c:pt>
                <c:pt idx="34">
                  <c:v>14.31</c:v>
                </c:pt>
                <c:pt idx="35">
                  <c:v>15.79</c:v>
                </c:pt>
                <c:pt idx="36">
                  <c:v>12.89</c:v>
                </c:pt>
                <c:pt idx="37">
                  <c:v>14.9</c:v>
                </c:pt>
                <c:pt idx="38">
                  <c:v>14.85</c:v>
                </c:pt>
                <c:pt idx="39">
                  <c:v>13.6</c:v>
                </c:pt>
                <c:pt idx="40">
                  <c:v>13.09</c:v>
                </c:pt>
                <c:pt idx="41">
                  <c:v>13.85</c:v>
                </c:pt>
                <c:pt idx="42">
                  <c:v>13.74</c:v>
                </c:pt>
                <c:pt idx="43">
                  <c:v>15.61</c:v>
                </c:pt>
                <c:pt idx="44">
                  <c:v>13.15</c:v>
                </c:pt>
                <c:pt idx="45">
                  <c:v>13.69</c:v>
                </c:pt>
                <c:pt idx="46">
                  <c:v>13.73</c:v>
                </c:pt>
                <c:pt idx="47">
                  <c:v>13.65</c:v>
                </c:pt>
                <c:pt idx="48">
                  <c:v>12.59</c:v>
                </c:pt>
                <c:pt idx="49">
                  <c:v>12.33</c:v>
                </c:pt>
                <c:pt idx="50">
                  <c:v>12.48</c:v>
                </c:pt>
                <c:pt idx="51">
                  <c:v>13.98</c:v>
                </c:pt>
                <c:pt idx="52">
                  <c:v>14.31</c:v>
                </c:pt>
                <c:pt idx="53">
                  <c:v>12.91</c:v>
                </c:pt>
                <c:pt idx="54">
                  <c:v>13.54</c:v>
                </c:pt>
                <c:pt idx="55">
                  <c:v>11.99</c:v>
                </c:pt>
                <c:pt idx="56">
                  <c:v>13.5</c:v>
                </c:pt>
                <c:pt idx="57">
                  <c:v>13.29</c:v>
                </c:pt>
                <c:pt idx="58">
                  <c:v>13.4</c:v>
                </c:pt>
                <c:pt idx="59">
                  <c:v>13.26</c:v>
                </c:pt>
                <c:pt idx="60">
                  <c:v>13.44</c:v>
                </c:pt>
                <c:pt idx="61">
                  <c:v>13.15</c:v>
                </c:pt>
                <c:pt idx="62">
                  <c:v>13.03</c:v>
                </c:pt>
                <c:pt idx="63">
                  <c:v>13.53</c:v>
                </c:pt>
                <c:pt idx="64">
                  <c:v>15.65</c:v>
                </c:pt>
                <c:pt idx="65">
                  <c:v>14.25</c:v>
                </c:pt>
                <c:pt idx="66">
                  <c:v>13.13</c:v>
                </c:pt>
                <c:pt idx="67">
                  <c:v>12.53</c:v>
                </c:pt>
                <c:pt idx="68">
                  <c:v>12.33</c:v>
                </c:pt>
                <c:pt idx="69">
                  <c:v>11.94</c:v>
                </c:pt>
                <c:pt idx="70">
                  <c:v>13.4</c:v>
                </c:pt>
                <c:pt idx="71">
                  <c:v>12.61</c:v>
                </c:pt>
                <c:pt idx="72">
                  <c:v>12.13</c:v>
                </c:pt>
                <c:pt idx="73">
                  <c:v>12.66</c:v>
                </c:pt>
                <c:pt idx="74">
                  <c:v>11.95</c:v>
                </c:pt>
                <c:pt idx="75">
                  <c:v>12.21</c:v>
                </c:pt>
                <c:pt idx="76">
                  <c:v>14.25</c:v>
                </c:pt>
                <c:pt idx="77">
                  <c:v>12.73</c:v>
                </c:pt>
                <c:pt idx="78">
                  <c:v>13.2</c:v>
                </c:pt>
                <c:pt idx="79">
                  <c:v>12.2</c:v>
                </c:pt>
                <c:pt idx="80">
                  <c:v>13.14</c:v>
                </c:pt>
                <c:pt idx="81">
                  <c:v>13.78</c:v>
                </c:pt>
                <c:pt idx="82">
                  <c:v>13.73</c:v>
                </c:pt>
                <c:pt idx="83">
                  <c:v>12.03</c:v>
                </c:pt>
                <c:pt idx="84">
                  <c:v>12.99</c:v>
                </c:pt>
                <c:pt idx="85">
                  <c:v>13.63</c:v>
                </c:pt>
                <c:pt idx="86">
                  <c:v>14.99</c:v>
                </c:pt>
                <c:pt idx="87">
                  <c:v>13.44</c:v>
                </c:pt>
                <c:pt idx="88">
                  <c:v>13.83</c:v>
                </c:pt>
                <c:pt idx="89">
                  <c:v>12.28</c:v>
                </c:pt>
                <c:pt idx="90">
                  <c:v>13.9</c:v>
                </c:pt>
                <c:pt idx="91">
                  <c:v>12.9</c:v>
                </c:pt>
                <c:pt idx="92">
                  <c:v>12.74</c:v>
                </c:pt>
                <c:pt idx="93">
                  <c:v>13.43</c:v>
                </c:pt>
                <c:pt idx="94">
                  <c:v>12.86</c:v>
                </c:pt>
                <c:pt idx="95">
                  <c:v>12.3</c:v>
                </c:pt>
                <c:pt idx="96">
                  <c:v>11.99</c:v>
                </c:pt>
                <c:pt idx="97">
                  <c:v>12.75</c:v>
                </c:pt>
                <c:pt idx="98">
                  <c:v>12.81</c:v>
                </c:pt>
                <c:pt idx="99">
                  <c:v>12.81</c:v>
                </c:pt>
                <c:pt idx="100">
                  <c:v>13.73</c:v>
                </c:pt>
                <c:pt idx="101">
                  <c:v>12.98</c:v>
                </c:pt>
                <c:pt idx="102">
                  <c:v>12.29</c:v>
                </c:pt>
                <c:pt idx="103">
                  <c:v>13.58</c:v>
                </c:pt>
                <c:pt idx="104">
                  <c:v>14.13</c:v>
                </c:pt>
                <c:pt idx="105">
                  <c:v>14.7</c:v>
                </c:pt>
                <c:pt idx="106">
                  <c:v>13.78</c:v>
                </c:pt>
                <c:pt idx="107">
                  <c:v>14.29</c:v>
                </c:pt>
                <c:pt idx="108">
                  <c:v>13.63</c:v>
                </c:pt>
                <c:pt idx="109">
                  <c:v>13.14</c:v>
                </c:pt>
                <c:pt idx="110">
                  <c:v>13.29</c:v>
                </c:pt>
                <c:pt idx="111">
                  <c:v>13.45</c:v>
                </c:pt>
                <c:pt idx="112">
                  <c:v>14.85</c:v>
                </c:pt>
                <c:pt idx="113">
                  <c:v>13.21</c:v>
                </c:pt>
                <c:pt idx="114">
                  <c:v>14.84</c:v>
                </c:pt>
                <c:pt idx="115">
                  <c:v>12.96</c:v>
                </c:pt>
                <c:pt idx="116">
                  <c:v>14.36</c:v>
                </c:pt>
                <c:pt idx="117">
                  <c:v>13.14</c:v>
                </c:pt>
                <c:pt idx="118">
                  <c:v>13.58</c:v>
                </c:pt>
                <c:pt idx="119">
                  <c:v>13.76</c:v>
                </c:pt>
                <c:pt idx="120">
                  <c:v>13.54</c:v>
                </c:pt>
                <c:pt idx="121">
                  <c:v>12.7</c:v>
                </c:pt>
                <c:pt idx="122">
                  <c:v>13.06</c:v>
                </c:pt>
                <c:pt idx="123">
                  <c:v>13.51</c:v>
                </c:pt>
                <c:pt idx="124">
                  <c:v>13.13</c:v>
                </c:pt>
                <c:pt idx="125">
                  <c:v>12.95</c:v>
                </c:pt>
                <c:pt idx="126">
                  <c:v>12.86</c:v>
                </c:pt>
                <c:pt idx="127">
                  <c:v>12.98</c:v>
                </c:pt>
                <c:pt idx="128">
                  <c:v>13.08</c:v>
                </c:pt>
                <c:pt idx="129">
                  <c:v>13.59</c:v>
                </c:pt>
                <c:pt idx="130">
                  <c:v>13.38</c:v>
                </c:pt>
                <c:pt idx="131">
                  <c:v>13.85</c:v>
                </c:pt>
                <c:pt idx="132">
                  <c:v>13.25</c:v>
                </c:pt>
                <c:pt idx="133">
                  <c:v>12.95</c:v>
                </c:pt>
                <c:pt idx="134">
                  <c:v>13.71</c:v>
                </c:pt>
                <c:pt idx="135">
                  <c:v>12.74</c:v>
                </c:pt>
                <c:pt idx="136">
                  <c:v>12.65</c:v>
                </c:pt>
                <c:pt idx="137">
                  <c:v>12.18</c:v>
                </c:pt>
                <c:pt idx="138">
                  <c:v>12.86</c:v>
                </c:pt>
                <c:pt idx="139">
                  <c:v>13.06</c:v>
                </c:pt>
                <c:pt idx="140">
                  <c:v>12.54</c:v>
                </c:pt>
                <c:pt idx="141">
                  <c:v>13.11</c:v>
                </c:pt>
                <c:pt idx="142">
                  <c:v>12.69</c:v>
                </c:pt>
                <c:pt idx="143">
                  <c:v>11.74</c:v>
                </c:pt>
                <c:pt idx="144">
                  <c:v>12.94</c:v>
                </c:pt>
                <c:pt idx="145">
                  <c:v>12.86</c:v>
                </c:pt>
                <c:pt idx="146">
                  <c:v>13.54</c:v>
                </c:pt>
                <c:pt idx="147">
                  <c:v>13.09</c:v>
                </c:pt>
                <c:pt idx="148">
                  <c:v>12.88</c:v>
                </c:pt>
                <c:pt idx="149">
                  <c:v>13</c:v>
                </c:pt>
                <c:pt idx="150">
                  <c:v>13.09</c:v>
                </c:pt>
                <c:pt idx="151">
                  <c:v>12.91</c:v>
                </c:pt>
                <c:pt idx="152">
                  <c:v>12.75</c:v>
                </c:pt>
                <c:pt idx="153">
                  <c:v>12.98</c:v>
                </c:pt>
                <c:pt idx="154">
                  <c:v>12.58</c:v>
                </c:pt>
                <c:pt idx="155">
                  <c:v>13.19</c:v>
                </c:pt>
                <c:pt idx="156">
                  <c:v>12.69</c:v>
                </c:pt>
                <c:pt idx="157">
                  <c:v>12.13</c:v>
                </c:pt>
                <c:pt idx="158">
                  <c:v>13.03</c:v>
                </c:pt>
                <c:pt idx="159">
                  <c:v>12.9</c:v>
                </c:pt>
                <c:pt idx="160">
                  <c:v>13</c:v>
                </c:pt>
                <c:pt idx="161">
                  <c:v>12.84</c:v>
                </c:pt>
                <c:pt idx="162">
                  <c:v>12.44</c:v>
                </c:pt>
                <c:pt idx="163">
                  <c:v>12.63</c:v>
                </c:pt>
                <c:pt idx="164">
                  <c:v>12.59</c:v>
                </c:pt>
                <c:pt idx="165">
                  <c:v>13.03</c:v>
                </c:pt>
                <c:pt idx="166">
                  <c:v>12.85</c:v>
                </c:pt>
                <c:pt idx="167">
                  <c:v>12.65</c:v>
                </c:pt>
                <c:pt idx="168">
                  <c:v>12.74</c:v>
                </c:pt>
                <c:pt idx="169">
                  <c:v>12.94</c:v>
                </c:pt>
                <c:pt idx="170">
                  <c:v>13.7</c:v>
                </c:pt>
                <c:pt idx="171">
                  <c:v>13.23</c:v>
                </c:pt>
                <c:pt idx="172">
                  <c:v>13.05</c:v>
                </c:pt>
                <c:pt idx="173">
                  <c:v>12.88</c:v>
                </c:pt>
                <c:pt idx="174">
                  <c:v>12.93</c:v>
                </c:pt>
                <c:pt idx="175">
                  <c:v>13.01</c:v>
                </c:pt>
                <c:pt idx="176">
                  <c:v>13.4</c:v>
                </c:pt>
                <c:pt idx="177">
                  <c:v>12.64</c:v>
                </c:pt>
                <c:pt idx="178">
                  <c:v>13.14</c:v>
                </c:pt>
                <c:pt idx="179">
                  <c:v>13.11</c:v>
                </c:pt>
                <c:pt idx="180">
                  <c:v>12.84</c:v>
                </c:pt>
                <c:pt idx="181">
                  <c:v>13</c:v>
                </c:pt>
                <c:pt idx="182">
                  <c:v>13.13</c:v>
                </c:pt>
                <c:pt idx="183">
                  <c:v>14.2</c:v>
                </c:pt>
                <c:pt idx="184">
                  <c:v>14.3</c:v>
                </c:pt>
                <c:pt idx="185">
                  <c:v>14.53</c:v>
                </c:pt>
                <c:pt idx="186">
                  <c:v>14.43</c:v>
                </c:pt>
                <c:pt idx="187">
                  <c:v>13.01</c:v>
                </c:pt>
                <c:pt idx="188">
                  <c:v>13.69</c:v>
                </c:pt>
                <c:pt idx="189">
                  <c:v>14.74</c:v>
                </c:pt>
                <c:pt idx="190">
                  <c:v>14.48</c:v>
                </c:pt>
                <c:pt idx="191">
                  <c:v>14.73</c:v>
                </c:pt>
                <c:pt idx="192">
                  <c:v>14.09</c:v>
                </c:pt>
                <c:pt idx="193">
                  <c:v>14.83</c:v>
                </c:pt>
                <c:pt idx="194">
                  <c:v>14.43</c:v>
                </c:pt>
                <c:pt idx="195">
                  <c:v>14.79</c:v>
                </c:pt>
                <c:pt idx="196">
                  <c:v>12.48</c:v>
                </c:pt>
                <c:pt idx="197">
                  <c:v>12.51</c:v>
                </c:pt>
                <c:pt idx="198">
                  <c:v>12.75</c:v>
                </c:pt>
                <c:pt idx="199">
                  <c:v>12.6</c:v>
                </c:pt>
                <c:pt idx="200">
                  <c:v>11.99</c:v>
                </c:pt>
                <c:pt idx="201">
                  <c:v>11.89</c:v>
                </c:pt>
                <c:pt idx="202">
                  <c:v>12.04</c:v>
                </c:pt>
                <c:pt idx="203">
                  <c:v>13.96</c:v>
                </c:pt>
                <c:pt idx="204">
                  <c:v>13.24</c:v>
                </c:pt>
                <c:pt idx="205">
                  <c:v>13.54</c:v>
                </c:pt>
                <c:pt idx="206">
                  <c:v>14.79</c:v>
                </c:pt>
                <c:pt idx="207">
                  <c:v>13.65</c:v>
                </c:pt>
                <c:pt idx="208">
                  <c:v>12.49</c:v>
                </c:pt>
                <c:pt idx="209">
                  <c:v>12.43</c:v>
                </c:pt>
                <c:pt idx="210">
                  <c:v>12.49</c:v>
                </c:pt>
                <c:pt idx="211">
                  <c:v>13.78</c:v>
                </c:pt>
                <c:pt idx="212">
                  <c:v>12.69</c:v>
                </c:pt>
                <c:pt idx="213">
                  <c:v>12.75</c:v>
                </c:pt>
                <c:pt idx="214">
                  <c:v>11.99</c:v>
                </c:pt>
                <c:pt idx="215">
                  <c:v>12.13</c:v>
                </c:pt>
                <c:pt idx="216">
                  <c:v>12.13</c:v>
                </c:pt>
                <c:pt idx="217">
                  <c:v>11.91</c:v>
                </c:pt>
                <c:pt idx="218">
                  <c:v>12.5</c:v>
                </c:pt>
                <c:pt idx="219">
                  <c:v>12.63</c:v>
                </c:pt>
                <c:pt idx="220">
                  <c:v>12.83</c:v>
                </c:pt>
                <c:pt idx="221">
                  <c:v>13.06</c:v>
                </c:pt>
                <c:pt idx="222">
                  <c:v>12.31</c:v>
                </c:pt>
                <c:pt idx="223">
                  <c:v>12.5</c:v>
                </c:pt>
                <c:pt idx="224">
                  <c:v>12.35</c:v>
                </c:pt>
                <c:pt idx="225">
                  <c:v>12.16</c:v>
                </c:pt>
                <c:pt idx="226">
                  <c:v>12.41</c:v>
                </c:pt>
                <c:pt idx="227">
                  <c:v>12.06</c:v>
                </c:pt>
                <c:pt idx="228">
                  <c:v>14.36</c:v>
                </c:pt>
                <c:pt idx="229">
                  <c:v>12.18</c:v>
                </c:pt>
                <c:pt idx="230">
                  <c:v>12.34</c:v>
                </c:pt>
                <c:pt idx="231">
                  <c:v>14.35</c:v>
                </c:pt>
                <c:pt idx="232">
                  <c:v>12.23</c:v>
                </c:pt>
                <c:pt idx="233">
                  <c:v>12.64</c:v>
                </c:pt>
                <c:pt idx="234">
                  <c:v>12.91</c:v>
                </c:pt>
                <c:pt idx="235">
                  <c:v>13.31</c:v>
                </c:pt>
                <c:pt idx="236">
                  <c:v>12.79</c:v>
                </c:pt>
                <c:pt idx="237">
                  <c:v>13.36</c:v>
                </c:pt>
                <c:pt idx="238">
                  <c:v>12.25</c:v>
                </c:pt>
                <c:pt idx="239">
                  <c:v>11.93</c:v>
                </c:pt>
                <c:pt idx="240">
                  <c:v>12.34</c:v>
                </c:pt>
                <c:pt idx="241">
                  <c:v>11.91</c:v>
                </c:pt>
                <c:pt idx="242">
                  <c:v>12.2</c:v>
                </c:pt>
                <c:pt idx="243">
                  <c:v>12.71</c:v>
                </c:pt>
                <c:pt idx="244">
                  <c:v>11.9</c:v>
                </c:pt>
                <c:pt idx="245">
                  <c:v>12.46</c:v>
                </c:pt>
                <c:pt idx="246">
                  <c:v>12.69</c:v>
                </c:pt>
                <c:pt idx="247">
                  <c:v>12.54</c:v>
                </c:pt>
                <c:pt idx="248">
                  <c:v>12.09</c:v>
                </c:pt>
                <c:pt idx="249">
                  <c:v>11.9</c:v>
                </c:pt>
                <c:pt idx="250">
                  <c:v>12.4</c:v>
                </c:pt>
                <c:pt idx="251">
                  <c:v>12.7</c:v>
                </c:pt>
                <c:pt idx="252">
                  <c:v>12.66</c:v>
                </c:pt>
                <c:pt idx="253">
                  <c:v>13.54</c:v>
                </c:pt>
                <c:pt idx="254">
                  <c:v>12.53</c:v>
                </c:pt>
                <c:pt idx="255">
                  <c:v>12.71</c:v>
                </c:pt>
                <c:pt idx="256">
                  <c:v>12.31</c:v>
                </c:pt>
                <c:pt idx="257">
                  <c:v>12.54</c:v>
                </c:pt>
                <c:pt idx="258">
                  <c:v>12</c:v>
                </c:pt>
                <c:pt idx="259">
                  <c:v>12.39</c:v>
                </c:pt>
                <c:pt idx="260">
                  <c:v>12.31</c:v>
                </c:pt>
                <c:pt idx="261">
                  <c:v>12.8</c:v>
                </c:pt>
                <c:pt idx="262">
                  <c:v>13.44</c:v>
                </c:pt>
                <c:pt idx="263">
                  <c:v>12.99</c:v>
                </c:pt>
                <c:pt idx="264">
                  <c:v>13.09</c:v>
                </c:pt>
                <c:pt idx="265">
                  <c:v>12.59</c:v>
                </c:pt>
                <c:pt idx="266">
                  <c:v>13.35</c:v>
                </c:pt>
                <c:pt idx="267">
                  <c:v>12.75</c:v>
                </c:pt>
                <c:pt idx="268">
                  <c:v>13.5</c:v>
                </c:pt>
                <c:pt idx="269">
                  <c:v>12.05</c:v>
                </c:pt>
                <c:pt idx="270">
                  <c:v>11.7</c:v>
                </c:pt>
                <c:pt idx="271">
                  <c:v>12.69</c:v>
                </c:pt>
                <c:pt idx="272">
                  <c:v>13.18</c:v>
                </c:pt>
                <c:pt idx="273">
                  <c:v>14.05</c:v>
                </c:pt>
                <c:pt idx="274">
                  <c:v>12.36</c:v>
                </c:pt>
                <c:pt idx="275">
                  <c:v>12.7</c:v>
                </c:pt>
                <c:pt idx="276">
                  <c:v>12.75</c:v>
                </c:pt>
                <c:pt idx="277">
                  <c:v>11.89</c:v>
                </c:pt>
                <c:pt idx="278">
                  <c:v>11.74</c:v>
                </c:pt>
                <c:pt idx="279">
                  <c:v>11.99</c:v>
                </c:pt>
                <c:pt idx="280">
                  <c:v>12.49</c:v>
                </c:pt>
                <c:pt idx="281">
                  <c:v>12.71</c:v>
                </c:pt>
                <c:pt idx="282">
                  <c:v>12.13</c:v>
                </c:pt>
                <c:pt idx="283">
                  <c:v>12.75</c:v>
                </c:pt>
                <c:pt idx="284">
                  <c:v>12.35</c:v>
                </c:pt>
                <c:pt idx="285">
                  <c:v>12.29</c:v>
                </c:pt>
                <c:pt idx="286">
                  <c:v>12.64</c:v>
                </c:pt>
                <c:pt idx="287">
                  <c:v>12.58</c:v>
                </c:pt>
                <c:pt idx="288">
                  <c:v>11.9</c:v>
                </c:pt>
                <c:pt idx="289">
                  <c:v>12.45</c:v>
                </c:pt>
                <c:pt idx="290">
                  <c:v>12.03</c:v>
                </c:pt>
                <c:pt idx="291">
                  <c:v>11.88</c:v>
                </c:pt>
                <c:pt idx="292">
                  <c:v>11.89</c:v>
                </c:pt>
                <c:pt idx="293">
                  <c:v>12.13</c:v>
                </c:pt>
                <c:pt idx="294">
                  <c:v>12.3</c:v>
                </c:pt>
                <c:pt idx="295">
                  <c:v>11.83</c:v>
                </c:pt>
                <c:pt idx="296">
                  <c:v>11.81</c:v>
                </c:pt>
                <c:pt idx="297">
                  <c:v>12.13</c:v>
                </c:pt>
                <c:pt idx="298">
                  <c:v>12.58</c:v>
                </c:pt>
              </c:numCache>
            </c:numRef>
          </c:xVal>
          <c:yVal>
            <c:numRef>
              <c:f>Fig_PROT_YIELD!$E$47:$E$345</c:f>
              <c:numCache>
                <c:formatCode>General</c:formatCode>
                <c:ptCount val="299"/>
                <c:pt idx="0">
                  <c:v>477.94</c:v>
                </c:pt>
                <c:pt idx="1">
                  <c:v>502.54</c:v>
                </c:pt>
                <c:pt idx="2">
                  <c:v>492.86</c:v>
                </c:pt>
                <c:pt idx="3">
                  <c:v>536.21</c:v>
                </c:pt>
                <c:pt idx="4">
                  <c:v>471.38</c:v>
                </c:pt>
                <c:pt idx="5">
                  <c:v>478.04</c:v>
                </c:pt>
                <c:pt idx="6">
                  <c:v>501.59</c:v>
                </c:pt>
                <c:pt idx="7">
                  <c:v>440.89</c:v>
                </c:pt>
                <c:pt idx="8">
                  <c:v>518.78</c:v>
                </c:pt>
                <c:pt idx="9">
                  <c:v>565.15</c:v>
                </c:pt>
                <c:pt idx="10">
                  <c:v>471.66</c:v>
                </c:pt>
                <c:pt idx="11">
                  <c:v>440.76</c:v>
                </c:pt>
                <c:pt idx="12">
                  <c:v>447.84</c:v>
                </c:pt>
                <c:pt idx="13">
                  <c:v>381.5</c:v>
                </c:pt>
                <c:pt idx="14">
                  <c:v>433.49</c:v>
                </c:pt>
                <c:pt idx="15">
                  <c:v>418.3</c:v>
                </c:pt>
                <c:pt idx="16">
                  <c:v>409.54</c:v>
                </c:pt>
                <c:pt idx="17">
                  <c:v>482.4</c:v>
                </c:pt>
                <c:pt idx="18">
                  <c:v>396.28</c:v>
                </c:pt>
                <c:pt idx="19">
                  <c:v>378.31</c:v>
                </c:pt>
                <c:pt idx="20">
                  <c:v>469.79</c:v>
                </c:pt>
                <c:pt idx="21">
                  <c:v>553.19000000000005</c:v>
                </c:pt>
                <c:pt idx="22">
                  <c:v>499.44</c:v>
                </c:pt>
                <c:pt idx="23">
                  <c:v>492.7</c:v>
                </c:pt>
                <c:pt idx="24">
                  <c:v>521.04999999999995</c:v>
                </c:pt>
                <c:pt idx="25">
                  <c:v>532.6</c:v>
                </c:pt>
                <c:pt idx="26">
                  <c:v>530.83000000000004</c:v>
                </c:pt>
                <c:pt idx="27">
                  <c:v>553.9</c:v>
                </c:pt>
                <c:pt idx="28">
                  <c:v>586.79999999999995</c:v>
                </c:pt>
                <c:pt idx="29">
                  <c:v>566.73</c:v>
                </c:pt>
                <c:pt idx="30">
                  <c:v>495.15</c:v>
                </c:pt>
                <c:pt idx="31">
                  <c:v>508.49</c:v>
                </c:pt>
                <c:pt idx="32">
                  <c:v>449.75</c:v>
                </c:pt>
                <c:pt idx="33">
                  <c:v>465.63</c:v>
                </c:pt>
                <c:pt idx="34">
                  <c:v>513.08000000000004</c:v>
                </c:pt>
                <c:pt idx="35">
                  <c:v>426.45</c:v>
                </c:pt>
                <c:pt idx="36">
                  <c:v>548.08000000000004</c:v>
                </c:pt>
                <c:pt idx="37">
                  <c:v>423.14</c:v>
                </c:pt>
                <c:pt idx="38">
                  <c:v>450.85</c:v>
                </c:pt>
                <c:pt idx="39">
                  <c:v>511.4</c:v>
                </c:pt>
                <c:pt idx="40">
                  <c:v>569.73</c:v>
                </c:pt>
                <c:pt idx="41">
                  <c:v>455.09</c:v>
                </c:pt>
                <c:pt idx="42">
                  <c:v>455.53</c:v>
                </c:pt>
                <c:pt idx="43">
                  <c:v>352.48</c:v>
                </c:pt>
                <c:pt idx="44">
                  <c:v>554.79</c:v>
                </c:pt>
                <c:pt idx="45">
                  <c:v>506.15</c:v>
                </c:pt>
                <c:pt idx="46">
                  <c:v>540.13</c:v>
                </c:pt>
                <c:pt idx="47">
                  <c:v>517.53</c:v>
                </c:pt>
                <c:pt idx="48">
                  <c:v>563.89</c:v>
                </c:pt>
                <c:pt idx="49">
                  <c:v>634.74</c:v>
                </c:pt>
                <c:pt idx="50">
                  <c:v>596.55999999999995</c:v>
                </c:pt>
                <c:pt idx="51">
                  <c:v>510.19</c:v>
                </c:pt>
                <c:pt idx="52">
                  <c:v>390.35</c:v>
                </c:pt>
                <c:pt idx="53">
                  <c:v>508.69</c:v>
                </c:pt>
                <c:pt idx="54">
                  <c:v>462.71</c:v>
                </c:pt>
                <c:pt idx="55">
                  <c:v>628.91</c:v>
                </c:pt>
                <c:pt idx="56">
                  <c:v>537.55999999999995</c:v>
                </c:pt>
                <c:pt idx="57">
                  <c:v>548.51</c:v>
                </c:pt>
                <c:pt idx="58">
                  <c:v>524.35</c:v>
                </c:pt>
                <c:pt idx="59">
                  <c:v>522.63</c:v>
                </c:pt>
                <c:pt idx="60">
                  <c:v>526.86</c:v>
                </c:pt>
                <c:pt idx="61">
                  <c:v>530.75</c:v>
                </c:pt>
                <c:pt idx="62">
                  <c:v>581.80999999999995</c:v>
                </c:pt>
                <c:pt idx="63">
                  <c:v>562.69000000000005</c:v>
                </c:pt>
                <c:pt idx="64">
                  <c:v>355.04</c:v>
                </c:pt>
                <c:pt idx="65">
                  <c:v>458.68</c:v>
                </c:pt>
                <c:pt idx="66">
                  <c:v>559.24</c:v>
                </c:pt>
                <c:pt idx="67">
                  <c:v>591.33000000000004</c:v>
                </c:pt>
                <c:pt idx="68">
                  <c:v>605.46</c:v>
                </c:pt>
                <c:pt idx="69">
                  <c:v>663.24</c:v>
                </c:pt>
                <c:pt idx="70">
                  <c:v>599.80999999999995</c:v>
                </c:pt>
                <c:pt idx="71">
                  <c:v>562.24</c:v>
                </c:pt>
                <c:pt idx="72">
                  <c:v>601.30999999999995</c:v>
                </c:pt>
                <c:pt idx="73">
                  <c:v>603.58000000000004</c:v>
                </c:pt>
                <c:pt idx="74">
                  <c:v>646.29</c:v>
                </c:pt>
                <c:pt idx="75">
                  <c:v>615.09</c:v>
                </c:pt>
                <c:pt idx="76">
                  <c:v>497.09</c:v>
                </c:pt>
                <c:pt idx="77">
                  <c:v>529.38</c:v>
                </c:pt>
                <c:pt idx="78">
                  <c:v>511.41</c:v>
                </c:pt>
                <c:pt idx="79">
                  <c:v>604.15</c:v>
                </c:pt>
                <c:pt idx="80">
                  <c:v>559.13</c:v>
                </c:pt>
                <c:pt idx="81">
                  <c:v>550.29999999999995</c:v>
                </c:pt>
                <c:pt idx="82">
                  <c:v>515.66</c:v>
                </c:pt>
                <c:pt idx="83">
                  <c:v>658.55</c:v>
                </c:pt>
                <c:pt idx="84">
                  <c:v>601.49</c:v>
                </c:pt>
                <c:pt idx="85">
                  <c:v>500.83</c:v>
                </c:pt>
                <c:pt idx="86">
                  <c:v>453.06</c:v>
                </c:pt>
                <c:pt idx="87">
                  <c:v>493.54</c:v>
                </c:pt>
                <c:pt idx="88">
                  <c:v>486.9</c:v>
                </c:pt>
                <c:pt idx="89">
                  <c:v>588.46</c:v>
                </c:pt>
                <c:pt idx="90">
                  <c:v>500.41</c:v>
                </c:pt>
                <c:pt idx="91">
                  <c:v>591.05999999999995</c:v>
                </c:pt>
                <c:pt idx="92">
                  <c:v>604.61</c:v>
                </c:pt>
                <c:pt idx="93">
                  <c:v>552.24</c:v>
                </c:pt>
                <c:pt idx="94">
                  <c:v>607.19000000000005</c:v>
                </c:pt>
                <c:pt idx="95">
                  <c:v>609.79</c:v>
                </c:pt>
                <c:pt idx="96">
                  <c:v>634.99</c:v>
                </c:pt>
                <c:pt idx="97">
                  <c:v>590.17999999999995</c:v>
                </c:pt>
                <c:pt idx="98">
                  <c:v>587.04999999999995</c:v>
                </c:pt>
                <c:pt idx="99">
                  <c:v>593.79999999999995</c:v>
                </c:pt>
                <c:pt idx="100">
                  <c:v>509.1</c:v>
                </c:pt>
                <c:pt idx="101">
                  <c:v>527.51</c:v>
                </c:pt>
                <c:pt idx="102">
                  <c:v>595.79999999999995</c:v>
                </c:pt>
                <c:pt idx="103">
                  <c:v>526.38</c:v>
                </c:pt>
                <c:pt idx="104">
                  <c:v>524.19000000000005</c:v>
                </c:pt>
                <c:pt idx="105">
                  <c:v>498.53</c:v>
                </c:pt>
                <c:pt idx="106">
                  <c:v>524.73</c:v>
                </c:pt>
                <c:pt idx="107">
                  <c:v>492.75</c:v>
                </c:pt>
                <c:pt idx="108">
                  <c:v>538.03</c:v>
                </c:pt>
                <c:pt idx="109">
                  <c:v>565.15</c:v>
                </c:pt>
                <c:pt idx="110">
                  <c:v>537.49</c:v>
                </c:pt>
                <c:pt idx="111">
                  <c:v>535.65</c:v>
                </c:pt>
                <c:pt idx="112">
                  <c:v>505.99</c:v>
                </c:pt>
                <c:pt idx="113">
                  <c:v>530.11</c:v>
                </c:pt>
                <c:pt idx="114">
                  <c:v>520.95000000000005</c:v>
                </c:pt>
                <c:pt idx="115">
                  <c:v>545.99</c:v>
                </c:pt>
                <c:pt idx="116">
                  <c:v>501.71</c:v>
                </c:pt>
                <c:pt idx="117">
                  <c:v>550.73</c:v>
                </c:pt>
                <c:pt idx="118">
                  <c:v>547.49</c:v>
                </c:pt>
                <c:pt idx="119">
                  <c:v>511.51</c:v>
                </c:pt>
                <c:pt idx="120">
                  <c:v>519.04999999999995</c:v>
                </c:pt>
                <c:pt idx="121">
                  <c:v>578.44000000000005</c:v>
                </c:pt>
                <c:pt idx="122">
                  <c:v>567.91</c:v>
                </c:pt>
                <c:pt idx="123">
                  <c:v>509.36</c:v>
                </c:pt>
                <c:pt idx="124">
                  <c:v>512.67999999999995</c:v>
                </c:pt>
                <c:pt idx="125">
                  <c:v>525.14</c:v>
                </c:pt>
                <c:pt idx="126">
                  <c:v>547</c:v>
                </c:pt>
                <c:pt idx="127">
                  <c:v>561.61</c:v>
                </c:pt>
                <c:pt idx="128">
                  <c:v>547.39</c:v>
                </c:pt>
                <c:pt idx="129">
                  <c:v>542.09</c:v>
                </c:pt>
                <c:pt idx="130">
                  <c:v>535.58000000000004</c:v>
                </c:pt>
                <c:pt idx="131">
                  <c:v>491.18</c:v>
                </c:pt>
                <c:pt idx="132">
                  <c:v>548.05999999999995</c:v>
                </c:pt>
                <c:pt idx="133">
                  <c:v>575.28</c:v>
                </c:pt>
                <c:pt idx="134">
                  <c:v>544.67999999999995</c:v>
                </c:pt>
                <c:pt idx="135">
                  <c:v>583.54999999999995</c:v>
                </c:pt>
                <c:pt idx="136">
                  <c:v>548.55999999999995</c:v>
                </c:pt>
                <c:pt idx="137">
                  <c:v>592.98</c:v>
                </c:pt>
                <c:pt idx="138">
                  <c:v>529.95000000000005</c:v>
                </c:pt>
                <c:pt idx="139">
                  <c:v>580.29</c:v>
                </c:pt>
                <c:pt idx="140">
                  <c:v>630.75</c:v>
                </c:pt>
                <c:pt idx="141">
                  <c:v>599.92999999999995</c:v>
                </c:pt>
                <c:pt idx="142">
                  <c:v>587.36</c:v>
                </c:pt>
                <c:pt idx="143">
                  <c:v>605.89</c:v>
                </c:pt>
                <c:pt idx="144">
                  <c:v>540.79</c:v>
                </c:pt>
                <c:pt idx="145">
                  <c:v>566.91</c:v>
                </c:pt>
                <c:pt idx="146">
                  <c:v>480.93</c:v>
                </c:pt>
                <c:pt idx="147">
                  <c:v>557.03</c:v>
                </c:pt>
                <c:pt idx="148">
                  <c:v>557.65</c:v>
                </c:pt>
                <c:pt idx="149">
                  <c:v>542.25</c:v>
                </c:pt>
                <c:pt idx="150">
                  <c:v>519.88</c:v>
                </c:pt>
                <c:pt idx="151">
                  <c:v>544.51</c:v>
                </c:pt>
                <c:pt idx="152">
                  <c:v>620.11</c:v>
                </c:pt>
                <c:pt idx="153">
                  <c:v>557.88</c:v>
                </c:pt>
                <c:pt idx="154">
                  <c:v>535</c:v>
                </c:pt>
                <c:pt idx="155">
                  <c:v>561.41</c:v>
                </c:pt>
                <c:pt idx="156">
                  <c:v>563.53</c:v>
                </c:pt>
                <c:pt idx="157">
                  <c:v>627.17999999999995</c:v>
                </c:pt>
                <c:pt idx="158">
                  <c:v>519.54</c:v>
                </c:pt>
                <c:pt idx="159">
                  <c:v>561.01</c:v>
                </c:pt>
                <c:pt idx="160">
                  <c:v>530.17999999999995</c:v>
                </c:pt>
                <c:pt idx="161">
                  <c:v>544.39</c:v>
                </c:pt>
                <c:pt idx="162">
                  <c:v>575.04999999999995</c:v>
                </c:pt>
                <c:pt idx="163">
                  <c:v>571.20000000000005</c:v>
                </c:pt>
                <c:pt idx="164">
                  <c:v>602.5</c:v>
                </c:pt>
                <c:pt idx="165">
                  <c:v>534.03</c:v>
                </c:pt>
                <c:pt idx="166">
                  <c:v>588.51</c:v>
                </c:pt>
                <c:pt idx="167">
                  <c:v>601</c:v>
                </c:pt>
                <c:pt idx="168">
                  <c:v>546.39</c:v>
                </c:pt>
                <c:pt idx="169">
                  <c:v>568.54</c:v>
                </c:pt>
                <c:pt idx="170">
                  <c:v>540.88</c:v>
                </c:pt>
                <c:pt idx="171">
                  <c:v>514.89</c:v>
                </c:pt>
                <c:pt idx="172">
                  <c:v>550.70000000000005</c:v>
                </c:pt>
                <c:pt idx="173">
                  <c:v>555.59</c:v>
                </c:pt>
                <c:pt idx="174">
                  <c:v>556.29999999999995</c:v>
                </c:pt>
                <c:pt idx="175">
                  <c:v>531.69000000000005</c:v>
                </c:pt>
                <c:pt idx="176">
                  <c:v>538.86</c:v>
                </c:pt>
                <c:pt idx="177">
                  <c:v>553.61</c:v>
                </c:pt>
                <c:pt idx="178">
                  <c:v>519.16</c:v>
                </c:pt>
                <c:pt idx="179">
                  <c:v>553.23</c:v>
                </c:pt>
                <c:pt idx="180">
                  <c:v>580.66</c:v>
                </c:pt>
                <c:pt idx="181">
                  <c:v>567.91</c:v>
                </c:pt>
                <c:pt idx="182">
                  <c:v>563.80999999999995</c:v>
                </c:pt>
                <c:pt idx="183">
                  <c:v>468.2</c:v>
                </c:pt>
                <c:pt idx="184">
                  <c:v>414.95</c:v>
                </c:pt>
                <c:pt idx="185">
                  <c:v>429.76</c:v>
                </c:pt>
                <c:pt idx="186">
                  <c:v>459.7</c:v>
                </c:pt>
                <c:pt idx="187">
                  <c:v>563.59</c:v>
                </c:pt>
                <c:pt idx="188">
                  <c:v>509.5</c:v>
                </c:pt>
                <c:pt idx="189">
                  <c:v>440.25</c:v>
                </c:pt>
                <c:pt idx="190">
                  <c:v>450.51</c:v>
                </c:pt>
                <c:pt idx="191">
                  <c:v>421.95</c:v>
                </c:pt>
                <c:pt idx="192">
                  <c:v>449.15</c:v>
                </c:pt>
                <c:pt idx="193">
                  <c:v>442.18</c:v>
                </c:pt>
                <c:pt idx="194">
                  <c:v>474.3</c:v>
                </c:pt>
                <c:pt idx="195">
                  <c:v>451.66</c:v>
                </c:pt>
                <c:pt idx="196">
                  <c:v>595.28</c:v>
                </c:pt>
                <c:pt idx="197">
                  <c:v>562.84</c:v>
                </c:pt>
                <c:pt idx="198">
                  <c:v>561.5</c:v>
                </c:pt>
                <c:pt idx="199">
                  <c:v>627.11</c:v>
                </c:pt>
                <c:pt idx="200">
                  <c:v>632.20000000000005</c:v>
                </c:pt>
                <c:pt idx="201">
                  <c:v>620.23</c:v>
                </c:pt>
                <c:pt idx="202">
                  <c:v>633.19000000000005</c:v>
                </c:pt>
                <c:pt idx="203">
                  <c:v>507.88</c:v>
                </c:pt>
                <c:pt idx="204">
                  <c:v>519.46</c:v>
                </c:pt>
                <c:pt idx="205">
                  <c:v>525.48</c:v>
                </c:pt>
                <c:pt idx="206">
                  <c:v>508.69</c:v>
                </c:pt>
                <c:pt idx="207">
                  <c:v>544.65</c:v>
                </c:pt>
                <c:pt idx="208">
                  <c:v>584.54</c:v>
                </c:pt>
                <c:pt idx="209">
                  <c:v>574.54999999999995</c:v>
                </c:pt>
                <c:pt idx="210">
                  <c:v>577.4</c:v>
                </c:pt>
                <c:pt idx="211">
                  <c:v>542.15</c:v>
                </c:pt>
                <c:pt idx="212">
                  <c:v>615.76</c:v>
                </c:pt>
                <c:pt idx="213">
                  <c:v>612.16</c:v>
                </c:pt>
                <c:pt idx="214">
                  <c:v>637.21</c:v>
                </c:pt>
                <c:pt idx="215">
                  <c:v>627.16</c:v>
                </c:pt>
                <c:pt idx="216">
                  <c:v>623.54999999999995</c:v>
                </c:pt>
                <c:pt idx="217">
                  <c:v>669.1</c:v>
                </c:pt>
                <c:pt idx="218">
                  <c:v>594.96</c:v>
                </c:pt>
                <c:pt idx="219">
                  <c:v>615.48</c:v>
                </c:pt>
                <c:pt idx="220">
                  <c:v>619.51</c:v>
                </c:pt>
                <c:pt idx="221">
                  <c:v>575.41</c:v>
                </c:pt>
                <c:pt idx="222">
                  <c:v>600.79999999999995</c:v>
                </c:pt>
                <c:pt idx="223">
                  <c:v>603.71</c:v>
                </c:pt>
                <c:pt idx="224">
                  <c:v>606.63</c:v>
                </c:pt>
                <c:pt idx="225">
                  <c:v>599.44000000000005</c:v>
                </c:pt>
                <c:pt idx="226">
                  <c:v>618.95000000000005</c:v>
                </c:pt>
                <c:pt idx="227">
                  <c:v>611.64</c:v>
                </c:pt>
                <c:pt idx="228">
                  <c:v>496.54</c:v>
                </c:pt>
                <c:pt idx="229">
                  <c:v>630.74</c:v>
                </c:pt>
                <c:pt idx="230">
                  <c:v>596.21</c:v>
                </c:pt>
                <c:pt idx="231">
                  <c:v>544.24</c:v>
                </c:pt>
                <c:pt idx="232">
                  <c:v>623.36</c:v>
                </c:pt>
                <c:pt idx="233">
                  <c:v>629.29999999999995</c:v>
                </c:pt>
                <c:pt idx="234">
                  <c:v>627.99</c:v>
                </c:pt>
                <c:pt idx="235">
                  <c:v>579.64</c:v>
                </c:pt>
                <c:pt idx="236">
                  <c:v>593.26</c:v>
                </c:pt>
                <c:pt idx="237">
                  <c:v>590.63</c:v>
                </c:pt>
                <c:pt idx="238">
                  <c:v>620.23</c:v>
                </c:pt>
                <c:pt idx="239">
                  <c:v>591.61</c:v>
                </c:pt>
                <c:pt idx="240">
                  <c:v>648.09</c:v>
                </c:pt>
                <c:pt idx="241">
                  <c:v>628.53</c:v>
                </c:pt>
                <c:pt idx="242">
                  <c:v>644.44000000000005</c:v>
                </c:pt>
                <c:pt idx="243">
                  <c:v>574.5</c:v>
                </c:pt>
                <c:pt idx="244">
                  <c:v>609.54</c:v>
                </c:pt>
                <c:pt idx="245">
                  <c:v>565.26</c:v>
                </c:pt>
                <c:pt idx="246">
                  <c:v>562.19000000000005</c:v>
                </c:pt>
                <c:pt idx="247">
                  <c:v>582.63</c:v>
                </c:pt>
                <c:pt idx="248">
                  <c:v>613.1</c:v>
                </c:pt>
                <c:pt idx="249">
                  <c:v>636.20000000000005</c:v>
                </c:pt>
                <c:pt idx="250">
                  <c:v>616.1</c:v>
                </c:pt>
                <c:pt idx="251">
                  <c:v>570.05999999999995</c:v>
                </c:pt>
                <c:pt idx="252">
                  <c:v>585.9</c:v>
                </c:pt>
                <c:pt idx="253">
                  <c:v>561.48</c:v>
                </c:pt>
                <c:pt idx="254">
                  <c:v>591.19000000000005</c:v>
                </c:pt>
                <c:pt idx="255">
                  <c:v>531.58000000000004</c:v>
                </c:pt>
                <c:pt idx="256">
                  <c:v>581.42999999999995</c:v>
                </c:pt>
                <c:pt idx="257">
                  <c:v>600.85</c:v>
                </c:pt>
                <c:pt idx="258">
                  <c:v>634.71</c:v>
                </c:pt>
                <c:pt idx="259">
                  <c:v>584.67999999999995</c:v>
                </c:pt>
                <c:pt idx="260">
                  <c:v>588.21</c:v>
                </c:pt>
                <c:pt idx="261">
                  <c:v>629.98</c:v>
                </c:pt>
                <c:pt idx="262">
                  <c:v>621.95000000000005</c:v>
                </c:pt>
                <c:pt idx="263">
                  <c:v>631.33000000000004</c:v>
                </c:pt>
                <c:pt idx="264">
                  <c:v>591.26</c:v>
                </c:pt>
                <c:pt idx="265">
                  <c:v>648.15</c:v>
                </c:pt>
                <c:pt idx="266">
                  <c:v>614.51</c:v>
                </c:pt>
                <c:pt idx="267">
                  <c:v>615.73</c:v>
                </c:pt>
                <c:pt idx="268">
                  <c:v>606.04999999999995</c:v>
                </c:pt>
                <c:pt idx="269">
                  <c:v>654.28</c:v>
                </c:pt>
                <c:pt idx="270">
                  <c:v>631.25</c:v>
                </c:pt>
                <c:pt idx="271">
                  <c:v>622.29999999999995</c:v>
                </c:pt>
                <c:pt idx="272">
                  <c:v>615.49</c:v>
                </c:pt>
                <c:pt idx="273">
                  <c:v>555.6</c:v>
                </c:pt>
                <c:pt idx="274">
                  <c:v>630.44000000000005</c:v>
                </c:pt>
                <c:pt idx="275">
                  <c:v>622.64</c:v>
                </c:pt>
                <c:pt idx="276">
                  <c:v>655.28</c:v>
                </c:pt>
                <c:pt idx="277">
                  <c:v>618.51</c:v>
                </c:pt>
                <c:pt idx="278">
                  <c:v>618.29</c:v>
                </c:pt>
                <c:pt idx="279">
                  <c:v>660.64</c:v>
                </c:pt>
                <c:pt idx="280">
                  <c:v>579.28</c:v>
                </c:pt>
                <c:pt idx="281">
                  <c:v>612.01</c:v>
                </c:pt>
                <c:pt idx="282">
                  <c:v>643.19000000000005</c:v>
                </c:pt>
                <c:pt idx="283">
                  <c:v>565.96</c:v>
                </c:pt>
                <c:pt idx="284">
                  <c:v>628.58000000000004</c:v>
                </c:pt>
                <c:pt idx="285">
                  <c:v>627.88</c:v>
                </c:pt>
                <c:pt idx="286">
                  <c:v>574.04999999999995</c:v>
                </c:pt>
                <c:pt idx="287">
                  <c:v>571.73</c:v>
                </c:pt>
                <c:pt idx="288">
                  <c:v>615.45000000000005</c:v>
                </c:pt>
                <c:pt idx="289">
                  <c:v>635.5</c:v>
                </c:pt>
                <c:pt idx="290">
                  <c:v>624.91</c:v>
                </c:pt>
                <c:pt idx="291">
                  <c:v>660.58</c:v>
                </c:pt>
                <c:pt idx="292">
                  <c:v>616.26</c:v>
                </c:pt>
                <c:pt idx="293">
                  <c:v>598.6</c:v>
                </c:pt>
                <c:pt idx="294">
                  <c:v>626.1</c:v>
                </c:pt>
                <c:pt idx="295">
                  <c:v>598.34</c:v>
                </c:pt>
                <c:pt idx="296">
                  <c:v>625.20000000000005</c:v>
                </c:pt>
                <c:pt idx="297">
                  <c:v>599.70000000000005</c:v>
                </c:pt>
                <c:pt idx="298">
                  <c:v>576.5</c:v>
                </c:pt>
              </c:numCache>
            </c:numRef>
          </c:yVal>
          <c:smooth val="0"/>
          <c:extLst>
            <c:ext xmlns:c16="http://schemas.microsoft.com/office/drawing/2014/chart" uri="{C3380CC4-5D6E-409C-BE32-E72D297353CC}">
              <c16:uniqueId val="{00000012-8392-4EF5-AE9B-46436AB9AC5F}"/>
            </c:ext>
          </c:extLst>
        </c:ser>
        <c:dLbls>
          <c:showLegendKey val="0"/>
          <c:showVal val="0"/>
          <c:showCatName val="0"/>
          <c:showSerName val="0"/>
          <c:showPercent val="0"/>
          <c:showBubbleSize val="0"/>
        </c:dLbls>
        <c:axId val="684177080"/>
        <c:axId val="684180360"/>
      </c:scatterChart>
      <c:valAx>
        <c:axId val="684177080"/>
        <c:scaling>
          <c:orientation val="minMax"/>
          <c:max val="17"/>
          <c:min val="11"/>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r>
                  <a:rPr lang="et-EE"/>
                  <a:t>Protein, %</a:t>
                </a:r>
              </a:p>
            </c:rich>
          </c:tx>
          <c:layout/>
          <c:overlay val="0"/>
          <c:spPr>
            <a:noFill/>
            <a:ln>
              <a:noFill/>
            </a:ln>
            <a:effectLst/>
          </c:sp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endParaRPr lang="et-EE"/>
          </a:p>
        </c:txPr>
        <c:crossAx val="684180360"/>
        <c:crosses val="autoZero"/>
        <c:crossBetween val="midCat"/>
      </c:valAx>
      <c:valAx>
        <c:axId val="684180360"/>
        <c:scaling>
          <c:orientation val="minMax"/>
          <c:max val="700"/>
          <c:min val="30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r>
                  <a:rPr lang="et-EE"/>
                  <a:t>Grain yield, g m-² </a:t>
                </a:r>
              </a:p>
            </c:rich>
          </c:tx>
          <c:layout/>
          <c:overlay val="0"/>
          <c:spPr>
            <a:noFill/>
            <a:ln>
              <a:noFill/>
            </a:ln>
            <a:effectLst/>
          </c:sp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Palatino Linotype" panose="02040502050505030304" pitchFamily="18" charset="0"/>
                <a:ea typeface="+mn-ea"/>
                <a:cs typeface="Arial" panose="020B0604020202020204" pitchFamily="34" charset="0"/>
              </a:defRPr>
            </a:pPr>
            <a:endParaRPr lang="et-EE"/>
          </a:p>
        </c:txPr>
        <c:crossAx val="684177080"/>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Palatino Linotype" panose="02040502050505030304" pitchFamily="18" charset="0"/>
          <a:cs typeface="Arial" panose="020B0604020202020204" pitchFamily="34" charset="0"/>
        </a:defRPr>
      </a:pPr>
      <a:endParaRPr lang="et-EE"/>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0.06386</cdr:x>
      <cdr:y>0.89619</cdr:y>
    </cdr:from>
    <cdr:to>
      <cdr:x>0.97975</cdr:x>
      <cdr:y>0.97693</cdr:y>
    </cdr:to>
    <cdr:sp macro="" textlink="">
      <cdr:nvSpPr>
        <cdr:cNvPr id="2" name="TextBox 1"/>
        <cdr:cNvSpPr txBox="1"/>
      </cdr:nvSpPr>
      <cdr:spPr>
        <a:xfrm xmlns:a="http://schemas.openxmlformats.org/drawingml/2006/main">
          <a:off x="312420" y="2960370"/>
          <a:ext cx="448056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t-EE" sz="1100"/>
        </a:p>
      </cdr:txBody>
    </cdr:sp>
  </cdr:relSizeAnchor>
</c:userShapes>
</file>

<file path=word/drawings/drawing2.xml><?xml version="1.0" encoding="utf-8"?>
<c:userShapes xmlns:c="http://schemas.openxmlformats.org/drawingml/2006/chart">
  <cdr:relSizeAnchor xmlns:cdr="http://schemas.openxmlformats.org/drawingml/2006/chartDrawing">
    <cdr:from>
      <cdr:x>0.06386</cdr:x>
      <cdr:y>0.89619</cdr:y>
    </cdr:from>
    <cdr:to>
      <cdr:x>0.97975</cdr:x>
      <cdr:y>0.97693</cdr:y>
    </cdr:to>
    <cdr:sp macro="" textlink="">
      <cdr:nvSpPr>
        <cdr:cNvPr id="2" name="TextBox 1"/>
        <cdr:cNvSpPr txBox="1"/>
      </cdr:nvSpPr>
      <cdr:spPr>
        <a:xfrm xmlns:a="http://schemas.openxmlformats.org/drawingml/2006/main">
          <a:off x="312420" y="2960370"/>
          <a:ext cx="448056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t-EE"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C7773-DAA5-4234-9D33-BA39AB473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617</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Maaeluministeerium</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Ingver</dc:creator>
  <cp:keywords/>
  <dc:description/>
  <cp:lastModifiedBy>Ilmar Tamm</cp:lastModifiedBy>
  <cp:revision>4</cp:revision>
  <cp:lastPrinted>2023-11-03T08:18:00Z</cp:lastPrinted>
  <dcterms:created xsi:type="dcterms:W3CDTF">2023-11-06T18:20:00Z</dcterms:created>
  <dcterms:modified xsi:type="dcterms:W3CDTF">2023-11-08T08:57:00Z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484126-3486-41a9-802e-7f1e2277276c_Enabled">
    <vt:lpwstr>true</vt:lpwstr>
  </property>
  <property fmtid="{D5CDD505-2E9C-101B-9397-08002B2CF9AE}" pid="3" name="MSIP_Label_d0484126-3486-41a9-802e-7f1e2277276c_SetDate">
    <vt:lpwstr>2023-10-22T12:37:08Z</vt:lpwstr>
  </property>
  <property fmtid="{D5CDD505-2E9C-101B-9397-08002B2CF9AE}" pid="4" name="MSIP_Label_d0484126-3486-41a9-802e-7f1e2277276c_Method">
    <vt:lpwstr>Standard</vt:lpwstr>
  </property>
  <property fmtid="{D5CDD505-2E9C-101B-9397-08002B2CF9AE}" pid="5" name="MSIP_Label_d0484126-3486-41a9-802e-7f1e2277276c_Name">
    <vt:lpwstr>d0484126-3486-41a9-802e-7f1e2277276c</vt:lpwstr>
  </property>
  <property fmtid="{D5CDD505-2E9C-101B-9397-08002B2CF9AE}" pid="6" name="MSIP_Label_d0484126-3486-41a9-802e-7f1e2277276c_SiteId">
    <vt:lpwstr>eec01f8e-737f-43e3-9ed5-f8a59913bd82</vt:lpwstr>
  </property>
  <property fmtid="{D5CDD505-2E9C-101B-9397-08002B2CF9AE}" pid="7" name="MSIP_Label_d0484126-3486-41a9-802e-7f1e2277276c_ActionId">
    <vt:lpwstr>dca3e4dd-205d-4e22-8a23-7f85c857d91a</vt:lpwstr>
  </property>
  <property fmtid="{D5CDD505-2E9C-101B-9397-08002B2CF9AE}" pid="8" name="MSIP_Label_d0484126-3486-41a9-802e-7f1e2277276c_ContentBits">
    <vt:lpwstr>0</vt:lpwstr>
  </property>
</Properties>
</file>