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734B" w14:textId="77777777" w:rsidR="000B7B88" w:rsidRPr="00B942CD" w:rsidRDefault="000B7B88" w:rsidP="000B7B88">
      <w:pPr>
        <w:widowControl/>
        <w:autoSpaceDE/>
        <w:autoSpaceDN/>
        <w:adjustRightInd w:val="0"/>
        <w:snapToGrid w:val="0"/>
        <w:spacing w:beforeLines="50" w:before="120" w:line="288" w:lineRule="auto"/>
        <w:jc w:val="center"/>
        <w:rPr>
          <w:rFonts w:ascii="Times New Roman" w:eastAsia="SimSun" w:hAnsi="Times New Roman" w:cs="Times New Roman"/>
          <w:b/>
          <w:snapToGrid w:val="0"/>
          <w:color w:val="000000" w:themeColor="text1"/>
          <w:sz w:val="28"/>
          <w:szCs w:val="32"/>
        </w:rPr>
      </w:pPr>
      <w:r w:rsidRPr="00B942CD">
        <w:rPr>
          <w:rFonts w:ascii="Times New Roman" w:eastAsia="SimSun" w:hAnsi="Times New Roman" w:cs="Times New Roman"/>
          <w:b/>
          <w:snapToGrid w:val="0"/>
          <w:color w:val="000000" w:themeColor="text1"/>
          <w:sz w:val="28"/>
          <w:szCs w:val="32"/>
        </w:rPr>
        <w:t>A phase II clinical study of niraparib in combination with anlotinib in patients with platinum-resistant recurrent ovarian cancer</w:t>
      </w:r>
    </w:p>
    <w:p w14:paraId="7B6E8135" w14:textId="50706602" w:rsidR="000B7B88" w:rsidRDefault="000B7B88">
      <w:pPr>
        <w:widowControl/>
        <w:autoSpaceDE/>
        <w:autoSpaceDN/>
        <w:rPr>
          <w:rFonts w:ascii="Times New Roman" w:eastAsia="SimSun" w:hAnsi="Times New Roman" w:cs="Times New Roman"/>
          <w:b/>
          <w:snapToGrid w:val="0"/>
          <w:color w:val="000000" w:themeColor="text1"/>
          <w:sz w:val="28"/>
          <w:szCs w:val="32"/>
        </w:rPr>
      </w:pPr>
    </w:p>
    <w:p w14:paraId="03064CEC" w14:textId="5823C554" w:rsidR="000B7B88" w:rsidRDefault="000B7B88">
      <w:pPr>
        <w:widowControl/>
        <w:autoSpaceDE/>
        <w:autoSpaceDN/>
        <w:rPr>
          <w:rFonts w:ascii="Times New Roman" w:eastAsia="SimSun" w:hAnsi="Times New Roman" w:cs="Times New Roman"/>
          <w:b/>
          <w:snapToGrid w:val="0"/>
          <w:color w:val="000000" w:themeColor="text1"/>
          <w:szCs w:val="24"/>
        </w:rPr>
      </w:pPr>
      <w:r>
        <w:rPr>
          <w:rFonts w:ascii="Times New Roman" w:eastAsia="SimSun" w:hAnsi="Times New Roman" w:cs="Times New Roman"/>
          <w:b/>
          <w:snapToGrid w:val="0"/>
          <w:color w:val="000000" w:themeColor="text1"/>
          <w:szCs w:val="24"/>
        </w:rPr>
        <w:t>Protocol amendment version history:</w:t>
      </w:r>
    </w:p>
    <w:p w14:paraId="6F56046D" w14:textId="77777777" w:rsidR="000B7B88" w:rsidRPr="000B7B88" w:rsidRDefault="000B7B88">
      <w:pPr>
        <w:widowControl/>
        <w:autoSpaceDE/>
        <w:autoSpaceDN/>
        <w:rPr>
          <w:rFonts w:ascii="Times New Roman" w:eastAsia="SimSun" w:hAnsi="Times New Roman" w:cs="Times New Roman"/>
          <w:b/>
          <w:snapToGrid w:val="0"/>
          <w:color w:val="000000" w:themeColor="text1"/>
          <w:szCs w:val="24"/>
        </w:rPr>
      </w:pPr>
    </w:p>
    <w:tbl>
      <w:tblPr>
        <w:tblStyle w:val="TableGrid"/>
        <w:tblW w:w="9355" w:type="dxa"/>
        <w:tblLook w:val="04A0" w:firstRow="1" w:lastRow="0" w:firstColumn="1" w:lastColumn="0" w:noHBand="0" w:noVBand="1"/>
      </w:tblPr>
      <w:tblGrid>
        <w:gridCol w:w="1638"/>
        <w:gridCol w:w="1428"/>
        <w:gridCol w:w="1429"/>
        <w:gridCol w:w="4860"/>
      </w:tblGrid>
      <w:tr w:rsidR="000B7B88" w:rsidRPr="000B7B88" w14:paraId="2A67E6D2" w14:textId="77777777" w:rsidTr="00D86C94">
        <w:tc>
          <w:tcPr>
            <w:tcW w:w="1638" w:type="dxa"/>
          </w:tcPr>
          <w:p w14:paraId="7129D5A8" w14:textId="77777777" w:rsidR="000B7B88" w:rsidRPr="000B7B88" w:rsidRDefault="000B7B88" w:rsidP="00B53E5D">
            <w:pPr>
              <w:rPr>
                <w:rFonts w:ascii="Times New Roman" w:hAnsi="Times New Roman" w:cs="Times New Roman"/>
                <w:b/>
                <w:bCs/>
              </w:rPr>
            </w:pPr>
            <w:r w:rsidRPr="000B7B88">
              <w:rPr>
                <w:rFonts w:ascii="Times New Roman" w:hAnsi="Times New Roman" w:cs="Times New Roman"/>
                <w:b/>
                <w:bCs/>
              </w:rPr>
              <w:t>Protocol</w:t>
            </w:r>
          </w:p>
        </w:tc>
        <w:tc>
          <w:tcPr>
            <w:tcW w:w="1428" w:type="dxa"/>
          </w:tcPr>
          <w:p w14:paraId="6CF6804B" w14:textId="77777777" w:rsidR="000B7B88" w:rsidRPr="000B7B88" w:rsidRDefault="000B7B88" w:rsidP="00B53E5D">
            <w:pPr>
              <w:jc w:val="center"/>
              <w:rPr>
                <w:rFonts w:ascii="Times New Roman" w:hAnsi="Times New Roman" w:cs="Times New Roman"/>
                <w:b/>
                <w:bCs/>
              </w:rPr>
            </w:pPr>
            <w:r w:rsidRPr="000B7B88">
              <w:rPr>
                <w:rFonts w:ascii="Times New Roman" w:hAnsi="Times New Roman" w:cs="Times New Roman"/>
                <w:b/>
                <w:bCs/>
              </w:rPr>
              <w:t>Version</w:t>
            </w:r>
          </w:p>
        </w:tc>
        <w:tc>
          <w:tcPr>
            <w:tcW w:w="1429" w:type="dxa"/>
          </w:tcPr>
          <w:p w14:paraId="47A4BD99" w14:textId="77777777" w:rsidR="000B7B88" w:rsidRPr="000B7B88" w:rsidRDefault="000B7B88" w:rsidP="00B53E5D">
            <w:pPr>
              <w:jc w:val="center"/>
              <w:rPr>
                <w:rFonts w:ascii="Times New Roman" w:hAnsi="Times New Roman" w:cs="Times New Roman"/>
                <w:b/>
                <w:bCs/>
              </w:rPr>
            </w:pPr>
            <w:r w:rsidRPr="000B7B88">
              <w:rPr>
                <w:rFonts w:ascii="Times New Roman" w:hAnsi="Times New Roman" w:cs="Times New Roman"/>
                <w:b/>
                <w:bCs/>
              </w:rPr>
              <w:t>Date</w:t>
            </w:r>
          </w:p>
        </w:tc>
        <w:tc>
          <w:tcPr>
            <w:tcW w:w="4860" w:type="dxa"/>
          </w:tcPr>
          <w:p w14:paraId="160A7645" w14:textId="77777777" w:rsidR="000B7B88" w:rsidRPr="000B7B88" w:rsidRDefault="000B7B88" w:rsidP="00B53E5D">
            <w:pPr>
              <w:jc w:val="center"/>
              <w:rPr>
                <w:rFonts w:ascii="Times New Roman" w:hAnsi="Times New Roman" w:cs="Times New Roman"/>
                <w:b/>
                <w:bCs/>
              </w:rPr>
            </w:pPr>
            <w:r w:rsidRPr="000B7B88">
              <w:rPr>
                <w:rFonts w:ascii="Times New Roman" w:hAnsi="Times New Roman" w:cs="Times New Roman" w:hint="eastAsia"/>
                <w:b/>
                <w:bCs/>
              </w:rPr>
              <w:t>A</w:t>
            </w:r>
            <w:r w:rsidRPr="000B7B88">
              <w:rPr>
                <w:rFonts w:ascii="Times New Roman" w:hAnsi="Times New Roman" w:cs="Times New Roman"/>
                <w:b/>
                <w:bCs/>
              </w:rPr>
              <w:t>mendment</w:t>
            </w:r>
          </w:p>
        </w:tc>
      </w:tr>
      <w:tr w:rsidR="000B7B88" w:rsidRPr="000B7B88" w14:paraId="232B22A0" w14:textId="77777777" w:rsidTr="00D86C94">
        <w:tc>
          <w:tcPr>
            <w:tcW w:w="1638" w:type="dxa"/>
          </w:tcPr>
          <w:p w14:paraId="6F0ED124"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Original</w:t>
            </w:r>
          </w:p>
        </w:tc>
        <w:tc>
          <w:tcPr>
            <w:tcW w:w="1428" w:type="dxa"/>
          </w:tcPr>
          <w:p w14:paraId="267A3D87"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1.1</w:t>
            </w:r>
          </w:p>
        </w:tc>
        <w:tc>
          <w:tcPr>
            <w:tcW w:w="1429" w:type="dxa"/>
          </w:tcPr>
          <w:p w14:paraId="3A9729CD"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2020-1-14</w:t>
            </w:r>
          </w:p>
        </w:tc>
        <w:tc>
          <w:tcPr>
            <w:tcW w:w="4860" w:type="dxa"/>
          </w:tcPr>
          <w:p w14:paraId="542B7B6F"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N/A</w:t>
            </w:r>
          </w:p>
        </w:tc>
      </w:tr>
      <w:tr w:rsidR="000B7B88" w:rsidRPr="000B7B88" w14:paraId="6307F78D" w14:textId="77777777" w:rsidTr="00D86C94">
        <w:tc>
          <w:tcPr>
            <w:tcW w:w="1638" w:type="dxa"/>
          </w:tcPr>
          <w:p w14:paraId="48DC0AAC"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1</w:t>
            </w:r>
            <w:r w:rsidRPr="000B7B88">
              <w:rPr>
                <w:rFonts w:ascii="Times New Roman" w:hAnsi="Times New Roman" w:cs="Times New Roman"/>
                <w:vertAlign w:val="superscript"/>
              </w:rPr>
              <w:t>st</w:t>
            </w:r>
            <w:r w:rsidRPr="000B7B88">
              <w:rPr>
                <w:rFonts w:ascii="Times New Roman" w:hAnsi="Times New Roman" w:cs="Times New Roman"/>
              </w:rPr>
              <w:t xml:space="preserve"> amendment</w:t>
            </w:r>
          </w:p>
        </w:tc>
        <w:tc>
          <w:tcPr>
            <w:tcW w:w="1428" w:type="dxa"/>
          </w:tcPr>
          <w:p w14:paraId="3C924B51"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1.2</w:t>
            </w:r>
          </w:p>
        </w:tc>
        <w:tc>
          <w:tcPr>
            <w:tcW w:w="1429" w:type="dxa"/>
          </w:tcPr>
          <w:p w14:paraId="53602C4E"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2020-6-3</w:t>
            </w:r>
          </w:p>
        </w:tc>
        <w:tc>
          <w:tcPr>
            <w:tcW w:w="4860" w:type="dxa"/>
          </w:tcPr>
          <w:p w14:paraId="2B9089EC"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 xml:space="preserve">Provided additional recruitment materials and defined new routes of recruitment, to disseminate study information to more patients in need and expedite the progress of recruitment </w:t>
            </w:r>
          </w:p>
        </w:tc>
      </w:tr>
      <w:tr w:rsidR="000B7B88" w:rsidRPr="000B7B88" w14:paraId="75661A3B" w14:textId="77777777" w:rsidTr="00D86C94">
        <w:tc>
          <w:tcPr>
            <w:tcW w:w="1638" w:type="dxa"/>
          </w:tcPr>
          <w:p w14:paraId="43B0CDBD"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2</w:t>
            </w:r>
            <w:r w:rsidRPr="000B7B88">
              <w:rPr>
                <w:rFonts w:ascii="Times New Roman" w:hAnsi="Times New Roman" w:cs="Times New Roman"/>
                <w:vertAlign w:val="superscript"/>
              </w:rPr>
              <w:t>nd</w:t>
            </w:r>
            <w:r w:rsidRPr="000B7B88">
              <w:rPr>
                <w:rFonts w:ascii="Times New Roman" w:hAnsi="Times New Roman" w:cs="Times New Roman"/>
              </w:rPr>
              <w:t xml:space="preserve"> amendment</w:t>
            </w:r>
          </w:p>
        </w:tc>
        <w:tc>
          <w:tcPr>
            <w:tcW w:w="1428" w:type="dxa"/>
          </w:tcPr>
          <w:p w14:paraId="70D1AC9D"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1.3</w:t>
            </w:r>
          </w:p>
        </w:tc>
        <w:tc>
          <w:tcPr>
            <w:tcW w:w="1429" w:type="dxa"/>
          </w:tcPr>
          <w:p w14:paraId="36D804E3"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2020-7-27</w:t>
            </w:r>
          </w:p>
        </w:tc>
        <w:tc>
          <w:tcPr>
            <w:tcW w:w="4860" w:type="dxa"/>
          </w:tcPr>
          <w:p w14:paraId="18404A11" w14:textId="77777777" w:rsidR="000B7B88" w:rsidRPr="000B7B88" w:rsidRDefault="000B7B88" w:rsidP="00B53E5D">
            <w:pPr>
              <w:rPr>
                <w:rFonts w:ascii="Times New Roman" w:hAnsi="Times New Roman" w:cs="Times New Roman"/>
              </w:rPr>
            </w:pPr>
            <w:r w:rsidRPr="000B7B88">
              <w:rPr>
                <w:rFonts w:ascii="Times New Roman" w:hAnsi="Times New Roman" w:cs="Times New Roman"/>
                <w:szCs w:val="21"/>
              </w:rPr>
              <w:t xml:space="preserve">In response to suggestion by lead investigator and in accordance with the Consensus on the Clinical Diagnosis, Treatment, and Prevention of Cancer- and Chemotherapy-Related Anemia in China (2019 edition), changed the inclusion criteria of “hemoglobin ≥10 g/dL” to “hemoglobin ≥9 g/dL” for better relevance to local clinical practice </w:t>
            </w:r>
          </w:p>
        </w:tc>
      </w:tr>
      <w:tr w:rsidR="000B7B88" w:rsidRPr="000B7B88" w14:paraId="57E23113" w14:textId="77777777" w:rsidTr="00D86C94">
        <w:tc>
          <w:tcPr>
            <w:tcW w:w="1638" w:type="dxa"/>
          </w:tcPr>
          <w:p w14:paraId="69094224"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3</w:t>
            </w:r>
            <w:r w:rsidRPr="000B7B88">
              <w:rPr>
                <w:rFonts w:ascii="Times New Roman" w:hAnsi="Times New Roman" w:cs="Times New Roman"/>
                <w:vertAlign w:val="superscript"/>
              </w:rPr>
              <w:t>rd</w:t>
            </w:r>
            <w:r w:rsidRPr="000B7B88">
              <w:rPr>
                <w:rFonts w:ascii="Times New Roman" w:hAnsi="Times New Roman" w:cs="Times New Roman"/>
              </w:rPr>
              <w:t xml:space="preserve"> amendment</w:t>
            </w:r>
          </w:p>
        </w:tc>
        <w:tc>
          <w:tcPr>
            <w:tcW w:w="1428" w:type="dxa"/>
          </w:tcPr>
          <w:p w14:paraId="233B50E5"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1.4</w:t>
            </w:r>
          </w:p>
        </w:tc>
        <w:tc>
          <w:tcPr>
            <w:tcW w:w="1429" w:type="dxa"/>
          </w:tcPr>
          <w:p w14:paraId="359B37A9" w14:textId="77777777" w:rsidR="000B7B88" w:rsidRPr="000B7B88" w:rsidRDefault="000B7B88" w:rsidP="00B53E5D">
            <w:pPr>
              <w:jc w:val="center"/>
              <w:rPr>
                <w:rFonts w:ascii="Times New Roman" w:hAnsi="Times New Roman" w:cs="Times New Roman"/>
              </w:rPr>
            </w:pPr>
            <w:r w:rsidRPr="000B7B88">
              <w:rPr>
                <w:rFonts w:ascii="Times New Roman" w:hAnsi="Times New Roman" w:cs="Times New Roman"/>
              </w:rPr>
              <w:t>2020-10-8</w:t>
            </w:r>
          </w:p>
        </w:tc>
        <w:tc>
          <w:tcPr>
            <w:tcW w:w="4860" w:type="dxa"/>
          </w:tcPr>
          <w:p w14:paraId="1EB31966" w14:textId="77777777" w:rsidR="000B7B88" w:rsidRPr="000B7B88" w:rsidRDefault="000B7B88" w:rsidP="00B53E5D">
            <w:pPr>
              <w:rPr>
                <w:rFonts w:ascii="Times New Roman" w:hAnsi="Times New Roman" w:cs="Times New Roman"/>
              </w:rPr>
            </w:pPr>
            <w:r w:rsidRPr="000B7B88">
              <w:rPr>
                <w:rFonts w:ascii="Times New Roman" w:hAnsi="Times New Roman" w:cs="Times New Roman"/>
              </w:rPr>
              <w:t>Changed the starting dose of anlotinib to 10 mg</w:t>
            </w:r>
          </w:p>
        </w:tc>
      </w:tr>
    </w:tbl>
    <w:p w14:paraId="7A8568D9" w14:textId="77777777" w:rsidR="000B7B88" w:rsidRDefault="000B7B88">
      <w:pPr>
        <w:widowControl/>
        <w:autoSpaceDE/>
        <w:autoSpaceDN/>
        <w:rPr>
          <w:rFonts w:ascii="Times New Roman" w:eastAsia="SimSun" w:hAnsi="Times New Roman" w:cs="Times New Roman"/>
          <w:b/>
          <w:snapToGrid w:val="0"/>
          <w:color w:val="000000" w:themeColor="text1"/>
          <w:sz w:val="28"/>
          <w:szCs w:val="32"/>
        </w:rPr>
      </w:pPr>
    </w:p>
    <w:p w14:paraId="4B3FD92D" w14:textId="595FC0F8" w:rsidR="000B7B88" w:rsidRDefault="000B7B88" w:rsidP="000B7B88">
      <w:pPr>
        <w:widowControl/>
        <w:autoSpaceDE/>
        <w:autoSpaceDN/>
        <w:rPr>
          <w:rFonts w:ascii="Times New Roman" w:eastAsia="SimSun" w:hAnsi="Times New Roman" w:cs="Times New Roman"/>
          <w:b/>
          <w:snapToGrid w:val="0"/>
          <w:color w:val="000000" w:themeColor="text1"/>
          <w:sz w:val="28"/>
          <w:szCs w:val="32"/>
        </w:rPr>
      </w:pPr>
      <w:r>
        <w:rPr>
          <w:rFonts w:ascii="Times New Roman" w:eastAsia="SimSun" w:hAnsi="Times New Roman" w:cs="Times New Roman"/>
          <w:b/>
          <w:snapToGrid w:val="0"/>
          <w:color w:val="000000" w:themeColor="text1"/>
          <w:sz w:val="28"/>
          <w:szCs w:val="32"/>
        </w:rPr>
        <w:br w:type="page"/>
      </w:r>
    </w:p>
    <w:p w14:paraId="732746F0" w14:textId="233A98EE" w:rsidR="004733E0" w:rsidRPr="00B942CD" w:rsidRDefault="004733E0" w:rsidP="00AA119C">
      <w:pPr>
        <w:widowControl/>
        <w:autoSpaceDE/>
        <w:autoSpaceDN/>
        <w:adjustRightInd w:val="0"/>
        <w:snapToGrid w:val="0"/>
        <w:spacing w:beforeLines="50" w:before="120" w:line="288" w:lineRule="auto"/>
        <w:jc w:val="center"/>
        <w:rPr>
          <w:rFonts w:ascii="Times New Roman" w:eastAsia="SimSun" w:hAnsi="Times New Roman" w:cs="Times New Roman"/>
          <w:b/>
          <w:snapToGrid w:val="0"/>
          <w:color w:val="000000" w:themeColor="text1"/>
          <w:sz w:val="28"/>
          <w:szCs w:val="32"/>
        </w:rPr>
      </w:pPr>
      <w:r w:rsidRPr="00B942CD">
        <w:rPr>
          <w:rFonts w:ascii="Times New Roman" w:eastAsia="SimSun" w:hAnsi="Times New Roman" w:cs="Times New Roman"/>
          <w:b/>
          <w:snapToGrid w:val="0"/>
          <w:color w:val="000000" w:themeColor="text1"/>
          <w:sz w:val="28"/>
          <w:szCs w:val="32"/>
        </w:rPr>
        <w:lastRenderedPageBreak/>
        <w:t>A phase II clinical study of niraparib in combination with anlotinib in patients with platinum-resistant recurrent ovarian cancer</w:t>
      </w:r>
    </w:p>
    <w:tbl>
      <w:tblPr>
        <w:tblW w:w="5000" w:type="pct"/>
        <w:tblLook w:val="00A0" w:firstRow="1" w:lastRow="0" w:firstColumn="1" w:lastColumn="0" w:noHBand="0" w:noVBand="0"/>
      </w:tblPr>
      <w:tblGrid>
        <w:gridCol w:w="3544"/>
        <w:gridCol w:w="5816"/>
      </w:tblGrid>
      <w:tr w:rsidR="00C04058" w:rsidRPr="00B942CD" w14:paraId="31683856" w14:textId="77777777" w:rsidTr="00AB5126">
        <w:tc>
          <w:tcPr>
            <w:tcW w:w="1893" w:type="pct"/>
            <w:tcBorders>
              <w:top w:val="single" w:sz="12" w:space="0" w:color="auto"/>
            </w:tcBorders>
          </w:tcPr>
          <w:p w14:paraId="44D96265" w14:textId="6F1188F0"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 xml:space="preserve">Study Title: </w:t>
            </w:r>
          </w:p>
        </w:tc>
        <w:tc>
          <w:tcPr>
            <w:tcW w:w="3107" w:type="pct"/>
            <w:tcBorders>
              <w:top w:val="single" w:sz="12" w:space="0" w:color="auto"/>
            </w:tcBorders>
          </w:tcPr>
          <w:p w14:paraId="42FE50A2"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lang w:eastAsia="zh-CN"/>
              </w:rPr>
              <w:t>An open-label, single arm, phase II trial of niraparib in combination with anlotinib in patients with platinum-resistant recurrent ovarian cancer, fallopian tube cancer, and primary peritoneal cancer (ovarian cancer)</w:t>
            </w:r>
          </w:p>
        </w:tc>
      </w:tr>
      <w:tr w:rsidR="00C04058" w:rsidRPr="00B942CD" w14:paraId="718B6BBD" w14:textId="77777777" w:rsidTr="00AB5126">
        <w:tc>
          <w:tcPr>
            <w:tcW w:w="1893" w:type="pct"/>
          </w:tcPr>
          <w:p w14:paraId="0645FAC9"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Project No.:</w:t>
            </w:r>
          </w:p>
        </w:tc>
        <w:tc>
          <w:tcPr>
            <w:tcW w:w="3107" w:type="pct"/>
          </w:tcPr>
          <w:p w14:paraId="45B2A5B2" w14:textId="77777777" w:rsidR="004733E0" w:rsidRPr="00B942CD" w:rsidRDefault="004733E0" w:rsidP="00AA119C">
            <w:pPr>
              <w:pStyle w:val="CoverTextList"/>
              <w:suppressAutoHyphens w:val="0"/>
              <w:adjustRightInd w:val="0"/>
              <w:snapToGrid w:val="0"/>
              <w:spacing w:beforeLines="50" w:before="120" w:after="0" w:line="288" w:lineRule="auto"/>
              <w:ind w:left="0" w:firstLine="0"/>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lang w:eastAsia="zh-CN"/>
              </w:rPr>
              <w:t>CH1903005</w:t>
            </w:r>
          </w:p>
        </w:tc>
      </w:tr>
      <w:tr w:rsidR="00C04058" w:rsidRPr="00B942CD" w14:paraId="08CC0929" w14:textId="77777777" w:rsidTr="00AB5126">
        <w:tc>
          <w:tcPr>
            <w:tcW w:w="1893" w:type="pct"/>
          </w:tcPr>
          <w:p w14:paraId="0CB115D8"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Version No. and Version Date:</w:t>
            </w:r>
          </w:p>
        </w:tc>
        <w:tc>
          <w:tcPr>
            <w:tcW w:w="3107" w:type="pct"/>
          </w:tcPr>
          <w:p w14:paraId="009FAD67" w14:textId="48C2AA71" w:rsidR="004733E0" w:rsidRPr="00B942CD" w:rsidRDefault="00A70972"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lang w:eastAsia="zh-CN"/>
              </w:rPr>
            </w:pPr>
            <w:r w:rsidRPr="00CD1E00">
              <w:rPr>
                <w:rFonts w:ascii="Times New Roman" w:hAnsi="Times New Roman"/>
                <w:b w:val="0"/>
                <w:snapToGrid w:val="0"/>
                <w:color w:val="000000" w:themeColor="text1"/>
                <w:sz w:val="24"/>
                <w:szCs w:val="24"/>
                <w:lang w:eastAsia="zh-CN"/>
              </w:rPr>
              <w:t>08Oct2020/Version 1.4</w:t>
            </w:r>
          </w:p>
        </w:tc>
      </w:tr>
      <w:tr w:rsidR="00C04058" w:rsidRPr="00B942CD" w14:paraId="022FBF1D" w14:textId="77777777" w:rsidTr="00AB5126">
        <w:tc>
          <w:tcPr>
            <w:tcW w:w="1893" w:type="pct"/>
          </w:tcPr>
          <w:p w14:paraId="16881AFA"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left"/>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Investigational Medicinal Product (IMP):</w:t>
            </w:r>
          </w:p>
        </w:tc>
        <w:tc>
          <w:tcPr>
            <w:tcW w:w="3107" w:type="pct"/>
          </w:tcPr>
          <w:p w14:paraId="7E7FA6D2"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lang w:eastAsia="zh-CN"/>
              </w:rPr>
            </w:pPr>
            <w:r w:rsidRPr="00B942CD">
              <w:rPr>
                <w:rFonts w:ascii="Times New Roman" w:hAnsi="Times New Roman"/>
                <w:b w:val="0"/>
                <w:snapToGrid w:val="0"/>
                <w:color w:val="000000" w:themeColor="text1"/>
                <w:sz w:val="24"/>
                <w:szCs w:val="24"/>
                <w:lang w:eastAsia="zh-CN"/>
              </w:rPr>
              <w:t>Niraparib and anlotinib</w:t>
            </w:r>
          </w:p>
        </w:tc>
      </w:tr>
      <w:tr w:rsidR="00C04058" w:rsidRPr="00B942CD" w14:paraId="56956600" w14:textId="77777777" w:rsidTr="00AB5126">
        <w:tc>
          <w:tcPr>
            <w:tcW w:w="1893" w:type="pct"/>
          </w:tcPr>
          <w:p w14:paraId="7CC37E4B" w14:textId="6F119D65"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Study Phase:</w:t>
            </w:r>
          </w:p>
        </w:tc>
        <w:tc>
          <w:tcPr>
            <w:tcW w:w="3107" w:type="pct"/>
          </w:tcPr>
          <w:p w14:paraId="72D0FD61" w14:textId="11D01E8F"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Phase II</w:t>
            </w:r>
          </w:p>
        </w:tc>
      </w:tr>
      <w:tr w:rsidR="00C04058" w:rsidRPr="00B942CD" w14:paraId="326E280A" w14:textId="77777777" w:rsidTr="00AB5126">
        <w:tc>
          <w:tcPr>
            <w:tcW w:w="1893" w:type="pct"/>
          </w:tcPr>
          <w:p w14:paraId="3C770044"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Sponsor:</w:t>
            </w:r>
          </w:p>
        </w:tc>
        <w:tc>
          <w:tcPr>
            <w:tcW w:w="3107" w:type="pct"/>
          </w:tcPr>
          <w:p w14:paraId="3C520A9E" w14:textId="7777777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 xml:space="preserve">Sun </w:t>
            </w:r>
            <w:proofErr w:type="spellStart"/>
            <w:r w:rsidRPr="00B942CD">
              <w:rPr>
                <w:rFonts w:ascii="Times New Roman" w:hAnsi="Times New Roman"/>
                <w:b w:val="0"/>
                <w:snapToGrid w:val="0"/>
                <w:color w:val="000000" w:themeColor="text1"/>
                <w:sz w:val="24"/>
                <w:szCs w:val="24"/>
              </w:rPr>
              <w:t>Yat-sen</w:t>
            </w:r>
            <w:proofErr w:type="spellEnd"/>
            <w:r w:rsidRPr="00B942CD">
              <w:rPr>
                <w:rFonts w:ascii="Times New Roman" w:hAnsi="Times New Roman"/>
                <w:b w:val="0"/>
                <w:snapToGrid w:val="0"/>
                <w:color w:val="000000" w:themeColor="text1"/>
                <w:sz w:val="24"/>
                <w:szCs w:val="24"/>
              </w:rPr>
              <w:t xml:space="preserve"> University Cancer Center</w:t>
            </w:r>
          </w:p>
        </w:tc>
      </w:tr>
      <w:tr w:rsidR="00C04058" w:rsidRPr="00B942CD" w14:paraId="070DAE8D" w14:textId="77777777" w:rsidTr="00AB5126">
        <w:tc>
          <w:tcPr>
            <w:tcW w:w="1893" w:type="pct"/>
          </w:tcPr>
          <w:p w14:paraId="4702DCE7" w14:textId="783118F4"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Signatory of Sponsor:</w:t>
            </w:r>
          </w:p>
        </w:tc>
        <w:tc>
          <w:tcPr>
            <w:tcW w:w="3107" w:type="pct"/>
          </w:tcPr>
          <w:p w14:paraId="53E15884" w14:textId="0E975403"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 xml:space="preserve">Professor </w:t>
            </w:r>
            <w:proofErr w:type="spellStart"/>
            <w:r w:rsidRPr="00B942CD">
              <w:rPr>
                <w:rFonts w:ascii="Times New Roman" w:hAnsi="Times New Roman"/>
                <w:b w:val="0"/>
                <w:snapToGrid w:val="0"/>
                <w:color w:val="000000" w:themeColor="text1"/>
                <w:sz w:val="24"/>
                <w:szCs w:val="24"/>
              </w:rPr>
              <w:t>Jihong</w:t>
            </w:r>
            <w:proofErr w:type="spellEnd"/>
            <w:r w:rsidRPr="00B942CD">
              <w:rPr>
                <w:rFonts w:ascii="Times New Roman" w:hAnsi="Times New Roman"/>
                <w:b w:val="0"/>
                <w:snapToGrid w:val="0"/>
                <w:color w:val="000000" w:themeColor="text1"/>
                <w:sz w:val="24"/>
                <w:szCs w:val="24"/>
              </w:rPr>
              <w:t xml:space="preserve"> Liu</w:t>
            </w:r>
          </w:p>
        </w:tc>
      </w:tr>
      <w:tr w:rsidR="00C04058" w:rsidRPr="00B942CD" w14:paraId="75E74EC2" w14:textId="77777777" w:rsidTr="00AB5126">
        <w:tc>
          <w:tcPr>
            <w:tcW w:w="1893" w:type="pct"/>
          </w:tcPr>
          <w:p w14:paraId="2E3893B7" w14:textId="3B87D82D"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Principal Investigator:</w:t>
            </w:r>
          </w:p>
        </w:tc>
        <w:tc>
          <w:tcPr>
            <w:tcW w:w="3107" w:type="pct"/>
          </w:tcPr>
          <w:p w14:paraId="428DA83E" w14:textId="657D1607" w:rsidR="004733E0" w:rsidRPr="00B942CD" w:rsidRDefault="004733E0"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 xml:space="preserve">Professor </w:t>
            </w:r>
            <w:proofErr w:type="spellStart"/>
            <w:r w:rsidRPr="00B942CD">
              <w:rPr>
                <w:rFonts w:ascii="Times New Roman" w:hAnsi="Times New Roman"/>
                <w:b w:val="0"/>
                <w:snapToGrid w:val="0"/>
                <w:color w:val="000000" w:themeColor="text1"/>
                <w:sz w:val="24"/>
                <w:szCs w:val="24"/>
              </w:rPr>
              <w:t>Jihong</w:t>
            </w:r>
            <w:proofErr w:type="spellEnd"/>
            <w:r w:rsidRPr="00B942CD">
              <w:rPr>
                <w:rFonts w:ascii="Times New Roman" w:hAnsi="Times New Roman"/>
                <w:b w:val="0"/>
                <w:snapToGrid w:val="0"/>
                <w:color w:val="000000" w:themeColor="text1"/>
                <w:sz w:val="24"/>
                <w:szCs w:val="24"/>
              </w:rPr>
              <w:t xml:space="preserve"> Liu</w:t>
            </w:r>
          </w:p>
          <w:p w14:paraId="4A6092AA" w14:textId="0000ED1B" w:rsidR="00AB5126" w:rsidRPr="00B942CD" w:rsidRDefault="00AB5126"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 xml:space="preserve">Sun </w:t>
            </w:r>
            <w:proofErr w:type="spellStart"/>
            <w:r w:rsidRPr="00B942CD">
              <w:rPr>
                <w:rFonts w:ascii="Times New Roman" w:hAnsi="Times New Roman"/>
                <w:b w:val="0"/>
                <w:snapToGrid w:val="0"/>
                <w:color w:val="000000" w:themeColor="text1"/>
                <w:sz w:val="24"/>
                <w:szCs w:val="24"/>
              </w:rPr>
              <w:t>Yat-sen</w:t>
            </w:r>
            <w:proofErr w:type="spellEnd"/>
            <w:r w:rsidRPr="00B942CD">
              <w:rPr>
                <w:rFonts w:ascii="Times New Roman" w:hAnsi="Times New Roman"/>
                <w:b w:val="0"/>
                <w:snapToGrid w:val="0"/>
                <w:color w:val="000000" w:themeColor="text1"/>
                <w:sz w:val="24"/>
                <w:szCs w:val="24"/>
              </w:rPr>
              <w:t xml:space="preserve"> University Cancer Center</w:t>
            </w:r>
          </w:p>
        </w:tc>
      </w:tr>
      <w:tr w:rsidR="00AB5126" w:rsidRPr="00B942CD" w14:paraId="4BD38088" w14:textId="77777777" w:rsidTr="00AB5126">
        <w:tc>
          <w:tcPr>
            <w:tcW w:w="1893" w:type="pct"/>
          </w:tcPr>
          <w:p w14:paraId="69A14BB1" w14:textId="0AC30907" w:rsidR="00AB5126" w:rsidRPr="00B942CD" w:rsidRDefault="00AB5126"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Sponsors:</w:t>
            </w:r>
          </w:p>
        </w:tc>
        <w:tc>
          <w:tcPr>
            <w:tcW w:w="3107" w:type="pct"/>
          </w:tcPr>
          <w:p w14:paraId="6BE1ADC0" w14:textId="0EBBE4F4" w:rsidR="00AB5126" w:rsidRPr="00B942CD" w:rsidRDefault="00AB5126"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 xml:space="preserve">Zai Lab (Shanghai) Co., Ltd., Chia Tai </w:t>
            </w:r>
            <w:proofErr w:type="spellStart"/>
            <w:r w:rsidRPr="00B942CD">
              <w:rPr>
                <w:rFonts w:ascii="Times New Roman" w:hAnsi="Times New Roman"/>
                <w:b w:val="0"/>
                <w:snapToGrid w:val="0"/>
                <w:color w:val="000000" w:themeColor="text1"/>
                <w:sz w:val="24"/>
                <w:szCs w:val="24"/>
              </w:rPr>
              <w:t>Tianqing</w:t>
            </w:r>
            <w:proofErr w:type="spellEnd"/>
            <w:r w:rsidRPr="00B942CD">
              <w:rPr>
                <w:rFonts w:ascii="Times New Roman" w:hAnsi="Times New Roman"/>
                <w:b w:val="0"/>
                <w:snapToGrid w:val="0"/>
                <w:color w:val="000000" w:themeColor="text1"/>
                <w:sz w:val="24"/>
                <w:szCs w:val="24"/>
              </w:rPr>
              <w:t xml:space="preserve"> Pharmaceutical Group Co., Ltd.</w:t>
            </w:r>
          </w:p>
        </w:tc>
      </w:tr>
      <w:tr w:rsidR="00AB5126" w:rsidRPr="00B942CD" w14:paraId="315CB122" w14:textId="77777777" w:rsidTr="00AB5126">
        <w:tc>
          <w:tcPr>
            <w:tcW w:w="1893" w:type="pct"/>
          </w:tcPr>
          <w:p w14:paraId="30F9501D" w14:textId="652E1D6F" w:rsidR="00AB5126" w:rsidRPr="00B942CD" w:rsidRDefault="00AB5126"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snapToGrid w:val="0"/>
                <w:color w:val="000000" w:themeColor="text1"/>
                <w:sz w:val="24"/>
                <w:szCs w:val="24"/>
              </w:rPr>
            </w:pPr>
            <w:r w:rsidRPr="00B942CD">
              <w:rPr>
                <w:rFonts w:ascii="Times New Roman" w:hAnsi="Times New Roman"/>
                <w:snapToGrid w:val="0"/>
                <w:color w:val="000000" w:themeColor="text1"/>
                <w:sz w:val="24"/>
                <w:szCs w:val="24"/>
              </w:rPr>
              <w:t>Number of Cases Observed in The Trial:</w:t>
            </w:r>
          </w:p>
        </w:tc>
        <w:tc>
          <w:tcPr>
            <w:tcW w:w="3107" w:type="pct"/>
          </w:tcPr>
          <w:p w14:paraId="678340E0" w14:textId="45C654F4" w:rsidR="00AB5126" w:rsidRPr="00B942CD" w:rsidRDefault="00AB5126" w:rsidP="00AA119C">
            <w:pPr>
              <w:pStyle w:val="CoverTitle"/>
              <w:pBdr>
                <w:bottom w:val="none" w:sz="0" w:space="0" w:color="auto"/>
              </w:pBdr>
              <w:suppressAutoHyphens w:val="0"/>
              <w:adjustRightInd w:val="0"/>
              <w:snapToGrid w:val="0"/>
              <w:spacing w:beforeLines="50" w:before="120" w:after="0" w:line="288" w:lineRule="auto"/>
              <w:jc w:val="both"/>
              <w:rPr>
                <w:rFonts w:ascii="Times New Roman" w:hAnsi="Times New Roman"/>
                <w:b w:val="0"/>
                <w:snapToGrid w:val="0"/>
                <w:color w:val="000000" w:themeColor="text1"/>
                <w:sz w:val="24"/>
                <w:szCs w:val="24"/>
              </w:rPr>
            </w:pPr>
            <w:r w:rsidRPr="00B942CD">
              <w:rPr>
                <w:rFonts w:ascii="Times New Roman" w:hAnsi="Times New Roman"/>
                <w:b w:val="0"/>
                <w:snapToGrid w:val="0"/>
                <w:color w:val="000000" w:themeColor="text1"/>
                <w:sz w:val="24"/>
                <w:szCs w:val="24"/>
              </w:rPr>
              <w:t>40 subjects</w:t>
            </w:r>
          </w:p>
        </w:tc>
      </w:tr>
    </w:tbl>
    <w:p w14:paraId="45C561DC" w14:textId="77777777" w:rsidR="004733E0" w:rsidRPr="00B942CD" w:rsidRDefault="004733E0" w:rsidP="00AA119C">
      <w:pPr>
        <w:pStyle w:val="Conf"/>
        <w:keepNext w:val="0"/>
        <w:pageBreakBefore/>
        <w:pBdr>
          <w:top w:val="none" w:sz="0" w:space="0" w:color="auto"/>
        </w:pBdr>
        <w:suppressAutoHyphens w:val="0"/>
        <w:adjustRightInd w:val="0"/>
        <w:snapToGrid w:val="0"/>
        <w:spacing w:beforeLines="50" w:before="120" w:line="288" w:lineRule="auto"/>
        <w:rPr>
          <w:snapToGrid w:val="0"/>
          <w:color w:val="000000" w:themeColor="text1"/>
          <w:sz w:val="24"/>
          <w:szCs w:val="22"/>
        </w:rPr>
      </w:pPr>
      <w:r w:rsidRPr="00B942CD">
        <w:rPr>
          <w:snapToGrid w:val="0"/>
          <w:color w:val="000000" w:themeColor="text1"/>
          <w:sz w:val="24"/>
          <w:szCs w:val="22"/>
        </w:rPr>
        <w:lastRenderedPageBreak/>
        <w:t>Statement of Confidentiality</w:t>
      </w:r>
    </w:p>
    <w:p w14:paraId="640158CA" w14:textId="77777777" w:rsidR="004733E0" w:rsidRPr="00B942CD" w:rsidRDefault="004733E0" w:rsidP="00AA119C">
      <w:pPr>
        <w:pStyle w:val="Para"/>
        <w:suppressAutoHyphens w:val="0"/>
        <w:adjustRightInd w:val="0"/>
        <w:snapToGrid w:val="0"/>
        <w:spacing w:beforeLines="50" w:before="120" w:after="0" w:line="288" w:lineRule="auto"/>
        <w:jc w:val="both"/>
        <w:rPr>
          <w:snapToGrid w:val="0"/>
          <w:color w:val="000000" w:themeColor="text1"/>
          <w:sz w:val="24"/>
        </w:rPr>
      </w:pPr>
      <w:r w:rsidRPr="00B942CD">
        <w:rPr>
          <w:snapToGrid w:val="0"/>
          <w:color w:val="000000" w:themeColor="text1"/>
          <w:sz w:val="24"/>
        </w:rPr>
        <w:t>The document is accessible to investigators, research consultants or relevant personnel, Institutional Review Board/Independent Ethics Committee only. Disclosure of this document to third parties is prohibited.</w:t>
      </w:r>
    </w:p>
    <w:p w14:paraId="0E0618DD" w14:textId="526C586B" w:rsidR="00A705FB" w:rsidRPr="00B942CD" w:rsidRDefault="00A705FB" w:rsidP="00AA119C">
      <w:pPr>
        <w:pStyle w:val="Para"/>
        <w:suppressAutoHyphens w:val="0"/>
        <w:adjustRightInd w:val="0"/>
        <w:snapToGrid w:val="0"/>
        <w:spacing w:beforeLines="50" w:before="120" w:after="0" w:line="288" w:lineRule="auto"/>
        <w:jc w:val="both"/>
        <w:rPr>
          <w:snapToGrid w:val="0"/>
          <w:color w:val="000000" w:themeColor="text1"/>
          <w:sz w:val="24"/>
        </w:rPr>
      </w:pPr>
      <w:r w:rsidRPr="00B942CD">
        <w:rPr>
          <w:snapToGrid w:val="0"/>
          <w:color w:val="000000" w:themeColor="text1"/>
          <w:sz w:val="24"/>
        </w:rPr>
        <w:br w:type="page"/>
      </w:r>
    </w:p>
    <w:p w14:paraId="6530382C" w14:textId="77777777" w:rsidR="004733E0" w:rsidRPr="00B942CD" w:rsidRDefault="004733E0" w:rsidP="00AA119C">
      <w:pPr>
        <w:pStyle w:val="Heading1"/>
        <w:numPr>
          <w:ilvl w:val="0"/>
          <w:numId w:val="0"/>
        </w:numPr>
        <w:jc w:val="center"/>
        <w:rPr>
          <w:rFonts w:cs="Times New Roman"/>
        </w:rPr>
      </w:pPr>
      <w:bookmarkStart w:id="0" w:name="LIST_OF_STUDY_CONTACTS"/>
      <w:bookmarkStart w:id="1" w:name="SPONSOR_SIGNATURE_PAGE"/>
      <w:bookmarkStart w:id="2" w:name="_bookmark0"/>
      <w:bookmarkStart w:id="3" w:name="INVESTIGATOR_SIGNATURE_PAGE"/>
      <w:bookmarkStart w:id="4" w:name="_bookmark1"/>
      <w:bookmarkStart w:id="5" w:name="_Toc98358587"/>
      <w:bookmarkEnd w:id="0"/>
      <w:bookmarkEnd w:id="1"/>
      <w:bookmarkEnd w:id="2"/>
      <w:bookmarkEnd w:id="3"/>
      <w:bookmarkEnd w:id="4"/>
      <w:r w:rsidRPr="00B942CD">
        <w:rPr>
          <w:rFonts w:cs="Times New Roman"/>
        </w:rPr>
        <w:lastRenderedPageBreak/>
        <w:t>Signature Page of the Investigator</w:t>
      </w:r>
      <w:bookmarkEnd w:id="5"/>
    </w:p>
    <w:p w14:paraId="05E7DD9C" w14:textId="773DF608"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Investigator's Statement</w:t>
      </w:r>
    </w:p>
    <w:p w14:paraId="2B2D532F" w14:textId="1F147C5B"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1"/>
        </w:rPr>
      </w:pPr>
      <w:r w:rsidRPr="00B942CD">
        <w:rPr>
          <w:rFonts w:ascii="Times New Roman" w:eastAsia="SimSun" w:hAnsi="Times New Roman" w:cs="Times New Roman"/>
          <w:b/>
          <w:snapToGrid w:val="0"/>
          <w:color w:val="000000" w:themeColor="text1"/>
          <w:sz w:val="24"/>
        </w:rPr>
        <w:t xml:space="preserve">Protocol Title: </w:t>
      </w:r>
      <w:r w:rsidRPr="00B942CD">
        <w:rPr>
          <w:rFonts w:ascii="Times New Roman" w:eastAsia="SimSun" w:hAnsi="Times New Roman" w:cs="Times New Roman"/>
          <w:snapToGrid w:val="0"/>
          <w:color w:val="000000" w:themeColor="text1"/>
          <w:sz w:val="24"/>
        </w:rPr>
        <w:t>An open-label, single-arm, phase II trial to evaluate the safety and efficacy of niraparib in combination with anlotinib in patients with platinum-resistant recurrent ovarian cancer, fallopian tube cancer, and primary peritoneal cancer (ovarian cancer)</w:t>
      </w:r>
    </w:p>
    <w:p w14:paraId="04DCFDAE" w14:textId="6FF374D0"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szCs w:val="24"/>
        </w:rPr>
        <w:t xml:space="preserve">Clinical Study No.: </w:t>
      </w:r>
      <w:r w:rsidRPr="00B942CD">
        <w:rPr>
          <w:rFonts w:ascii="Times New Roman" w:eastAsia="SimSun" w:hAnsi="Times New Roman" w:cs="Times New Roman"/>
          <w:snapToGrid w:val="0"/>
          <w:color w:val="000000" w:themeColor="text1"/>
          <w:sz w:val="24"/>
        </w:rPr>
        <w:t>CH1903005</w:t>
      </w:r>
    </w:p>
    <w:p w14:paraId="2CFCBA41"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 have read the full text of the protocol, including all appendices.</w:t>
      </w:r>
    </w:p>
    <w:p w14:paraId="7682125F" w14:textId="3E94E46C"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By signing this agreement, I agree to conduct the clinical study in accordance with the study protocol, the International Conference on Harmonization (ICH), GCP guidelines, and applicable regulatory requirements after obtaining the approval of the Independent Ethics Committee (IEC)/ Institutional Review Board (IRB).</w:t>
      </w:r>
    </w:p>
    <w:p w14:paraId="7707C0A4" w14:textId="710BE53D"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 will ensure that, under my direction, all personnel participating in the study will be informed of the contents of this study protocol and will receive all necessary guidance to perform the trial protocol.</w:t>
      </w:r>
    </w:p>
    <w:p w14:paraId="7F7656C6"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bCs/>
          <w:snapToGrid w:val="0"/>
          <w:color w:val="000000" w:themeColor="text1"/>
          <w:sz w:val="24"/>
        </w:rPr>
      </w:pPr>
      <w:bookmarkStart w:id="6" w:name="Investigator"/>
      <w:bookmarkEnd w:id="6"/>
      <w:r w:rsidRPr="00B942CD">
        <w:rPr>
          <w:rFonts w:ascii="Times New Roman" w:eastAsia="SimSun" w:hAnsi="Times New Roman" w:cs="Times New Roman"/>
          <w:b/>
          <w:bCs/>
          <w:snapToGrid w:val="0"/>
          <w:color w:val="000000" w:themeColor="text1"/>
          <w:sz w:val="24"/>
        </w:rPr>
        <w:t>Investigator</w:t>
      </w:r>
    </w:p>
    <w:p w14:paraId="79EBEC3A"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snapToGrid w:val="0"/>
          <w:color w:val="000000" w:themeColor="text1"/>
          <w:sz w:val="24"/>
        </w:rPr>
      </w:pPr>
    </w:p>
    <w:tbl>
      <w:tblPr>
        <w:tblW w:w="3399" w:type="pct"/>
        <w:tblLook w:val="00A0" w:firstRow="1" w:lastRow="0" w:firstColumn="1" w:lastColumn="0" w:noHBand="0" w:noVBand="0"/>
      </w:tblPr>
      <w:tblGrid>
        <w:gridCol w:w="5036"/>
        <w:gridCol w:w="1327"/>
      </w:tblGrid>
      <w:tr w:rsidR="00FE77F2" w:rsidRPr="00B942CD" w14:paraId="2A5DA479" w14:textId="77777777" w:rsidTr="00FE77F2">
        <w:tc>
          <w:tcPr>
            <w:tcW w:w="2645" w:type="pct"/>
            <w:noWrap/>
          </w:tcPr>
          <w:p w14:paraId="24FEF075" w14:textId="007D20D2" w:rsidR="00FE77F2" w:rsidRPr="00B942CD" w:rsidRDefault="00FE77F2" w:rsidP="00AA119C">
            <w:pPr>
              <w:pStyle w:val="BodyText"/>
              <w:widowControl/>
              <w:pBdr>
                <w:bottom w:val="single" w:sz="4" w:space="1" w:color="auto"/>
              </w:pBdr>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proofErr w:type="spellStart"/>
            <w:r>
              <w:rPr>
                <w:rFonts w:ascii="Times New Roman" w:eastAsia="SimSun" w:hAnsi="Times New Roman" w:cs="Times New Roman" w:hint="eastAsia"/>
                <w:snapToGrid w:val="0"/>
                <w:color w:val="000000" w:themeColor="text1"/>
                <w:sz w:val="24"/>
                <w:lang w:eastAsia="zh-CN"/>
              </w:rPr>
              <w:t>Ji</w:t>
            </w:r>
            <w:r>
              <w:rPr>
                <w:rFonts w:ascii="Times New Roman" w:eastAsia="SimSun" w:hAnsi="Times New Roman" w:cs="Times New Roman"/>
                <w:snapToGrid w:val="0"/>
                <w:color w:val="000000" w:themeColor="text1"/>
                <w:sz w:val="24"/>
              </w:rPr>
              <w:t>hong</w:t>
            </w:r>
            <w:proofErr w:type="spellEnd"/>
            <w:r>
              <w:rPr>
                <w:rFonts w:ascii="Times New Roman" w:eastAsia="SimSun" w:hAnsi="Times New Roman" w:cs="Times New Roman"/>
                <w:snapToGrid w:val="0"/>
                <w:color w:val="000000" w:themeColor="text1"/>
                <w:sz w:val="24"/>
              </w:rPr>
              <w:t xml:space="preserve"> Liu  MD  </w:t>
            </w:r>
            <w:proofErr w:type="spellStart"/>
            <w:r>
              <w:rPr>
                <w:rFonts w:ascii="Times New Roman" w:eastAsia="SimSun" w:hAnsi="Times New Roman" w:cs="Times New Roman"/>
                <w:snapToGrid w:val="0"/>
                <w:color w:val="000000" w:themeColor="text1"/>
                <w:sz w:val="24"/>
              </w:rPr>
              <w:t>pHD</w:t>
            </w:r>
            <w:proofErr w:type="spellEnd"/>
            <w:r>
              <w:rPr>
                <w:rFonts w:ascii="Times New Roman" w:eastAsia="SimSun" w:hAnsi="Times New Roman" w:cs="Times New Roman"/>
                <w:snapToGrid w:val="0"/>
                <w:color w:val="000000" w:themeColor="text1"/>
                <w:sz w:val="24"/>
              </w:rPr>
              <w:t xml:space="preserve"> Director of GYO SYSUCC</w:t>
            </w:r>
          </w:p>
        </w:tc>
        <w:tc>
          <w:tcPr>
            <w:tcW w:w="2355" w:type="pct"/>
            <w:noWrap/>
          </w:tcPr>
          <w:p w14:paraId="465AF45E" w14:textId="1C0C3A36" w:rsidR="00FE77F2" w:rsidRPr="00B942CD" w:rsidRDefault="00FE77F2" w:rsidP="00AA119C">
            <w:pPr>
              <w:pStyle w:val="BodyText"/>
              <w:widowControl/>
              <w:pBdr>
                <w:bottom w:val="single" w:sz="4" w:space="1" w:color="auto"/>
              </w:pBdr>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p>
        </w:tc>
      </w:tr>
      <w:tr w:rsidR="00FE77F2" w:rsidRPr="00B942CD" w14:paraId="1B7D0DCE" w14:textId="1719DA7F" w:rsidTr="00FE77F2">
        <w:tc>
          <w:tcPr>
            <w:tcW w:w="2645" w:type="pct"/>
            <w:noWrap/>
          </w:tcPr>
          <w:p w14:paraId="41E8C1F4" w14:textId="02ABE3D8" w:rsidR="00FE77F2" w:rsidRPr="00B942CD" w:rsidRDefault="00FE77F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p>
        </w:tc>
        <w:tc>
          <w:tcPr>
            <w:tcW w:w="2355" w:type="pct"/>
            <w:noWrap/>
          </w:tcPr>
          <w:p w14:paraId="598341B8" w14:textId="21454BB1" w:rsidR="00FE77F2" w:rsidRPr="00B942CD" w:rsidRDefault="00FE77F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p>
        </w:tc>
      </w:tr>
    </w:tbl>
    <w:p w14:paraId="0D311EFA" w14:textId="5396AC8C" w:rsidR="00FE77F2" w:rsidRPr="00B942CD" w:rsidRDefault="00FE77F2"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sectPr w:rsidR="00FE77F2" w:rsidRPr="00B942CD" w:rsidSect="005A1F7B">
          <w:headerReference w:type="default" r:id="rId8"/>
          <w:footerReference w:type="default" r:id="rId9"/>
          <w:pgSz w:w="12240" w:h="15840"/>
          <w:pgMar w:top="1440" w:right="1440" w:bottom="1440" w:left="1440" w:header="720" w:footer="720" w:gutter="0"/>
          <w:cols w:space="720"/>
        </w:sectPr>
      </w:pPr>
    </w:p>
    <w:p w14:paraId="307E1CF6" w14:textId="37FFFCEA"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bCs/>
          <w:snapToGrid w:val="0"/>
          <w:color w:val="000000" w:themeColor="text1"/>
          <w:sz w:val="28"/>
          <w:szCs w:val="24"/>
        </w:rPr>
      </w:pPr>
      <w:r w:rsidRPr="00B942CD">
        <w:rPr>
          <w:rFonts w:ascii="Times New Roman" w:eastAsia="SimSun" w:hAnsi="Times New Roman" w:cs="Times New Roman"/>
          <w:b/>
          <w:bCs/>
          <w:snapToGrid w:val="0"/>
          <w:color w:val="000000" w:themeColor="text1"/>
          <w:sz w:val="28"/>
          <w:szCs w:val="24"/>
        </w:rPr>
        <w:lastRenderedPageBreak/>
        <w:t>Contents</w:t>
      </w:r>
    </w:p>
    <w:p w14:paraId="18EA4D0C" w14:textId="0750CA6F" w:rsidR="00C4714A" w:rsidRDefault="00233C9B">
      <w:pPr>
        <w:pStyle w:val="TOC1"/>
        <w:rPr>
          <w:rFonts w:asciiTheme="minorHAnsi" w:eastAsiaTheme="minorEastAsia" w:hAnsiTheme="minorHAnsi" w:cstheme="minorBidi"/>
          <w:bCs w:val="0"/>
          <w:snapToGrid/>
          <w:kern w:val="2"/>
          <w:sz w:val="21"/>
          <w:lang w:eastAsia="zh-CN"/>
        </w:rPr>
      </w:pPr>
      <w:r w:rsidRPr="00B942CD">
        <w:rPr>
          <w:rFonts w:cs="Times New Roman"/>
          <w:lang w:eastAsia="zh-CN"/>
        </w:rPr>
        <w:fldChar w:fldCharType="begin"/>
      </w:r>
      <w:r w:rsidRPr="00B942CD">
        <w:rPr>
          <w:rFonts w:cs="Times New Roman"/>
          <w:lang w:eastAsia="zh-CN"/>
        </w:rPr>
        <w:instrText xml:space="preserve"> TOC \o "1-3" \h \z \u </w:instrText>
      </w:r>
      <w:r w:rsidRPr="00B942CD">
        <w:rPr>
          <w:rFonts w:cs="Times New Roman"/>
          <w:lang w:eastAsia="zh-CN"/>
        </w:rPr>
        <w:fldChar w:fldCharType="separate"/>
      </w:r>
      <w:hyperlink w:anchor="_Toc98358587" w:history="1">
        <w:r w:rsidR="00C4714A" w:rsidRPr="007530C2">
          <w:rPr>
            <w:rStyle w:val="Hyperlink"/>
          </w:rPr>
          <w:t>Signature Page of the Investigator</w:t>
        </w:r>
        <w:r w:rsidR="00C4714A">
          <w:rPr>
            <w:webHidden/>
          </w:rPr>
          <w:tab/>
        </w:r>
        <w:r w:rsidR="00C4714A">
          <w:rPr>
            <w:webHidden/>
          </w:rPr>
          <w:fldChar w:fldCharType="begin"/>
        </w:r>
        <w:r w:rsidR="00C4714A">
          <w:rPr>
            <w:webHidden/>
          </w:rPr>
          <w:instrText xml:space="preserve"> PAGEREF _Toc98358587 \h </w:instrText>
        </w:r>
        <w:r w:rsidR="00C4714A">
          <w:rPr>
            <w:webHidden/>
          </w:rPr>
        </w:r>
        <w:r w:rsidR="00C4714A">
          <w:rPr>
            <w:webHidden/>
          </w:rPr>
          <w:fldChar w:fldCharType="separate"/>
        </w:r>
        <w:r w:rsidR="00C4714A">
          <w:rPr>
            <w:webHidden/>
          </w:rPr>
          <w:t>3</w:t>
        </w:r>
        <w:r w:rsidR="00C4714A">
          <w:rPr>
            <w:webHidden/>
          </w:rPr>
          <w:fldChar w:fldCharType="end"/>
        </w:r>
      </w:hyperlink>
    </w:p>
    <w:p w14:paraId="6F9A7ED4" w14:textId="5D0F2895" w:rsidR="00C4714A" w:rsidRDefault="00FF5B24">
      <w:pPr>
        <w:pStyle w:val="TOC1"/>
        <w:rPr>
          <w:rFonts w:asciiTheme="minorHAnsi" w:eastAsiaTheme="minorEastAsia" w:hAnsiTheme="minorHAnsi" w:cstheme="minorBidi"/>
          <w:bCs w:val="0"/>
          <w:snapToGrid/>
          <w:kern w:val="2"/>
          <w:sz w:val="21"/>
          <w:lang w:eastAsia="zh-CN"/>
        </w:rPr>
      </w:pPr>
      <w:hyperlink w:anchor="_Toc98358588" w:history="1">
        <w:r w:rsidR="00C4714A" w:rsidRPr="007530C2">
          <w:rPr>
            <w:rStyle w:val="Hyperlink"/>
          </w:rPr>
          <w:t>List of Abbreviations and Definitions of Terms</w:t>
        </w:r>
        <w:r w:rsidR="00C4714A">
          <w:rPr>
            <w:webHidden/>
          </w:rPr>
          <w:tab/>
        </w:r>
        <w:r w:rsidR="00C4714A">
          <w:rPr>
            <w:webHidden/>
          </w:rPr>
          <w:fldChar w:fldCharType="begin"/>
        </w:r>
        <w:r w:rsidR="00C4714A">
          <w:rPr>
            <w:webHidden/>
          </w:rPr>
          <w:instrText xml:space="preserve"> PAGEREF _Toc98358588 \h </w:instrText>
        </w:r>
        <w:r w:rsidR="00C4714A">
          <w:rPr>
            <w:webHidden/>
          </w:rPr>
        </w:r>
        <w:r w:rsidR="00C4714A">
          <w:rPr>
            <w:webHidden/>
          </w:rPr>
          <w:fldChar w:fldCharType="separate"/>
        </w:r>
        <w:r w:rsidR="00C4714A">
          <w:rPr>
            <w:webHidden/>
          </w:rPr>
          <w:t>7</w:t>
        </w:r>
        <w:r w:rsidR="00C4714A">
          <w:rPr>
            <w:webHidden/>
          </w:rPr>
          <w:fldChar w:fldCharType="end"/>
        </w:r>
      </w:hyperlink>
    </w:p>
    <w:p w14:paraId="15007112" w14:textId="63D53CF8" w:rsidR="00C4714A" w:rsidRDefault="00FF5B24">
      <w:pPr>
        <w:pStyle w:val="TOC1"/>
        <w:rPr>
          <w:rFonts w:asciiTheme="minorHAnsi" w:eastAsiaTheme="minorEastAsia" w:hAnsiTheme="minorHAnsi" w:cstheme="minorBidi"/>
          <w:bCs w:val="0"/>
          <w:snapToGrid/>
          <w:kern w:val="2"/>
          <w:sz w:val="21"/>
          <w:lang w:eastAsia="zh-CN"/>
        </w:rPr>
      </w:pPr>
      <w:hyperlink w:anchor="_Toc98358589" w:history="1">
        <w:r w:rsidR="00C4714A" w:rsidRPr="007530C2">
          <w:rPr>
            <w:rStyle w:val="Hyperlink"/>
          </w:rPr>
          <w:t>1</w:t>
        </w:r>
        <w:r w:rsidR="00C4714A">
          <w:rPr>
            <w:rFonts w:asciiTheme="minorHAnsi" w:eastAsiaTheme="minorEastAsia" w:hAnsiTheme="minorHAnsi" w:cstheme="minorBidi"/>
            <w:bCs w:val="0"/>
            <w:snapToGrid/>
            <w:kern w:val="2"/>
            <w:sz w:val="21"/>
            <w:lang w:eastAsia="zh-CN"/>
          </w:rPr>
          <w:tab/>
        </w:r>
        <w:r w:rsidR="00C4714A" w:rsidRPr="007530C2">
          <w:rPr>
            <w:rStyle w:val="Hyperlink"/>
          </w:rPr>
          <w:t>Introduction</w:t>
        </w:r>
        <w:r w:rsidR="00C4714A">
          <w:rPr>
            <w:webHidden/>
          </w:rPr>
          <w:tab/>
        </w:r>
        <w:r w:rsidR="00C4714A">
          <w:rPr>
            <w:webHidden/>
          </w:rPr>
          <w:fldChar w:fldCharType="begin"/>
        </w:r>
        <w:r w:rsidR="00C4714A">
          <w:rPr>
            <w:webHidden/>
          </w:rPr>
          <w:instrText xml:space="preserve"> PAGEREF _Toc98358589 \h </w:instrText>
        </w:r>
        <w:r w:rsidR="00C4714A">
          <w:rPr>
            <w:webHidden/>
          </w:rPr>
        </w:r>
        <w:r w:rsidR="00C4714A">
          <w:rPr>
            <w:webHidden/>
          </w:rPr>
          <w:fldChar w:fldCharType="separate"/>
        </w:r>
        <w:r w:rsidR="00C4714A">
          <w:rPr>
            <w:webHidden/>
          </w:rPr>
          <w:t>9</w:t>
        </w:r>
        <w:r w:rsidR="00C4714A">
          <w:rPr>
            <w:webHidden/>
          </w:rPr>
          <w:fldChar w:fldCharType="end"/>
        </w:r>
      </w:hyperlink>
    </w:p>
    <w:p w14:paraId="4CFE824D" w14:textId="11AACD29" w:rsidR="00C4714A" w:rsidRDefault="00FF5B24">
      <w:pPr>
        <w:pStyle w:val="TOC2"/>
        <w:rPr>
          <w:rFonts w:asciiTheme="minorHAnsi" w:eastAsiaTheme="minorEastAsia" w:hAnsiTheme="minorHAnsi" w:cstheme="minorBidi"/>
          <w:snapToGrid/>
          <w:kern w:val="2"/>
          <w:sz w:val="21"/>
          <w:lang w:eastAsia="zh-CN"/>
        </w:rPr>
      </w:pPr>
      <w:hyperlink w:anchor="_Toc98358590" w:history="1">
        <w:r w:rsidR="00C4714A" w:rsidRPr="007530C2">
          <w:rPr>
            <w:rStyle w:val="Hyperlink"/>
          </w:rPr>
          <w:t>1.1</w:t>
        </w:r>
        <w:r w:rsidR="00C4714A">
          <w:rPr>
            <w:rFonts w:asciiTheme="minorHAnsi" w:eastAsiaTheme="minorEastAsia" w:hAnsiTheme="minorHAnsi" w:cstheme="minorBidi"/>
            <w:snapToGrid/>
            <w:kern w:val="2"/>
            <w:sz w:val="21"/>
            <w:lang w:eastAsia="zh-CN"/>
          </w:rPr>
          <w:tab/>
        </w:r>
        <w:r w:rsidR="00C4714A" w:rsidRPr="007530C2">
          <w:rPr>
            <w:rStyle w:val="Hyperlink"/>
          </w:rPr>
          <w:t>Ovarian Cancer</w:t>
        </w:r>
        <w:r w:rsidR="00C4714A">
          <w:rPr>
            <w:webHidden/>
          </w:rPr>
          <w:tab/>
        </w:r>
        <w:r w:rsidR="00C4714A">
          <w:rPr>
            <w:webHidden/>
          </w:rPr>
          <w:fldChar w:fldCharType="begin"/>
        </w:r>
        <w:r w:rsidR="00C4714A">
          <w:rPr>
            <w:webHidden/>
          </w:rPr>
          <w:instrText xml:space="preserve"> PAGEREF _Toc98358590 \h </w:instrText>
        </w:r>
        <w:r w:rsidR="00C4714A">
          <w:rPr>
            <w:webHidden/>
          </w:rPr>
        </w:r>
        <w:r w:rsidR="00C4714A">
          <w:rPr>
            <w:webHidden/>
          </w:rPr>
          <w:fldChar w:fldCharType="separate"/>
        </w:r>
        <w:r w:rsidR="00C4714A">
          <w:rPr>
            <w:webHidden/>
          </w:rPr>
          <w:t>9</w:t>
        </w:r>
        <w:r w:rsidR="00C4714A">
          <w:rPr>
            <w:webHidden/>
          </w:rPr>
          <w:fldChar w:fldCharType="end"/>
        </w:r>
      </w:hyperlink>
    </w:p>
    <w:p w14:paraId="5AD997BE" w14:textId="0A90E64E" w:rsidR="00C4714A" w:rsidRDefault="00FF5B24">
      <w:pPr>
        <w:pStyle w:val="TOC2"/>
        <w:rPr>
          <w:rFonts w:asciiTheme="minorHAnsi" w:eastAsiaTheme="minorEastAsia" w:hAnsiTheme="minorHAnsi" w:cstheme="minorBidi"/>
          <w:snapToGrid/>
          <w:kern w:val="2"/>
          <w:sz w:val="21"/>
          <w:lang w:eastAsia="zh-CN"/>
        </w:rPr>
      </w:pPr>
      <w:hyperlink w:anchor="_Toc98358591" w:history="1">
        <w:r w:rsidR="00C4714A" w:rsidRPr="007530C2">
          <w:rPr>
            <w:rStyle w:val="Hyperlink"/>
          </w:rPr>
          <w:t>1.2</w:t>
        </w:r>
        <w:r w:rsidR="00C4714A">
          <w:rPr>
            <w:rFonts w:asciiTheme="minorHAnsi" w:eastAsiaTheme="minorEastAsia" w:hAnsiTheme="minorHAnsi" w:cstheme="minorBidi"/>
            <w:snapToGrid/>
            <w:kern w:val="2"/>
            <w:sz w:val="21"/>
            <w:lang w:eastAsia="zh-CN"/>
          </w:rPr>
          <w:tab/>
        </w:r>
        <w:r w:rsidR="00C4714A" w:rsidRPr="007530C2">
          <w:rPr>
            <w:rStyle w:val="Hyperlink"/>
          </w:rPr>
          <w:t>Background of PARP and PARP Inhibitors</w:t>
        </w:r>
        <w:r w:rsidR="00C4714A">
          <w:rPr>
            <w:webHidden/>
          </w:rPr>
          <w:tab/>
        </w:r>
        <w:r w:rsidR="00C4714A">
          <w:rPr>
            <w:webHidden/>
          </w:rPr>
          <w:fldChar w:fldCharType="begin"/>
        </w:r>
        <w:r w:rsidR="00C4714A">
          <w:rPr>
            <w:webHidden/>
          </w:rPr>
          <w:instrText xml:space="preserve"> PAGEREF _Toc98358591 \h </w:instrText>
        </w:r>
        <w:r w:rsidR="00C4714A">
          <w:rPr>
            <w:webHidden/>
          </w:rPr>
        </w:r>
        <w:r w:rsidR="00C4714A">
          <w:rPr>
            <w:webHidden/>
          </w:rPr>
          <w:fldChar w:fldCharType="separate"/>
        </w:r>
        <w:r w:rsidR="00C4714A">
          <w:rPr>
            <w:webHidden/>
          </w:rPr>
          <w:t>9</w:t>
        </w:r>
        <w:r w:rsidR="00C4714A">
          <w:rPr>
            <w:webHidden/>
          </w:rPr>
          <w:fldChar w:fldCharType="end"/>
        </w:r>
      </w:hyperlink>
    </w:p>
    <w:p w14:paraId="689F30B5" w14:textId="7C4E75F4" w:rsidR="00C4714A" w:rsidRDefault="00FF5B24">
      <w:pPr>
        <w:pStyle w:val="TOC2"/>
        <w:rPr>
          <w:rFonts w:asciiTheme="minorHAnsi" w:eastAsiaTheme="minorEastAsia" w:hAnsiTheme="minorHAnsi" w:cstheme="minorBidi"/>
          <w:snapToGrid/>
          <w:kern w:val="2"/>
          <w:sz w:val="21"/>
          <w:lang w:eastAsia="zh-CN"/>
        </w:rPr>
      </w:pPr>
      <w:hyperlink w:anchor="_Toc98358592" w:history="1">
        <w:r w:rsidR="00C4714A" w:rsidRPr="007530C2">
          <w:rPr>
            <w:rStyle w:val="Hyperlink"/>
          </w:rPr>
          <w:t>1.3</w:t>
        </w:r>
        <w:r w:rsidR="00C4714A">
          <w:rPr>
            <w:rFonts w:asciiTheme="minorHAnsi" w:eastAsiaTheme="minorEastAsia" w:hAnsiTheme="minorHAnsi" w:cstheme="minorBidi"/>
            <w:snapToGrid/>
            <w:kern w:val="2"/>
            <w:sz w:val="21"/>
            <w:lang w:eastAsia="zh-CN"/>
          </w:rPr>
          <w:tab/>
        </w:r>
        <w:r w:rsidR="00C4714A" w:rsidRPr="007530C2">
          <w:rPr>
            <w:rStyle w:val="Hyperlink"/>
          </w:rPr>
          <w:t>Background of Homologous Recombination Deficiency (HRD)</w:t>
        </w:r>
        <w:r w:rsidR="00C4714A">
          <w:rPr>
            <w:webHidden/>
          </w:rPr>
          <w:tab/>
        </w:r>
        <w:r w:rsidR="00C4714A">
          <w:rPr>
            <w:webHidden/>
          </w:rPr>
          <w:fldChar w:fldCharType="begin"/>
        </w:r>
        <w:r w:rsidR="00C4714A">
          <w:rPr>
            <w:webHidden/>
          </w:rPr>
          <w:instrText xml:space="preserve"> PAGEREF _Toc98358592 \h </w:instrText>
        </w:r>
        <w:r w:rsidR="00C4714A">
          <w:rPr>
            <w:webHidden/>
          </w:rPr>
        </w:r>
        <w:r w:rsidR="00C4714A">
          <w:rPr>
            <w:webHidden/>
          </w:rPr>
          <w:fldChar w:fldCharType="separate"/>
        </w:r>
        <w:r w:rsidR="00C4714A">
          <w:rPr>
            <w:webHidden/>
          </w:rPr>
          <w:t>10</w:t>
        </w:r>
        <w:r w:rsidR="00C4714A">
          <w:rPr>
            <w:webHidden/>
          </w:rPr>
          <w:fldChar w:fldCharType="end"/>
        </w:r>
      </w:hyperlink>
    </w:p>
    <w:p w14:paraId="3E1C840B" w14:textId="0C925C4F" w:rsidR="00C4714A" w:rsidRDefault="00FF5B24">
      <w:pPr>
        <w:pStyle w:val="TOC2"/>
        <w:rPr>
          <w:rFonts w:asciiTheme="minorHAnsi" w:eastAsiaTheme="minorEastAsia" w:hAnsiTheme="minorHAnsi" w:cstheme="minorBidi"/>
          <w:snapToGrid/>
          <w:kern w:val="2"/>
          <w:sz w:val="21"/>
          <w:lang w:eastAsia="zh-CN"/>
        </w:rPr>
      </w:pPr>
      <w:hyperlink w:anchor="_Toc98358593" w:history="1">
        <w:r w:rsidR="00C4714A" w:rsidRPr="007530C2">
          <w:rPr>
            <w:rStyle w:val="Hyperlink"/>
          </w:rPr>
          <w:t>1.4</w:t>
        </w:r>
        <w:r w:rsidR="00C4714A">
          <w:rPr>
            <w:rFonts w:asciiTheme="minorHAnsi" w:eastAsiaTheme="minorEastAsia" w:hAnsiTheme="minorHAnsi" w:cstheme="minorBidi"/>
            <w:snapToGrid/>
            <w:kern w:val="2"/>
            <w:sz w:val="21"/>
            <w:lang w:eastAsia="zh-CN"/>
          </w:rPr>
          <w:tab/>
        </w:r>
        <w:r w:rsidR="00C4714A" w:rsidRPr="007530C2">
          <w:rPr>
            <w:rStyle w:val="Hyperlink"/>
          </w:rPr>
          <w:t>Background of Niraparib</w:t>
        </w:r>
        <w:r w:rsidR="00C4714A">
          <w:rPr>
            <w:webHidden/>
          </w:rPr>
          <w:tab/>
        </w:r>
        <w:r w:rsidR="00C4714A">
          <w:rPr>
            <w:webHidden/>
          </w:rPr>
          <w:fldChar w:fldCharType="begin"/>
        </w:r>
        <w:r w:rsidR="00C4714A">
          <w:rPr>
            <w:webHidden/>
          </w:rPr>
          <w:instrText xml:space="preserve"> PAGEREF _Toc98358593 \h </w:instrText>
        </w:r>
        <w:r w:rsidR="00C4714A">
          <w:rPr>
            <w:webHidden/>
          </w:rPr>
        </w:r>
        <w:r w:rsidR="00C4714A">
          <w:rPr>
            <w:webHidden/>
          </w:rPr>
          <w:fldChar w:fldCharType="separate"/>
        </w:r>
        <w:r w:rsidR="00C4714A">
          <w:rPr>
            <w:webHidden/>
          </w:rPr>
          <w:t>11</w:t>
        </w:r>
        <w:r w:rsidR="00C4714A">
          <w:rPr>
            <w:webHidden/>
          </w:rPr>
          <w:fldChar w:fldCharType="end"/>
        </w:r>
      </w:hyperlink>
    </w:p>
    <w:p w14:paraId="6702703D" w14:textId="70F88555"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594" w:history="1">
        <w:r w:rsidR="00C4714A" w:rsidRPr="007530C2">
          <w:rPr>
            <w:rStyle w:val="Hyperlink"/>
          </w:rPr>
          <w:t>1.4.1</w:t>
        </w:r>
        <w:r w:rsidR="00C4714A">
          <w:rPr>
            <w:rFonts w:asciiTheme="minorHAnsi" w:eastAsiaTheme="minorEastAsia" w:hAnsiTheme="minorHAnsi" w:cstheme="minorBidi"/>
            <w:snapToGrid/>
            <w:kern w:val="2"/>
            <w:sz w:val="21"/>
            <w:lang w:eastAsia="zh-CN"/>
          </w:rPr>
          <w:tab/>
        </w:r>
        <w:r w:rsidR="00C4714A" w:rsidRPr="007530C2">
          <w:rPr>
            <w:rStyle w:val="Hyperlink"/>
          </w:rPr>
          <w:t>Phase I clinical trials</w:t>
        </w:r>
        <w:r w:rsidR="00C4714A">
          <w:rPr>
            <w:webHidden/>
          </w:rPr>
          <w:tab/>
        </w:r>
        <w:r w:rsidR="00C4714A">
          <w:rPr>
            <w:webHidden/>
          </w:rPr>
          <w:fldChar w:fldCharType="begin"/>
        </w:r>
        <w:r w:rsidR="00C4714A">
          <w:rPr>
            <w:webHidden/>
          </w:rPr>
          <w:instrText xml:space="preserve"> PAGEREF _Toc98358594 \h </w:instrText>
        </w:r>
        <w:r w:rsidR="00C4714A">
          <w:rPr>
            <w:webHidden/>
          </w:rPr>
        </w:r>
        <w:r w:rsidR="00C4714A">
          <w:rPr>
            <w:webHidden/>
          </w:rPr>
          <w:fldChar w:fldCharType="separate"/>
        </w:r>
        <w:r w:rsidR="00C4714A">
          <w:rPr>
            <w:webHidden/>
          </w:rPr>
          <w:t>11</w:t>
        </w:r>
        <w:r w:rsidR="00C4714A">
          <w:rPr>
            <w:webHidden/>
          </w:rPr>
          <w:fldChar w:fldCharType="end"/>
        </w:r>
      </w:hyperlink>
    </w:p>
    <w:p w14:paraId="6398B09F" w14:textId="52F847C3"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595" w:history="1">
        <w:r w:rsidR="00C4714A" w:rsidRPr="007530C2">
          <w:rPr>
            <w:rStyle w:val="Hyperlink"/>
          </w:rPr>
          <w:t>1.4.2</w:t>
        </w:r>
        <w:r w:rsidR="00C4714A">
          <w:rPr>
            <w:rFonts w:asciiTheme="minorHAnsi" w:eastAsiaTheme="minorEastAsia" w:hAnsiTheme="minorHAnsi" w:cstheme="minorBidi"/>
            <w:snapToGrid/>
            <w:kern w:val="2"/>
            <w:sz w:val="21"/>
            <w:lang w:eastAsia="zh-CN"/>
          </w:rPr>
          <w:tab/>
        </w:r>
        <w:r w:rsidR="00C4714A" w:rsidRPr="007530C2">
          <w:rPr>
            <w:rStyle w:val="Hyperlink"/>
          </w:rPr>
          <w:t>Phase II clinical trial (</w:t>
        </w:r>
        <w:r w:rsidR="00C4714A" w:rsidRPr="007530C2">
          <w:rPr>
            <w:rStyle w:val="Hyperlink"/>
            <w:shd w:val="clear" w:color="auto" w:fill="FFFFFF"/>
          </w:rPr>
          <w:t>PR-30-5020-C</w:t>
        </w:r>
        <w:r w:rsidR="00C4714A" w:rsidRPr="007530C2">
          <w:rPr>
            <w:rStyle w:val="Hyperlink"/>
          </w:rPr>
          <w:t>) QUADRA</w:t>
        </w:r>
        <w:r w:rsidR="00C4714A" w:rsidRPr="007530C2">
          <w:rPr>
            <w:rStyle w:val="Hyperlink"/>
            <w:vertAlign w:val="superscript"/>
          </w:rPr>
          <w:t>13</w:t>
        </w:r>
        <w:r w:rsidR="00C4714A">
          <w:rPr>
            <w:webHidden/>
          </w:rPr>
          <w:tab/>
        </w:r>
        <w:r w:rsidR="00C4714A">
          <w:rPr>
            <w:webHidden/>
          </w:rPr>
          <w:fldChar w:fldCharType="begin"/>
        </w:r>
        <w:r w:rsidR="00C4714A">
          <w:rPr>
            <w:webHidden/>
          </w:rPr>
          <w:instrText xml:space="preserve"> PAGEREF _Toc98358595 \h </w:instrText>
        </w:r>
        <w:r w:rsidR="00C4714A">
          <w:rPr>
            <w:webHidden/>
          </w:rPr>
        </w:r>
        <w:r w:rsidR="00C4714A">
          <w:rPr>
            <w:webHidden/>
          </w:rPr>
          <w:fldChar w:fldCharType="separate"/>
        </w:r>
        <w:r w:rsidR="00C4714A">
          <w:rPr>
            <w:webHidden/>
          </w:rPr>
          <w:t>12</w:t>
        </w:r>
        <w:r w:rsidR="00C4714A">
          <w:rPr>
            <w:webHidden/>
          </w:rPr>
          <w:fldChar w:fldCharType="end"/>
        </w:r>
      </w:hyperlink>
    </w:p>
    <w:p w14:paraId="73BCA325" w14:textId="103CD19E"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596" w:history="1">
        <w:r w:rsidR="00C4714A" w:rsidRPr="007530C2">
          <w:rPr>
            <w:rStyle w:val="Hyperlink"/>
          </w:rPr>
          <w:t>1.4.3</w:t>
        </w:r>
        <w:r w:rsidR="00C4714A">
          <w:rPr>
            <w:rFonts w:asciiTheme="minorHAnsi" w:eastAsiaTheme="minorEastAsia" w:hAnsiTheme="minorHAnsi" w:cstheme="minorBidi"/>
            <w:snapToGrid/>
            <w:kern w:val="2"/>
            <w:sz w:val="21"/>
            <w:lang w:eastAsia="zh-CN"/>
          </w:rPr>
          <w:tab/>
        </w:r>
        <w:r w:rsidR="00C4714A" w:rsidRPr="007530C2">
          <w:rPr>
            <w:rStyle w:val="Hyperlink"/>
          </w:rPr>
          <w:t>Phase III clinical trial (PR-30-5011-C) NOVA10</w:t>
        </w:r>
        <w:r w:rsidR="00C4714A">
          <w:rPr>
            <w:webHidden/>
          </w:rPr>
          <w:tab/>
        </w:r>
        <w:r w:rsidR="00C4714A">
          <w:rPr>
            <w:webHidden/>
          </w:rPr>
          <w:fldChar w:fldCharType="begin"/>
        </w:r>
        <w:r w:rsidR="00C4714A">
          <w:rPr>
            <w:webHidden/>
          </w:rPr>
          <w:instrText xml:space="preserve"> PAGEREF _Toc98358596 \h </w:instrText>
        </w:r>
        <w:r w:rsidR="00C4714A">
          <w:rPr>
            <w:webHidden/>
          </w:rPr>
        </w:r>
        <w:r w:rsidR="00C4714A">
          <w:rPr>
            <w:webHidden/>
          </w:rPr>
          <w:fldChar w:fldCharType="separate"/>
        </w:r>
        <w:r w:rsidR="00C4714A">
          <w:rPr>
            <w:webHidden/>
          </w:rPr>
          <w:t>13</w:t>
        </w:r>
        <w:r w:rsidR="00C4714A">
          <w:rPr>
            <w:webHidden/>
          </w:rPr>
          <w:fldChar w:fldCharType="end"/>
        </w:r>
      </w:hyperlink>
    </w:p>
    <w:p w14:paraId="26CBA50D" w14:textId="6E70F61C" w:rsidR="00C4714A" w:rsidRDefault="00FF5B24">
      <w:pPr>
        <w:pStyle w:val="TOC2"/>
        <w:rPr>
          <w:rFonts w:asciiTheme="minorHAnsi" w:eastAsiaTheme="minorEastAsia" w:hAnsiTheme="minorHAnsi" w:cstheme="minorBidi"/>
          <w:snapToGrid/>
          <w:kern w:val="2"/>
          <w:sz w:val="21"/>
          <w:lang w:eastAsia="zh-CN"/>
        </w:rPr>
      </w:pPr>
      <w:hyperlink w:anchor="_Toc98358597" w:history="1">
        <w:r w:rsidR="00C4714A" w:rsidRPr="007530C2">
          <w:rPr>
            <w:rStyle w:val="Hyperlink"/>
          </w:rPr>
          <w:t>1.5</w:t>
        </w:r>
        <w:r w:rsidR="00C4714A">
          <w:rPr>
            <w:rFonts w:asciiTheme="minorHAnsi" w:eastAsiaTheme="minorEastAsia" w:hAnsiTheme="minorHAnsi" w:cstheme="minorBidi"/>
            <w:snapToGrid/>
            <w:kern w:val="2"/>
            <w:sz w:val="21"/>
            <w:lang w:eastAsia="zh-CN"/>
          </w:rPr>
          <w:tab/>
        </w:r>
        <w:r w:rsidR="00C4714A" w:rsidRPr="007530C2">
          <w:rPr>
            <w:rStyle w:val="Hyperlink"/>
          </w:rPr>
          <w:t>Background of application of anti‑angiogenic agents in ovarian cancer field</w:t>
        </w:r>
        <w:r w:rsidR="00C4714A">
          <w:rPr>
            <w:webHidden/>
          </w:rPr>
          <w:tab/>
        </w:r>
        <w:r w:rsidR="00C4714A">
          <w:rPr>
            <w:webHidden/>
          </w:rPr>
          <w:fldChar w:fldCharType="begin"/>
        </w:r>
        <w:r w:rsidR="00C4714A">
          <w:rPr>
            <w:webHidden/>
          </w:rPr>
          <w:instrText xml:space="preserve"> PAGEREF _Toc98358597 \h </w:instrText>
        </w:r>
        <w:r w:rsidR="00C4714A">
          <w:rPr>
            <w:webHidden/>
          </w:rPr>
        </w:r>
        <w:r w:rsidR="00C4714A">
          <w:rPr>
            <w:webHidden/>
          </w:rPr>
          <w:fldChar w:fldCharType="separate"/>
        </w:r>
        <w:r w:rsidR="00C4714A">
          <w:rPr>
            <w:webHidden/>
          </w:rPr>
          <w:t>16</w:t>
        </w:r>
        <w:r w:rsidR="00C4714A">
          <w:rPr>
            <w:webHidden/>
          </w:rPr>
          <w:fldChar w:fldCharType="end"/>
        </w:r>
      </w:hyperlink>
    </w:p>
    <w:p w14:paraId="6D8798B2" w14:textId="7CAFF856" w:rsidR="00C4714A" w:rsidRDefault="00FF5B24">
      <w:pPr>
        <w:pStyle w:val="TOC2"/>
        <w:rPr>
          <w:rFonts w:asciiTheme="minorHAnsi" w:eastAsiaTheme="minorEastAsia" w:hAnsiTheme="minorHAnsi" w:cstheme="minorBidi"/>
          <w:snapToGrid/>
          <w:kern w:val="2"/>
          <w:sz w:val="21"/>
          <w:lang w:eastAsia="zh-CN"/>
        </w:rPr>
      </w:pPr>
      <w:hyperlink w:anchor="_Toc98358598" w:history="1">
        <w:r w:rsidR="00C4714A" w:rsidRPr="007530C2">
          <w:rPr>
            <w:rStyle w:val="Hyperlink"/>
          </w:rPr>
          <w:t>1.6</w:t>
        </w:r>
        <w:r w:rsidR="00C4714A">
          <w:rPr>
            <w:rFonts w:asciiTheme="minorHAnsi" w:eastAsiaTheme="minorEastAsia" w:hAnsiTheme="minorHAnsi" w:cstheme="minorBidi"/>
            <w:snapToGrid/>
            <w:kern w:val="2"/>
            <w:sz w:val="21"/>
            <w:lang w:eastAsia="zh-CN"/>
          </w:rPr>
          <w:tab/>
        </w:r>
        <w:r w:rsidR="00C4714A" w:rsidRPr="007530C2">
          <w:rPr>
            <w:rStyle w:val="Hyperlink"/>
          </w:rPr>
          <w:t>Background of Anlotinib</w:t>
        </w:r>
        <w:r w:rsidR="00C4714A">
          <w:rPr>
            <w:webHidden/>
          </w:rPr>
          <w:tab/>
        </w:r>
        <w:r w:rsidR="00C4714A">
          <w:rPr>
            <w:webHidden/>
          </w:rPr>
          <w:fldChar w:fldCharType="begin"/>
        </w:r>
        <w:r w:rsidR="00C4714A">
          <w:rPr>
            <w:webHidden/>
          </w:rPr>
          <w:instrText xml:space="preserve"> PAGEREF _Toc98358598 \h </w:instrText>
        </w:r>
        <w:r w:rsidR="00C4714A">
          <w:rPr>
            <w:webHidden/>
          </w:rPr>
        </w:r>
        <w:r w:rsidR="00C4714A">
          <w:rPr>
            <w:webHidden/>
          </w:rPr>
          <w:fldChar w:fldCharType="separate"/>
        </w:r>
        <w:r w:rsidR="00C4714A">
          <w:rPr>
            <w:webHidden/>
          </w:rPr>
          <w:t>18</w:t>
        </w:r>
        <w:r w:rsidR="00C4714A">
          <w:rPr>
            <w:webHidden/>
          </w:rPr>
          <w:fldChar w:fldCharType="end"/>
        </w:r>
      </w:hyperlink>
    </w:p>
    <w:p w14:paraId="05F9CE9E" w14:textId="5B300576" w:rsidR="00C4714A" w:rsidRDefault="00FF5B24">
      <w:pPr>
        <w:pStyle w:val="TOC2"/>
        <w:rPr>
          <w:rFonts w:asciiTheme="minorHAnsi" w:eastAsiaTheme="minorEastAsia" w:hAnsiTheme="minorHAnsi" w:cstheme="minorBidi"/>
          <w:snapToGrid/>
          <w:kern w:val="2"/>
          <w:sz w:val="21"/>
          <w:lang w:eastAsia="zh-CN"/>
        </w:rPr>
      </w:pPr>
      <w:hyperlink w:anchor="_Toc98358599" w:history="1">
        <w:r w:rsidR="00C4714A" w:rsidRPr="007530C2">
          <w:rPr>
            <w:rStyle w:val="Hyperlink"/>
          </w:rPr>
          <w:t>1.7</w:t>
        </w:r>
        <w:r w:rsidR="00C4714A">
          <w:rPr>
            <w:rFonts w:asciiTheme="minorHAnsi" w:eastAsiaTheme="minorEastAsia" w:hAnsiTheme="minorHAnsi" w:cstheme="minorBidi"/>
            <w:snapToGrid/>
            <w:kern w:val="2"/>
            <w:sz w:val="21"/>
            <w:lang w:eastAsia="zh-CN"/>
          </w:rPr>
          <w:tab/>
        </w:r>
        <w:r w:rsidR="00C4714A" w:rsidRPr="007530C2">
          <w:rPr>
            <w:rStyle w:val="Hyperlink"/>
          </w:rPr>
          <w:t>Theoretical Rationale for the Study</w:t>
        </w:r>
        <w:r w:rsidR="00C4714A">
          <w:rPr>
            <w:webHidden/>
          </w:rPr>
          <w:tab/>
        </w:r>
        <w:r w:rsidR="00C4714A">
          <w:rPr>
            <w:webHidden/>
          </w:rPr>
          <w:fldChar w:fldCharType="begin"/>
        </w:r>
        <w:r w:rsidR="00C4714A">
          <w:rPr>
            <w:webHidden/>
          </w:rPr>
          <w:instrText xml:space="preserve"> PAGEREF _Toc98358599 \h </w:instrText>
        </w:r>
        <w:r w:rsidR="00C4714A">
          <w:rPr>
            <w:webHidden/>
          </w:rPr>
        </w:r>
        <w:r w:rsidR="00C4714A">
          <w:rPr>
            <w:webHidden/>
          </w:rPr>
          <w:fldChar w:fldCharType="separate"/>
        </w:r>
        <w:r w:rsidR="00C4714A">
          <w:rPr>
            <w:webHidden/>
          </w:rPr>
          <w:t>20</w:t>
        </w:r>
        <w:r w:rsidR="00C4714A">
          <w:rPr>
            <w:webHidden/>
          </w:rPr>
          <w:fldChar w:fldCharType="end"/>
        </w:r>
      </w:hyperlink>
    </w:p>
    <w:p w14:paraId="5B7830E1" w14:textId="1BDA9D05" w:rsidR="00C4714A" w:rsidRDefault="00FF5B24">
      <w:pPr>
        <w:pStyle w:val="TOC1"/>
        <w:rPr>
          <w:rFonts w:asciiTheme="minorHAnsi" w:eastAsiaTheme="minorEastAsia" w:hAnsiTheme="minorHAnsi" w:cstheme="minorBidi"/>
          <w:bCs w:val="0"/>
          <w:snapToGrid/>
          <w:kern w:val="2"/>
          <w:sz w:val="21"/>
          <w:lang w:eastAsia="zh-CN"/>
        </w:rPr>
      </w:pPr>
      <w:hyperlink w:anchor="_Toc98358600" w:history="1">
        <w:r w:rsidR="00C4714A" w:rsidRPr="007530C2">
          <w:rPr>
            <w:rStyle w:val="Hyperlink"/>
          </w:rPr>
          <w:t>2</w:t>
        </w:r>
        <w:r w:rsidR="00C4714A">
          <w:rPr>
            <w:rFonts w:asciiTheme="minorHAnsi" w:eastAsiaTheme="minorEastAsia" w:hAnsiTheme="minorHAnsi" w:cstheme="minorBidi"/>
            <w:bCs w:val="0"/>
            <w:snapToGrid/>
            <w:kern w:val="2"/>
            <w:sz w:val="21"/>
            <w:lang w:eastAsia="zh-CN"/>
          </w:rPr>
          <w:tab/>
        </w:r>
        <w:r w:rsidR="00C4714A" w:rsidRPr="007530C2">
          <w:rPr>
            <w:rStyle w:val="Hyperlink"/>
          </w:rPr>
          <w:t>Study Design and Study Plan</w:t>
        </w:r>
        <w:r w:rsidR="00C4714A">
          <w:rPr>
            <w:webHidden/>
          </w:rPr>
          <w:tab/>
        </w:r>
        <w:r w:rsidR="00C4714A">
          <w:rPr>
            <w:webHidden/>
          </w:rPr>
          <w:fldChar w:fldCharType="begin"/>
        </w:r>
        <w:r w:rsidR="00C4714A">
          <w:rPr>
            <w:webHidden/>
          </w:rPr>
          <w:instrText xml:space="preserve"> PAGEREF _Toc98358600 \h </w:instrText>
        </w:r>
        <w:r w:rsidR="00C4714A">
          <w:rPr>
            <w:webHidden/>
          </w:rPr>
        </w:r>
        <w:r w:rsidR="00C4714A">
          <w:rPr>
            <w:webHidden/>
          </w:rPr>
          <w:fldChar w:fldCharType="separate"/>
        </w:r>
        <w:r w:rsidR="00C4714A">
          <w:rPr>
            <w:webHidden/>
          </w:rPr>
          <w:t>20</w:t>
        </w:r>
        <w:r w:rsidR="00C4714A">
          <w:rPr>
            <w:webHidden/>
          </w:rPr>
          <w:fldChar w:fldCharType="end"/>
        </w:r>
      </w:hyperlink>
    </w:p>
    <w:p w14:paraId="2CF80B65" w14:textId="5B787C05" w:rsidR="00C4714A" w:rsidRDefault="00FF5B24">
      <w:pPr>
        <w:pStyle w:val="TOC2"/>
        <w:rPr>
          <w:rFonts w:asciiTheme="minorHAnsi" w:eastAsiaTheme="minorEastAsia" w:hAnsiTheme="minorHAnsi" w:cstheme="minorBidi"/>
          <w:snapToGrid/>
          <w:kern w:val="2"/>
          <w:sz w:val="21"/>
          <w:lang w:eastAsia="zh-CN"/>
        </w:rPr>
      </w:pPr>
      <w:hyperlink w:anchor="_Toc98358601" w:history="1">
        <w:r w:rsidR="00C4714A" w:rsidRPr="007530C2">
          <w:rPr>
            <w:rStyle w:val="Hyperlink"/>
          </w:rPr>
          <w:t>2.1</w:t>
        </w:r>
        <w:r w:rsidR="00C4714A">
          <w:rPr>
            <w:rFonts w:asciiTheme="minorHAnsi" w:eastAsiaTheme="minorEastAsia" w:hAnsiTheme="minorHAnsi" w:cstheme="minorBidi"/>
            <w:snapToGrid/>
            <w:kern w:val="2"/>
            <w:sz w:val="21"/>
            <w:lang w:eastAsia="zh-CN"/>
          </w:rPr>
          <w:tab/>
        </w:r>
        <w:r w:rsidR="00C4714A" w:rsidRPr="007530C2">
          <w:rPr>
            <w:rStyle w:val="Hyperlink"/>
          </w:rPr>
          <w:t>Overview</w:t>
        </w:r>
        <w:r w:rsidR="00C4714A">
          <w:rPr>
            <w:webHidden/>
          </w:rPr>
          <w:tab/>
        </w:r>
        <w:r w:rsidR="00C4714A">
          <w:rPr>
            <w:webHidden/>
          </w:rPr>
          <w:fldChar w:fldCharType="begin"/>
        </w:r>
        <w:r w:rsidR="00C4714A">
          <w:rPr>
            <w:webHidden/>
          </w:rPr>
          <w:instrText xml:space="preserve"> PAGEREF _Toc98358601 \h </w:instrText>
        </w:r>
        <w:r w:rsidR="00C4714A">
          <w:rPr>
            <w:webHidden/>
          </w:rPr>
        </w:r>
        <w:r w:rsidR="00C4714A">
          <w:rPr>
            <w:webHidden/>
          </w:rPr>
          <w:fldChar w:fldCharType="separate"/>
        </w:r>
        <w:r w:rsidR="00C4714A">
          <w:rPr>
            <w:webHidden/>
          </w:rPr>
          <w:t>20</w:t>
        </w:r>
        <w:r w:rsidR="00C4714A">
          <w:rPr>
            <w:webHidden/>
          </w:rPr>
          <w:fldChar w:fldCharType="end"/>
        </w:r>
      </w:hyperlink>
    </w:p>
    <w:p w14:paraId="42D9EB7F" w14:textId="5F3F3A86" w:rsidR="00C4714A" w:rsidRDefault="00FF5B24">
      <w:pPr>
        <w:pStyle w:val="TOC2"/>
        <w:rPr>
          <w:rFonts w:asciiTheme="minorHAnsi" w:eastAsiaTheme="minorEastAsia" w:hAnsiTheme="minorHAnsi" w:cstheme="minorBidi"/>
          <w:snapToGrid/>
          <w:kern w:val="2"/>
          <w:sz w:val="21"/>
          <w:lang w:eastAsia="zh-CN"/>
        </w:rPr>
      </w:pPr>
      <w:hyperlink w:anchor="_Toc98358602" w:history="1">
        <w:r w:rsidR="00C4714A" w:rsidRPr="007530C2">
          <w:rPr>
            <w:rStyle w:val="Hyperlink"/>
          </w:rPr>
          <w:t>2.2</w:t>
        </w:r>
        <w:r w:rsidR="00C4714A">
          <w:rPr>
            <w:rFonts w:asciiTheme="minorHAnsi" w:eastAsiaTheme="minorEastAsia" w:hAnsiTheme="minorHAnsi" w:cstheme="minorBidi"/>
            <w:snapToGrid/>
            <w:kern w:val="2"/>
            <w:sz w:val="21"/>
            <w:lang w:eastAsia="zh-CN"/>
          </w:rPr>
          <w:tab/>
        </w:r>
        <w:r w:rsidR="00C4714A" w:rsidRPr="007530C2">
          <w:rPr>
            <w:rStyle w:val="Hyperlink"/>
          </w:rPr>
          <w:t>Primary Objective</w:t>
        </w:r>
        <w:r w:rsidR="00C4714A">
          <w:rPr>
            <w:webHidden/>
          </w:rPr>
          <w:tab/>
        </w:r>
        <w:r w:rsidR="00C4714A">
          <w:rPr>
            <w:webHidden/>
          </w:rPr>
          <w:fldChar w:fldCharType="begin"/>
        </w:r>
        <w:r w:rsidR="00C4714A">
          <w:rPr>
            <w:webHidden/>
          </w:rPr>
          <w:instrText xml:space="preserve"> PAGEREF _Toc98358602 \h </w:instrText>
        </w:r>
        <w:r w:rsidR="00C4714A">
          <w:rPr>
            <w:webHidden/>
          </w:rPr>
        </w:r>
        <w:r w:rsidR="00C4714A">
          <w:rPr>
            <w:webHidden/>
          </w:rPr>
          <w:fldChar w:fldCharType="separate"/>
        </w:r>
        <w:r w:rsidR="00C4714A">
          <w:rPr>
            <w:webHidden/>
          </w:rPr>
          <w:t>21</w:t>
        </w:r>
        <w:r w:rsidR="00C4714A">
          <w:rPr>
            <w:webHidden/>
          </w:rPr>
          <w:fldChar w:fldCharType="end"/>
        </w:r>
      </w:hyperlink>
    </w:p>
    <w:p w14:paraId="3D2C3DC1" w14:textId="30675433" w:rsidR="00C4714A" w:rsidRDefault="00FF5B24">
      <w:pPr>
        <w:pStyle w:val="TOC2"/>
        <w:rPr>
          <w:rFonts w:asciiTheme="minorHAnsi" w:eastAsiaTheme="minorEastAsia" w:hAnsiTheme="minorHAnsi" w:cstheme="minorBidi"/>
          <w:snapToGrid/>
          <w:kern w:val="2"/>
          <w:sz w:val="21"/>
          <w:lang w:eastAsia="zh-CN"/>
        </w:rPr>
      </w:pPr>
      <w:hyperlink w:anchor="_Toc98358603" w:history="1">
        <w:r w:rsidR="00C4714A" w:rsidRPr="007530C2">
          <w:rPr>
            <w:rStyle w:val="Hyperlink"/>
          </w:rPr>
          <w:t>2.3</w:t>
        </w:r>
        <w:r w:rsidR="00C4714A">
          <w:rPr>
            <w:rFonts w:asciiTheme="minorHAnsi" w:eastAsiaTheme="minorEastAsia" w:hAnsiTheme="minorHAnsi" w:cstheme="minorBidi"/>
            <w:snapToGrid/>
            <w:kern w:val="2"/>
            <w:sz w:val="21"/>
            <w:lang w:eastAsia="zh-CN"/>
          </w:rPr>
          <w:tab/>
        </w:r>
        <w:r w:rsidR="00C4714A" w:rsidRPr="007530C2">
          <w:rPr>
            <w:rStyle w:val="Hyperlink"/>
          </w:rPr>
          <w:t>Secondary Objectives</w:t>
        </w:r>
        <w:r w:rsidR="00C4714A">
          <w:rPr>
            <w:webHidden/>
          </w:rPr>
          <w:tab/>
        </w:r>
        <w:r w:rsidR="00C4714A">
          <w:rPr>
            <w:webHidden/>
          </w:rPr>
          <w:fldChar w:fldCharType="begin"/>
        </w:r>
        <w:r w:rsidR="00C4714A">
          <w:rPr>
            <w:webHidden/>
          </w:rPr>
          <w:instrText xml:space="preserve"> PAGEREF _Toc98358603 \h </w:instrText>
        </w:r>
        <w:r w:rsidR="00C4714A">
          <w:rPr>
            <w:webHidden/>
          </w:rPr>
        </w:r>
        <w:r w:rsidR="00C4714A">
          <w:rPr>
            <w:webHidden/>
          </w:rPr>
          <w:fldChar w:fldCharType="separate"/>
        </w:r>
        <w:r w:rsidR="00C4714A">
          <w:rPr>
            <w:webHidden/>
          </w:rPr>
          <w:t>21</w:t>
        </w:r>
        <w:r w:rsidR="00C4714A">
          <w:rPr>
            <w:webHidden/>
          </w:rPr>
          <w:fldChar w:fldCharType="end"/>
        </w:r>
      </w:hyperlink>
    </w:p>
    <w:p w14:paraId="6549EE0D" w14:textId="0A721BEF" w:rsidR="00C4714A" w:rsidRDefault="00FF5B24">
      <w:pPr>
        <w:pStyle w:val="TOC2"/>
        <w:rPr>
          <w:rFonts w:asciiTheme="minorHAnsi" w:eastAsiaTheme="minorEastAsia" w:hAnsiTheme="minorHAnsi" w:cstheme="minorBidi"/>
          <w:snapToGrid/>
          <w:kern w:val="2"/>
          <w:sz w:val="21"/>
          <w:lang w:eastAsia="zh-CN"/>
        </w:rPr>
      </w:pPr>
      <w:hyperlink w:anchor="_Toc98358604" w:history="1">
        <w:r w:rsidR="00C4714A" w:rsidRPr="007530C2">
          <w:rPr>
            <w:rStyle w:val="Hyperlink"/>
          </w:rPr>
          <w:t>2.4</w:t>
        </w:r>
        <w:r w:rsidR="00C4714A">
          <w:rPr>
            <w:rFonts w:asciiTheme="minorHAnsi" w:eastAsiaTheme="minorEastAsia" w:hAnsiTheme="minorHAnsi" w:cstheme="minorBidi"/>
            <w:snapToGrid/>
            <w:kern w:val="2"/>
            <w:sz w:val="21"/>
            <w:lang w:eastAsia="zh-CN"/>
          </w:rPr>
          <w:tab/>
        </w:r>
        <w:r w:rsidR="00C4714A" w:rsidRPr="007530C2">
          <w:rPr>
            <w:rStyle w:val="Hyperlink"/>
          </w:rPr>
          <w:t>Inclusion Criteria</w:t>
        </w:r>
        <w:r w:rsidR="00C4714A">
          <w:rPr>
            <w:webHidden/>
          </w:rPr>
          <w:tab/>
        </w:r>
        <w:r w:rsidR="00C4714A">
          <w:rPr>
            <w:webHidden/>
          </w:rPr>
          <w:fldChar w:fldCharType="begin"/>
        </w:r>
        <w:r w:rsidR="00C4714A">
          <w:rPr>
            <w:webHidden/>
          </w:rPr>
          <w:instrText xml:space="preserve"> PAGEREF _Toc98358604 \h </w:instrText>
        </w:r>
        <w:r w:rsidR="00C4714A">
          <w:rPr>
            <w:webHidden/>
          </w:rPr>
        </w:r>
        <w:r w:rsidR="00C4714A">
          <w:rPr>
            <w:webHidden/>
          </w:rPr>
          <w:fldChar w:fldCharType="separate"/>
        </w:r>
        <w:r w:rsidR="00C4714A">
          <w:rPr>
            <w:webHidden/>
          </w:rPr>
          <w:t>21</w:t>
        </w:r>
        <w:r w:rsidR="00C4714A">
          <w:rPr>
            <w:webHidden/>
          </w:rPr>
          <w:fldChar w:fldCharType="end"/>
        </w:r>
      </w:hyperlink>
    </w:p>
    <w:p w14:paraId="603E59DD" w14:textId="31B81339" w:rsidR="00C4714A" w:rsidRDefault="00FF5B24">
      <w:pPr>
        <w:pStyle w:val="TOC2"/>
        <w:rPr>
          <w:rFonts w:asciiTheme="minorHAnsi" w:eastAsiaTheme="minorEastAsia" w:hAnsiTheme="minorHAnsi" w:cstheme="minorBidi"/>
          <w:snapToGrid/>
          <w:kern w:val="2"/>
          <w:sz w:val="21"/>
          <w:lang w:eastAsia="zh-CN"/>
        </w:rPr>
      </w:pPr>
      <w:hyperlink w:anchor="_Toc98358605" w:history="1">
        <w:r w:rsidR="00C4714A" w:rsidRPr="007530C2">
          <w:rPr>
            <w:rStyle w:val="Hyperlink"/>
          </w:rPr>
          <w:t>2.5</w:t>
        </w:r>
        <w:r w:rsidR="00C4714A">
          <w:rPr>
            <w:rFonts w:asciiTheme="minorHAnsi" w:eastAsiaTheme="minorEastAsia" w:hAnsiTheme="minorHAnsi" w:cstheme="minorBidi"/>
            <w:snapToGrid/>
            <w:kern w:val="2"/>
            <w:sz w:val="21"/>
            <w:lang w:eastAsia="zh-CN"/>
          </w:rPr>
          <w:tab/>
        </w:r>
        <w:r w:rsidR="00C4714A" w:rsidRPr="007530C2">
          <w:rPr>
            <w:rStyle w:val="Hyperlink"/>
          </w:rPr>
          <w:t>Exclusion Criteria</w:t>
        </w:r>
        <w:r w:rsidR="00C4714A">
          <w:rPr>
            <w:webHidden/>
          </w:rPr>
          <w:tab/>
        </w:r>
        <w:r w:rsidR="00C4714A">
          <w:rPr>
            <w:webHidden/>
          </w:rPr>
          <w:fldChar w:fldCharType="begin"/>
        </w:r>
        <w:r w:rsidR="00C4714A">
          <w:rPr>
            <w:webHidden/>
          </w:rPr>
          <w:instrText xml:space="preserve"> PAGEREF _Toc98358605 \h </w:instrText>
        </w:r>
        <w:r w:rsidR="00C4714A">
          <w:rPr>
            <w:webHidden/>
          </w:rPr>
        </w:r>
        <w:r w:rsidR="00C4714A">
          <w:rPr>
            <w:webHidden/>
          </w:rPr>
          <w:fldChar w:fldCharType="separate"/>
        </w:r>
        <w:r w:rsidR="00C4714A">
          <w:rPr>
            <w:webHidden/>
          </w:rPr>
          <w:t>22</w:t>
        </w:r>
        <w:r w:rsidR="00C4714A">
          <w:rPr>
            <w:webHidden/>
          </w:rPr>
          <w:fldChar w:fldCharType="end"/>
        </w:r>
      </w:hyperlink>
    </w:p>
    <w:p w14:paraId="530A57C3" w14:textId="7C53F5B8" w:rsidR="00C4714A" w:rsidRDefault="00FF5B24">
      <w:pPr>
        <w:pStyle w:val="TOC2"/>
        <w:rPr>
          <w:rFonts w:asciiTheme="minorHAnsi" w:eastAsiaTheme="minorEastAsia" w:hAnsiTheme="minorHAnsi" w:cstheme="minorBidi"/>
          <w:snapToGrid/>
          <w:kern w:val="2"/>
          <w:sz w:val="21"/>
          <w:lang w:eastAsia="zh-CN"/>
        </w:rPr>
      </w:pPr>
      <w:hyperlink w:anchor="_Toc98358606" w:history="1">
        <w:r w:rsidR="00C4714A" w:rsidRPr="007530C2">
          <w:rPr>
            <w:rStyle w:val="Hyperlink"/>
          </w:rPr>
          <w:t>2.6</w:t>
        </w:r>
        <w:r w:rsidR="00C4714A">
          <w:rPr>
            <w:rFonts w:asciiTheme="minorHAnsi" w:eastAsiaTheme="minorEastAsia" w:hAnsiTheme="minorHAnsi" w:cstheme="minorBidi"/>
            <w:snapToGrid/>
            <w:kern w:val="2"/>
            <w:sz w:val="21"/>
            <w:lang w:eastAsia="zh-CN"/>
          </w:rPr>
          <w:tab/>
        </w:r>
        <w:r w:rsidR="00C4714A" w:rsidRPr="007530C2">
          <w:rPr>
            <w:rStyle w:val="Hyperlink"/>
          </w:rPr>
          <w:t>Patient Withdrawal and Replacement</w:t>
        </w:r>
        <w:r w:rsidR="00C4714A">
          <w:rPr>
            <w:webHidden/>
          </w:rPr>
          <w:tab/>
        </w:r>
        <w:r w:rsidR="00C4714A">
          <w:rPr>
            <w:webHidden/>
          </w:rPr>
          <w:fldChar w:fldCharType="begin"/>
        </w:r>
        <w:r w:rsidR="00C4714A">
          <w:rPr>
            <w:webHidden/>
          </w:rPr>
          <w:instrText xml:space="preserve"> PAGEREF _Toc98358606 \h </w:instrText>
        </w:r>
        <w:r w:rsidR="00C4714A">
          <w:rPr>
            <w:webHidden/>
          </w:rPr>
        </w:r>
        <w:r w:rsidR="00C4714A">
          <w:rPr>
            <w:webHidden/>
          </w:rPr>
          <w:fldChar w:fldCharType="separate"/>
        </w:r>
        <w:r w:rsidR="00C4714A">
          <w:rPr>
            <w:webHidden/>
          </w:rPr>
          <w:t>25</w:t>
        </w:r>
        <w:r w:rsidR="00C4714A">
          <w:rPr>
            <w:webHidden/>
          </w:rPr>
          <w:fldChar w:fldCharType="end"/>
        </w:r>
      </w:hyperlink>
    </w:p>
    <w:p w14:paraId="4ED5C3EF" w14:textId="4EC601DF"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07" w:history="1">
        <w:r w:rsidR="00C4714A" w:rsidRPr="007530C2">
          <w:rPr>
            <w:rStyle w:val="Hyperlink"/>
          </w:rPr>
          <w:t>2.6.1</w:t>
        </w:r>
        <w:r w:rsidR="00C4714A">
          <w:rPr>
            <w:rFonts w:asciiTheme="minorHAnsi" w:eastAsiaTheme="minorEastAsia" w:hAnsiTheme="minorHAnsi" w:cstheme="minorBidi"/>
            <w:snapToGrid/>
            <w:kern w:val="2"/>
            <w:sz w:val="21"/>
            <w:lang w:eastAsia="zh-CN"/>
          </w:rPr>
          <w:tab/>
        </w:r>
        <w:r w:rsidR="00C4714A" w:rsidRPr="007530C2">
          <w:rPr>
            <w:rStyle w:val="Hyperlink"/>
          </w:rPr>
          <w:t>End of treatment</w:t>
        </w:r>
        <w:r w:rsidR="00C4714A">
          <w:rPr>
            <w:webHidden/>
          </w:rPr>
          <w:tab/>
        </w:r>
        <w:r w:rsidR="00C4714A">
          <w:rPr>
            <w:webHidden/>
          </w:rPr>
          <w:fldChar w:fldCharType="begin"/>
        </w:r>
        <w:r w:rsidR="00C4714A">
          <w:rPr>
            <w:webHidden/>
          </w:rPr>
          <w:instrText xml:space="preserve"> PAGEREF _Toc98358607 \h </w:instrText>
        </w:r>
        <w:r w:rsidR="00C4714A">
          <w:rPr>
            <w:webHidden/>
          </w:rPr>
        </w:r>
        <w:r w:rsidR="00C4714A">
          <w:rPr>
            <w:webHidden/>
          </w:rPr>
          <w:fldChar w:fldCharType="separate"/>
        </w:r>
        <w:r w:rsidR="00C4714A">
          <w:rPr>
            <w:webHidden/>
          </w:rPr>
          <w:t>25</w:t>
        </w:r>
        <w:r w:rsidR="00C4714A">
          <w:rPr>
            <w:webHidden/>
          </w:rPr>
          <w:fldChar w:fldCharType="end"/>
        </w:r>
      </w:hyperlink>
    </w:p>
    <w:p w14:paraId="79CA7778" w14:textId="6769EB19"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08" w:history="1">
        <w:r w:rsidR="00C4714A" w:rsidRPr="007530C2">
          <w:rPr>
            <w:rStyle w:val="Hyperlink"/>
          </w:rPr>
          <w:t>2.6.2</w:t>
        </w:r>
        <w:r w:rsidR="00C4714A">
          <w:rPr>
            <w:rFonts w:asciiTheme="minorHAnsi" w:eastAsiaTheme="minorEastAsia" w:hAnsiTheme="minorHAnsi" w:cstheme="minorBidi"/>
            <w:snapToGrid/>
            <w:kern w:val="2"/>
            <w:sz w:val="21"/>
            <w:lang w:eastAsia="zh-CN"/>
          </w:rPr>
          <w:tab/>
        </w:r>
        <w:r w:rsidR="00C4714A" w:rsidRPr="007530C2">
          <w:rPr>
            <w:rStyle w:val="Hyperlink"/>
          </w:rPr>
          <w:t>Withdraw from the study</w:t>
        </w:r>
        <w:r w:rsidR="00C4714A">
          <w:rPr>
            <w:webHidden/>
          </w:rPr>
          <w:tab/>
        </w:r>
        <w:r w:rsidR="00C4714A">
          <w:rPr>
            <w:webHidden/>
          </w:rPr>
          <w:fldChar w:fldCharType="begin"/>
        </w:r>
        <w:r w:rsidR="00C4714A">
          <w:rPr>
            <w:webHidden/>
          </w:rPr>
          <w:instrText xml:space="preserve"> PAGEREF _Toc98358608 \h </w:instrText>
        </w:r>
        <w:r w:rsidR="00C4714A">
          <w:rPr>
            <w:webHidden/>
          </w:rPr>
        </w:r>
        <w:r w:rsidR="00C4714A">
          <w:rPr>
            <w:webHidden/>
          </w:rPr>
          <w:fldChar w:fldCharType="separate"/>
        </w:r>
        <w:r w:rsidR="00C4714A">
          <w:rPr>
            <w:webHidden/>
          </w:rPr>
          <w:t>25</w:t>
        </w:r>
        <w:r w:rsidR="00C4714A">
          <w:rPr>
            <w:webHidden/>
          </w:rPr>
          <w:fldChar w:fldCharType="end"/>
        </w:r>
      </w:hyperlink>
    </w:p>
    <w:p w14:paraId="67563A04" w14:textId="5C0B79C2" w:rsidR="00C4714A" w:rsidRDefault="00FF5B24">
      <w:pPr>
        <w:pStyle w:val="TOC1"/>
        <w:rPr>
          <w:rFonts w:asciiTheme="minorHAnsi" w:eastAsiaTheme="minorEastAsia" w:hAnsiTheme="minorHAnsi" w:cstheme="minorBidi"/>
          <w:bCs w:val="0"/>
          <w:snapToGrid/>
          <w:kern w:val="2"/>
          <w:sz w:val="21"/>
          <w:lang w:eastAsia="zh-CN"/>
        </w:rPr>
      </w:pPr>
      <w:hyperlink w:anchor="_Toc98358609" w:history="1">
        <w:r w:rsidR="00C4714A" w:rsidRPr="007530C2">
          <w:rPr>
            <w:rStyle w:val="Hyperlink"/>
          </w:rPr>
          <w:t>3</w:t>
        </w:r>
        <w:r w:rsidR="00C4714A">
          <w:rPr>
            <w:rFonts w:asciiTheme="minorHAnsi" w:eastAsiaTheme="minorEastAsia" w:hAnsiTheme="minorHAnsi" w:cstheme="minorBidi"/>
            <w:bCs w:val="0"/>
            <w:snapToGrid/>
            <w:kern w:val="2"/>
            <w:sz w:val="21"/>
            <w:lang w:eastAsia="zh-CN"/>
          </w:rPr>
          <w:tab/>
        </w:r>
        <w:r w:rsidR="00C4714A" w:rsidRPr="007530C2">
          <w:rPr>
            <w:rStyle w:val="Hyperlink"/>
          </w:rPr>
          <w:t>Study Management</w:t>
        </w:r>
        <w:r w:rsidR="00C4714A">
          <w:rPr>
            <w:webHidden/>
          </w:rPr>
          <w:tab/>
        </w:r>
        <w:r w:rsidR="00C4714A">
          <w:rPr>
            <w:webHidden/>
          </w:rPr>
          <w:fldChar w:fldCharType="begin"/>
        </w:r>
        <w:r w:rsidR="00C4714A">
          <w:rPr>
            <w:webHidden/>
          </w:rPr>
          <w:instrText xml:space="preserve"> PAGEREF _Toc98358609 \h </w:instrText>
        </w:r>
        <w:r w:rsidR="00C4714A">
          <w:rPr>
            <w:webHidden/>
          </w:rPr>
        </w:r>
        <w:r w:rsidR="00C4714A">
          <w:rPr>
            <w:webHidden/>
          </w:rPr>
          <w:fldChar w:fldCharType="separate"/>
        </w:r>
        <w:r w:rsidR="00C4714A">
          <w:rPr>
            <w:webHidden/>
          </w:rPr>
          <w:t>26</w:t>
        </w:r>
        <w:r w:rsidR="00C4714A">
          <w:rPr>
            <w:webHidden/>
          </w:rPr>
          <w:fldChar w:fldCharType="end"/>
        </w:r>
      </w:hyperlink>
    </w:p>
    <w:p w14:paraId="71FC9C5E" w14:textId="0227A99B" w:rsidR="00C4714A" w:rsidRDefault="00FF5B24">
      <w:pPr>
        <w:pStyle w:val="TOC2"/>
        <w:rPr>
          <w:rFonts w:asciiTheme="minorHAnsi" w:eastAsiaTheme="minorEastAsia" w:hAnsiTheme="minorHAnsi" w:cstheme="minorBidi"/>
          <w:snapToGrid/>
          <w:kern w:val="2"/>
          <w:sz w:val="21"/>
          <w:lang w:eastAsia="zh-CN"/>
        </w:rPr>
      </w:pPr>
      <w:hyperlink w:anchor="_Toc98358610" w:history="1">
        <w:r w:rsidR="00C4714A" w:rsidRPr="007530C2">
          <w:rPr>
            <w:rStyle w:val="Hyperlink"/>
          </w:rPr>
          <w:t>3.1</w:t>
        </w:r>
        <w:r w:rsidR="00C4714A">
          <w:rPr>
            <w:rFonts w:asciiTheme="minorHAnsi" w:eastAsiaTheme="minorEastAsia" w:hAnsiTheme="minorHAnsi" w:cstheme="minorBidi"/>
            <w:snapToGrid/>
            <w:kern w:val="2"/>
            <w:sz w:val="21"/>
            <w:lang w:eastAsia="zh-CN"/>
          </w:rPr>
          <w:tab/>
        </w:r>
        <w:r w:rsidR="00C4714A" w:rsidRPr="007530C2">
          <w:rPr>
            <w:rStyle w:val="Hyperlink"/>
          </w:rPr>
          <w:t>Study Restrictions</w:t>
        </w:r>
        <w:r w:rsidR="00C4714A">
          <w:rPr>
            <w:webHidden/>
          </w:rPr>
          <w:tab/>
        </w:r>
        <w:r w:rsidR="00C4714A">
          <w:rPr>
            <w:webHidden/>
          </w:rPr>
          <w:fldChar w:fldCharType="begin"/>
        </w:r>
        <w:r w:rsidR="00C4714A">
          <w:rPr>
            <w:webHidden/>
          </w:rPr>
          <w:instrText xml:space="preserve"> PAGEREF _Toc98358610 \h </w:instrText>
        </w:r>
        <w:r w:rsidR="00C4714A">
          <w:rPr>
            <w:webHidden/>
          </w:rPr>
        </w:r>
        <w:r w:rsidR="00C4714A">
          <w:rPr>
            <w:webHidden/>
          </w:rPr>
          <w:fldChar w:fldCharType="separate"/>
        </w:r>
        <w:r w:rsidR="00C4714A">
          <w:rPr>
            <w:webHidden/>
          </w:rPr>
          <w:t>26</w:t>
        </w:r>
        <w:r w:rsidR="00C4714A">
          <w:rPr>
            <w:webHidden/>
          </w:rPr>
          <w:fldChar w:fldCharType="end"/>
        </w:r>
      </w:hyperlink>
    </w:p>
    <w:p w14:paraId="0307B817" w14:textId="24DFB3C5"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1" w:history="1">
        <w:r w:rsidR="00C4714A" w:rsidRPr="007530C2">
          <w:rPr>
            <w:rStyle w:val="Hyperlink"/>
          </w:rPr>
          <w:t>3.1.1</w:t>
        </w:r>
        <w:r w:rsidR="00C4714A">
          <w:rPr>
            <w:rFonts w:asciiTheme="minorHAnsi" w:eastAsiaTheme="minorEastAsia" w:hAnsiTheme="minorHAnsi" w:cstheme="minorBidi"/>
            <w:snapToGrid/>
            <w:kern w:val="2"/>
            <w:sz w:val="21"/>
            <w:lang w:eastAsia="zh-CN"/>
          </w:rPr>
          <w:tab/>
        </w:r>
        <w:r w:rsidR="00C4714A" w:rsidRPr="007530C2">
          <w:rPr>
            <w:rStyle w:val="Hyperlink"/>
          </w:rPr>
          <w:t>Granulocyte colony-stimulating factor (GCSF)</w:t>
        </w:r>
        <w:r w:rsidR="00C4714A">
          <w:rPr>
            <w:webHidden/>
          </w:rPr>
          <w:tab/>
        </w:r>
        <w:r w:rsidR="00C4714A">
          <w:rPr>
            <w:webHidden/>
          </w:rPr>
          <w:fldChar w:fldCharType="begin"/>
        </w:r>
        <w:r w:rsidR="00C4714A">
          <w:rPr>
            <w:webHidden/>
          </w:rPr>
          <w:instrText xml:space="preserve"> PAGEREF _Toc98358611 \h </w:instrText>
        </w:r>
        <w:r w:rsidR="00C4714A">
          <w:rPr>
            <w:webHidden/>
          </w:rPr>
        </w:r>
        <w:r w:rsidR="00C4714A">
          <w:rPr>
            <w:webHidden/>
          </w:rPr>
          <w:fldChar w:fldCharType="separate"/>
        </w:r>
        <w:r w:rsidR="00C4714A">
          <w:rPr>
            <w:webHidden/>
          </w:rPr>
          <w:t>26</w:t>
        </w:r>
        <w:r w:rsidR="00C4714A">
          <w:rPr>
            <w:webHidden/>
          </w:rPr>
          <w:fldChar w:fldCharType="end"/>
        </w:r>
      </w:hyperlink>
    </w:p>
    <w:p w14:paraId="5A2DFA3C" w14:textId="4C795B69"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2" w:history="1">
        <w:r w:rsidR="00C4714A" w:rsidRPr="007530C2">
          <w:rPr>
            <w:rStyle w:val="Hyperlink"/>
          </w:rPr>
          <w:t>3.1.2</w:t>
        </w:r>
        <w:r w:rsidR="00C4714A">
          <w:rPr>
            <w:rFonts w:asciiTheme="minorHAnsi" w:eastAsiaTheme="minorEastAsia" w:hAnsiTheme="minorHAnsi" w:cstheme="minorBidi"/>
            <w:snapToGrid/>
            <w:kern w:val="2"/>
            <w:sz w:val="21"/>
            <w:lang w:eastAsia="zh-CN"/>
          </w:rPr>
          <w:tab/>
        </w:r>
        <w:r w:rsidR="00C4714A" w:rsidRPr="007530C2">
          <w:rPr>
            <w:rStyle w:val="Hyperlink"/>
          </w:rPr>
          <w:t>P-glycoprotein substrates</w:t>
        </w:r>
        <w:r w:rsidR="00C4714A">
          <w:rPr>
            <w:webHidden/>
          </w:rPr>
          <w:tab/>
        </w:r>
        <w:r w:rsidR="00C4714A">
          <w:rPr>
            <w:webHidden/>
          </w:rPr>
          <w:fldChar w:fldCharType="begin"/>
        </w:r>
        <w:r w:rsidR="00C4714A">
          <w:rPr>
            <w:webHidden/>
          </w:rPr>
          <w:instrText xml:space="preserve"> PAGEREF _Toc98358612 \h </w:instrText>
        </w:r>
        <w:r w:rsidR="00C4714A">
          <w:rPr>
            <w:webHidden/>
          </w:rPr>
        </w:r>
        <w:r w:rsidR="00C4714A">
          <w:rPr>
            <w:webHidden/>
          </w:rPr>
          <w:fldChar w:fldCharType="separate"/>
        </w:r>
        <w:r w:rsidR="00C4714A">
          <w:rPr>
            <w:webHidden/>
          </w:rPr>
          <w:t>26</w:t>
        </w:r>
        <w:r w:rsidR="00C4714A">
          <w:rPr>
            <w:webHidden/>
          </w:rPr>
          <w:fldChar w:fldCharType="end"/>
        </w:r>
      </w:hyperlink>
    </w:p>
    <w:p w14:paraId="30E5AC43" w14:textId="728147C4"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3" w:history="1">
        <w:r w:rsidR="00C4714A" w:rsidRPr="007530C2">
          <w:rPr>
            <w:rStyle w:val="Hyperlink"/>
          </w:rPr>
          <w:t>3.1.3</w:t>
        </w:r>
        <w:r w:rsidR="00C4714A">
          <w:rPr>
            <w:rFonts w:asciiTheme="minorHAnsi" w:eastAsiaTheme="minorEastAsia" w:hAnsiTheme="minorHAnsi" w:cstheme="minorBidi"/>
            <w:snapToGrid/>
            <w:kern w:val="2"/>
            <w:sz w:val="21"/>
            <w:lang w:eastAsia="zh-CN"/>
          </w:rPr>
          <w:tab/>
        </w:r>
        <w:r w:rsidR="00C4714A" w:rsidRPr="007530C2">
          <w:rPr>
            <w:rStyle w:val="Hyperlink"/>
          </w:rPr>
          <w:t>Other anti-cancer therapy</w:t>
        </w:r>
        <w:r w:rsidR="00C4714A">
          <w:rPr>
            <w:webHidden/>
          </w:rPr>
          <w:tab/>
        </w:r>
        <w:r w:rsidR="00C4714A">
          <w:rPr>
            <w:webHidden/>
          </w:rPr>
          <w:fldChar w:fldCharType="begin"/>
        </w:r>
        <w:r w:rsidR="00C4714A">
          <w:rPr>
            <w:webHidden/>
          </w:rPr>
          <w:instrText xml:space="preserve"> PAGEREF _Toc98358613 \h </w:instrText>
        </w:r>
        <w:r w:rsidR="00C4714A">
          <w:rPr>
            <w:webHidden/>
          </w:rPr>
        </w:r>
        <w:r w:rsidR="00C4714A">
          <w:rPr>
            <w:webHidden/>
          </w:rPr>
          <w:fldChar w:fldCharType="separate"/>
        </w:r>
        <w:r w:rsidR="00C4714A">
          <w:rPr>
            <w:webHidden/>
          </w:rPr>
          <w:t>26</w:t>
        </w:r>
        <w:r w:rsidR="00C4714A">
          <w:rPr>
            <w:webHidden/>
          </w:rPr>
          <w:fldChar w:fldCharType="end"/>
        </w:r>
      </w:hyperlink>
    </w:p>
    <w:p w14:paraId="760E565C" w14:textId="34A06995"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4" w:history="1">
        <w:r w:rsidR="00C4714A" w:rsidRPr="007530C2">
          <w:rPr>
            <w:rStyle w:val="Hyperlink"/>
          </w:rPr>
          <w:t>3.1.4</w:t>
        </w:r>
        <w:r w:rsidR="00C4714A">
          <w:rPr>
            <w:rFonts w:asciiTheme="minorHAnsi" w:eastAsiaTheme="minorEastAsia" w:hAnsiTheme="minorHAnsi" w:cstheme="minorBidi"/>
            <w:snapToGrid/>
            <w:kern w:val="2"/>
            <w:sz w:val="21"/>
            <w:lang w:eastAsia="zh-CN"/>
          </w:rPr>
          <w:tab/>
        </w:r>
        <w:r w:rsidR="00C4714A" w:rsidRPr="007530C2">
          <w:rPr>
            <w:rStyle w:val="Hyperlink"/>
          </w:rPr>
          <w:t>Vaccine</w:t>
        </w:r>
        <w:r w:rsidR="00C4714A">
          <w:rPr>
            <w:webHidden/>
          </w:rPr>
          <w:tab/>
        </w:r>
        <w:r w:rsidR="00C4714A">
          <w:rPr>
            <w:webHidden/>
          </w:rPr>
          <w:fldChar w:fldCharType="begin"/>
        </w:r>
        <w:r w:rsidR="00C4714A">
          <w:rPr>
            <w:webHidden/>
          </w:rPr>
          <w:instrText xml:space="preserve"> PAGEREF _Toc98358614 \h </w:instrText>
        </w:r>
        <w:r w:rsidR="00C4714A">
          <w:rPr>
            <w:webHidden/>
          </w:rPr>
        </w:r>
        <w:r w:rsidR="00C4714A">
          <w:rPr>
            <w:webHidden/>
          </w:rPr>
          <w:fldChar w:fldCharType="separate"/>
        </w:r>
        <w:r w:rsidR="00C4714A">
          <w:rPr>
            <w:webHidden/>
          </w:rPr>
          <w:t>26</w:t>
        </w:r>
        <w:r w:rsidR="00C4714A">
          <w:rPr>
            <w:webHidden/>
          </w:rPr>
          <w:fldChar w:fldCharType="end"/>
        </w:r>
      </w:hyperlink>
    </w:p>
    <w:p w14:paraId="1F140754" w14:textId="68F90706"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5" w:history="1">
        <w:r w:rsidR="00C4714A" w:rsidRPr="007530C2">
          <w:rPr>
            <w:rStyle w:val="Hyperlink"/>
          </w:rPr>
          <w:t>3.1.5</w:t>
        </w:r>
        <w:r w:rsidR="00C4714A">
          <w:rPr>
            <w:rFonts w:asciiTheme="minorHAnsi" w:eastAsiaTheme="minorEastAsia" w:hAnsiTheme="minorHAnsi" w:cstheme="minorBidi"/>
            <w:snapToGrid/>
            <w:kern w:val="2"/>
            <w:sz w:val="21"/>
            <w:lang w:eastAsia="zh-CN"/>
          </w:rPr>
          <w:tab/>
        </w:r>
        <w:r w:rsidR="00C4714A" w:rsidRPr="007530C2">
          <w:rPr>
            <w:rStyle w:val="Hyperlink"/>
          </w:rPr>
          <w:t>Contraception</w:t>
        </w:r>
        <w:r w:rsidR="00C4714A">
          <w:rPr>
            <w:webHidden/>
          </w:rPr>
          <w:tab/>
        </w:r>
        <w:r w:rsidR="00C4714A">
          <w:rPr>
            <w:webHidden/>
          </w:rPr>
          <w:fldChar w:fldCharType="begin"/>
        </w:r>
        <w:r w:rsidR="00C4714A">
          <w:rPr>
            <w:webHidden/>
          </w:rPr>
          <w:instrText xml:space="preserve"> PAGEREF _Toc98358615 \h </w:instrText>
        </w:r>
        <w:r w:rsidR="00C4714A">
          <w:rPr>
            <w:webHidden/>
          </w:rPr>
        </w:r>
        <w:r w:rsidR="00C4714A">
          <w:rPr>
            <w:webHidden/>
          </w:rPr>
          <w:fldChar w:fldCharType="separate"/>
        </w:r>
        <w:r w:rsidR="00C4714A">
          <w:rPr>
            <w:webHidden/>
          </w:rPr>
          <w:t>27</w:t>
        </w:r>
        <w:r w:rsidR="00C4714A">
          <w:rPr>
            <w:webHidden/>
          </w:rPr>
          <w:fldChar w:fldCharType="end"/>
        </w:r>
      </w:hyperlink>
    </w:p>
    <w:p w14:paraId="5E69D763" w14:textId="15A5AE37"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6" w:history="1">
        <w:r w:rsidR="00C4714A" w:rsidRPr="007530C2">
          <w:rPr>
            <w:rStyle w:val="Hyperlink"/>
          </w:rPr>
          <w:t>3.1.6</w:t>
        </w:r>
        <w:r w:rsidR="00C4714A">
          <w:rPr>
            <w:rFonts w:asciiTheme="minorHAnsi" w:eastAsiaTheme="minorEastAsia" w:hAnsiTheme="minorHAnsi" w:cstheme="minorBidi"/>
            <w:snapToGrid/>
            <w:kern w:val="2"/>
            <w:sz w:val="21"/>
            <w:lang w:eastAsia="zh-CN"/>
          </w:rPr>
          <w:tab/>
        </w:r>
        <w:r w:rsidR="00C4714A" w:rsidRPr="007530C2">
          <w:rPr>
            <w:rStyle w:val="Hyperlink"/>
          </w:rPr>
          <w:t>Blood donation</w:t>
        </w:r>
        <w:r w:rsidR="00C4714A">
          <w:rPr>
            <w:webHidden/>
          </w:rPr>
          <w:tab/>
        </w:r>
        <w:r w:rsidR="00C4714A">
          <w:rPr>
            <w:webHidden/>
          </w:rPr>
          <w:fldChar w:fldCharType="begin"/>
        </w:r>
        <w:r w:rsidR="00C4714A">
          <w:rPr>
            <w:webHidden/>
          </w:rPr>
          <w:instrText xml:space="preserve"> PAGEREF _Toc98358616 \h </w:instrText>
        </w:r>
        <w:r w:rsidR="00C4714A">
          <w:rPr>
            <w:webHidden/>
          </w:rPr>
        </w:r>
        <w:r w:rsidR="00C4714A">
          <w:rPr>
            <w:webHidden/>
          </w:rPr>
          <w:fldChar w:fldCharType="separate"/>
        </w:r>
        <w:r w:rsidR="00C4714A">
          <w:rPr>
            <w:webHidden/>
          </w:rPr>
          <w:t>28</w:t>
        </w:r>
        <w:r w:rsidR="00C4714A">
          <w:rPr>
            <w:webHidden/>
          </w:rPr>
          <w:fldChar w:fldCharType="end"/>
        </w:r>
      </w:hyperlink>
    </w:p>
    <w:p w14:paraId="1D78E1CF" w14:textId="5B9D486F" w:rsidR="00C4714A" w:rsidRDefault="00FF5B24">
      <w:pPr>
        <w:pStyle w:val="TOC2"/>
        <w:rPr>
          <w:rFonts w:asciiTheme="minorHAnsi" w:eastAsiaTheme="minorEastAsia" w:hAnsiTheme="minorHAnsi" w:cstheme="minorBidi"/>
          <w:snapToGrid/>
          <w:kern w:val="2"/>
          <w:sz w:val="21"/>
          <w:lang w:eastAsia="zh-CN"/>
        </w:rPr>
      </w:pPr>
      <w:hyperlink w:anchor="_Toc98358617" w:history="1">
        <w:r w:rsidR="00C4714A" w:rsidRPr="007530C2">
          <w:rPr>
            <w:rStyle w:val="Hyperlink"/>
          </w:rPr>
          <w:t>3.2</w:t>
        </w:r>
        <w:r w:rsidR="00C4714A">
          <w:rPr>
            <w:rFonts w:asciiTheme="minorHAnsi" w:eastAsiaTheme="minorEastAsia" w:hAnsiTheme="minorHAnsi" w:cstheme="minorBidi"/>
            <w:snapToGrid/>
            <w:kern w:val="2"/>
            <w:sz w:val="21"/>
            <w:lang w:eastAsia="zh-CN"/>
          </w:rPr>
          <w:tab/>
        </w:r>
        <w:r w:rsidR="00C4714A" w:rsidRPr="007530C2">
          <w:rPr>
            <w:rStyle w:val="Hyperlink"/>
          </w:rPr>
          <w:t>Schedule of Activities</w:t>
        </w:r>
        <w:r w:rsidR="00C4714A">
          <w:rPr>
            <w:webHidden/>
          </w:rPr>
          <w:tab/>
        </w:r>
        <w:r w:rsidR="00C4714A">
          <w:rPr>
            <w:webHidden/>
          </w:rPr>
          <w:fldChar w:fldCharType="begin"/>
        </w:r>
        <w:r w:rsidR="00C4714A">
          <w:rPr>
            <w:webHidden/>
          </w:rPr>
          <w:instrText xml:space="preserve"> PAGEREF _Toc98358617 \h </w:instrText>
        </w:r>
        <w:r w:rsidR="00C4714A">
          <w:rPr>
            <w:webHidden/>
          </w:rPr>
        </w:r>
        <w:r w:rsidR="00C4714A">
          <w:rPr>
            <w:webHidden/>
          </w:rPr>
          <w:fldChar w:fldCharType="separate"/>
        </w:r>
        <w:r w:rsidR="00C4714A">
          <w:rPr>
            <w:webHidden/>
          </w:rPr>
          <w:t>28</w:t>
        </w:r>
        <w:r w:rsidR="00C4714A">
          <w:rPr>
            <w:webHidden/>
          </w:rPr>
          <w:fldChar w:fldCharType="end"/>
        </w:r>
      </w:hyperlink>
    </w:p>
    <w:p w14:paraId="417B8ACE" w14:textId="0ADE9577" w:rsidR="00C4714A" w:rsidRDefault="00FF5B24">
      <w:pPr>
        <w:pStyle w:val="TOC2"/>
        <w:rPr>
          <w:rFonts w:asciiTheme="minorHAnsi" w:eastAsiaTheme="minorEastAsia" w:hAnsiTheme="minorHAnsi" w:cstheme="minorBidi"/>
          <w:snapToGrid/>
          <w:kern w:val="2"/>
          <w:sz w:val="21"/>
          <w:lang w:eastAsia="zh-CN"/>
        </w:rPr>
      </w:pPr>
      <w:hyperlink w:anchor="_Toc98358618" w:history="1">
        <w:r w:rsidR="00C4714A" w:rsidRPr="007530C2">
          <w:rPr>
            <w:rStyle w:val="Hyperlink"/>
          </w:rPr>
          <w:t>3.3</w:t>
        </w:r>
        <w:r w:rsidR="00C4714A">
          <w:rPr>
            <w:rFonts w:asciiTheme="minorHAnsi" w:eastAsiaTheme="minorEastAsia" w:hAnsiTheme="minorHAnsi" w:cstheme="minorBidi"/>
            <w:snapToGrid/>
            <w:kern w:val="2"/>
            <w:sz w:val="21"/>
            <w:lang w:eastAsia="zh-CN"/>
          </w:rPr>
          <w:tab/>
        </w:r>
        <w:r w:rsidR="00C4714A" w:rsidRPr="007530C2">
          <w:rPr>
            <w:rStyle w:val="Hyperlink"/>
          </w:rPr>
          <w:t>Schedule of Visits</w:t>
        </w:r>
        <w:r w:rsidR="00C4714A">
          <w:rPr>
            <w:webHidden/>
          </w:rPr>
          <w:tab/>
        </w:r>
        <w:r w:rsidR="00C4714A">
          <w:rPr>
            <w:webHidden/>
          </w:rPr>
          <w:fldChar w:fldCharType="begin"/>
        </w:r>
        <w:r w:rsidR="00C4714A">
          <w:rPr>
            <w:webHidden/>
          </w:rPr>
          <w:instrText xml:space="preserve"> PAGEREF _Toc98358618 \h </w:instrText>
        </w:r>
        <w:r w:rsidR="00C4714A">
          <w:rPr>
            <w:webHidden/>
          </w:rPr>
        </w:r>
        <w:r w:rsidR="00C4714A">
          <w:rPr>
            <w:webHidden/>
          </w:rPr>
          <w:fldChar w:fldCharType="separate"/>
        </w:r>
        <w:r w:rsidR="00C4714A">
          <w:rPr>
            <w:webHidden/>
          </w:rPr>
          <w:t>28</w:t>
        </w:r>
        <w:r w:rsidR="00C4714A">
          <w:rPr>
            <w:webHidden/>
          </w:rPr>
          <w:fldChar w:fldCharType="end"/>
        </w:r>
      </w:hyperlink>
    </w:p>
    <w:p w14:paraId="3B88DB0D" w14:textId="60821412"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19" w:history="1">
        <w:r w:rsidR="00C4714A" w:rsidRPr="007530C2">
          <w:rPr>
            <w:rStyle w:val="Hyperlink"/>
          </w:rPr>
          <w:t>3.3.1</w:t>
        </w:r>
        <w:r w:rsidR="00C4714A">
          <w:rPr>
            <w:rFonts w:asciiTheme="minorHAnsi" w:eastAsiaTheme="minorEastAsia" w:hAnsiTheme="minorHAnsi" w:cstheme="minorBidi"/>
            <w:snapToGrid/>
            <w:kern w:val="2"/>
            <w:sz w:val="21"/>
            <w:lang w:eastAsia="zh-CN"/>
          </w:rPr>
          <w:tab/>
        </w:r>
        <w:r w:rsidR="00C4714A" w:rsidRPr="007530C2">
          <w:rPr>
            <w:rStyle w:val="Hyperlink"/>
          </w:rPr>
          <w:t>Screening process/enrollment (Visit 1, Day -28 to Day -1)</w:t>
        </w:r>
        <w:r w:rsidR="00C4714A">
          <w:rPr>
            <w:webHidden/>
          </w:rPr>
          <w:tab/>
        </w:r>
        <w:r w:rsidR="00C4714A">
          <w:rPr>
            <w:webHidden/>
          </w:rPr>
          <w:fldChar w:fldCharType="begin"/>
        </w:r>
        <w:r w:rsidR="00C4714A">
          <w:rPr>
            <w:webHidden/>
          </w:rPr>
          <w:instrText xml:space="preserve"> PAGEREF _Toc98358619 \h </w:instrText>
        </w:r>
        <w:r w:rsidR="00C4714A">
          <w:rPr>
            <w:webHidden/>
          </w:rPr>
        </w:r>
        <w:r w:rsidR="00C4714A">
          <w:rPr>
            <w:webHidden/>
          </w:rPr>
          <w:fldChar w:fldCharType="separate"/>
        </w:r>
        <w:r w:rsidR="00C4714A">
          <w:rPr>
            <w:webHidden/>
          </w:rPr>
          <w:t>28</w:t>
        </w:r>
        <w:r w:rsidR="00C4714A">
          <w:rPr>
            <w:webHidden/>
          </w:rPr>
          <w:fldChar w:fldCharType="end"/>
        </w:r>
      </w:hyperlink>
    </w:p>
    <w:p w14:paraId="0C484FE0" w14:textId="273F92BA"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0" w:history="1">
        <w:r w:rsidR="00C4714A" w:rsidRPr="007530C2">
          <w:rPr>
            <w:rStyle w:val="Hyperlink"/>
          </w:rPr>
          <w:t>3.3.2</w:t>
        </w:r>
        <w:r w:rsidR="00C4714A">
          <w:rPr>
            <w:rFonts w:asciiTheme="minorHAnsi" w:eastAsiaTheme="minorEastAsia" w:hAnsiTheme="minorHAnsi" w:cstheme="minorBidi"/>
            <w:snapToGrid/>
            <w:kern w:val="2"/>
            <w:sz w:val="21"/>
            <w:lang w:eastAsia="zh-CN"/>
          </w:rPr>
          <w:tab/>
        </w:r>
        <w:r w:rsidR="00C4714A" w:rsidRPr="007530C2">
          <w:rPr>
            <w:rStyle w:val="Hyperlink"/>
          </w:rPr>
          <w:t>During the study</w:t>
        </w:r>
        <w:r w:rsidR="00C4714A">
          <w:rPr>
            <w:webHidden/>
          </w:rPr>
          <w:tab/>
        </w:r>
        <w:r w:rsidR="00C4714A">
          <w:rPr>
            <w:webHidden/>
          </w:rPr>
          <w:fldChar w:fldCharType="begin"/>
        </w:r>
        <w:r w:rsidR="00C4714A">
          <w:rPr>
            <w:webHidden/>
          </w:rPr>
          <w:instrText xml:space="preserve"> PAGEREF _Toc98358620 \h </w:instrText>
        </w:r>
        <w:r w:rsidR="00C4714A">
          <w:rPr>
            <w:webHidden/>
          </w:rPr>
        </w:r>
        <w:r w:rsidR="00C4714A">
          <w:rPr>
            <w:webHidden/>
          </w:rPr>
          <w:fldChar w:fldCharType="separate"/>
        </w:r>
        <w:r w:rsidR="00C4714A">
          <w:rPr>
            <w:webHidden/>
          </w:rPr>
          <w:t>29</w:t>
        </w:r>
        <w:r w:rsidR="00C4714A">
          <w:rPr>
            <w:webHidden/>
          </w:rPr>
          <w:fldChar w:fldCharType="end"/>
        </w:r>
      </w:hyperlink>
    </w:p>
    <w:p w14:paraId="4D2D0929" w14:textId="164966D9"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1" w:history="1">
        <w:r w:rsidR="00C4714A" w:rsidRPr="007530C2">
          <w:rPr>
            <w:rStyle w:val="Hyperlink"/>
          </w:rPr>
          <w:t>3.3.3</w:t>
        </w:r>
        <w:r w:rsidR="00C4714A">
          <w:rPr>
            <w:rFonts w:asciiTheme="minorHAnsi" w:eastAsiaTheme="minorEastAsia" w:hAnsiTheme="minorHAnsi" w:cstheme="minorBidi"/>
            <w:snapToGrid/>
            <w:kern w:val="2"/>
            <w:sz w:val="21"/>
            <w:lang w:eastAsia="zh-CN"/>
          </w:rPr>
          <w:tab/>
        </w:r>
        <w:r w:rsidR="00C4714A" w:rsidRPr="007530C2">
          <w:rPr>
            <w:rStyle w:val="Hyperlink"/>
          </w:rPr>
          <w:t>Withdrawal from treatment for any reason (Visit is completed within 7 days after the last dose of study drug)</w:t>
        </w:r>
        <w:r w:rsidR="00C4714A">
          <w:rPr>
            <w:webHidden/>
          </w:rPr>
          <w:tab/>
        </w:r>
        <w:r w:rsidR="00C4714A">
          <w:rPr>
            <w:webHidden/>
          </w:rPr>
          <w:fldChar w:fldCharType="begin"/>
        </w:r>
        <w:r w:rsidR="00C4714A">
          <w:rPr>
            <w:webHidden/>
          </w:rPr>
          <w:instrText xml:space="preserve"> PAGEREF _Toc98358621 \h </w:instrText>
        </w:r>
        <w:r w:rsidR="00C4714A">
          <w:rPr>
            <w:webHidden/>
          </w:rPr>
        </w:r>
        <w:r w:rsidR="00C4714A">
          <w:rPr>
            <w:webHidden/>
          </w:rPr>
          <w:fldChar w:fldCharType="separate"/>
        </w:r>
        <w:r w:rsidR="00C4714A">
          <w:rPr>
            <w:webHidden/>
          </w:rPr>
          <w:t>29</w:t>
        </w:r>
        <w:r w:rsidR="00C4714A">
          <w:rPr>
            <w:webHidden/>
          </w:rPr>
          <w:fldChar w:fldCharType="end"/>
        </w:r>
      </w:hyperlink>
    </w:p>
    <w:p w14:paraId="53C539FE" w14:textId="23BABC02"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2" w:history="1">
        <w:r w:rsidR="00C4714A" w:rsidRPr="007530C2">
          <w:rPr>
            <w:rStyle w:val="Hyperlink"/>
          </w:rPr>
          <w:t>3.3.4</w:t>
        </w:r>
        <w:r w:rsidR="00C4714A">
          <w:rPr>
            <w:rFonts w:asciiTheme="minorHAnsi" w:eastAsiaTheme="minorEastAsia" w:hAnsiTheme="minorHAnsi" w:cstheme="minorBidi"/>
            <w:snapToGrid/>
            <w:kern w:val="2"/>
            <w:sz w:val="21"/>
            <w:lang w:eastAsia="zh-CN"/>
          </w:rPr>
          <w:tab/>
        </w:r>
        <w:r w:rsidR="00C4714A" w:rsidRPr="007530C2">
          <w:rPr>
            <w:rStyle w:val="Hyperlink"/>
          </w:rPr>
          <w:t>Continuous assessment</w:t>
        </w:r>
        <w:r w:rsidR="00C4714A">
          <w:rPr>
            <w:webHidden/>
          </w:rPr>
          <w:tab/>
        </w:r>
        <w:r w:rsidR="00C4714A">
          <w:rPr>
            <w:webHidden/>
          </w:rPr>
          <w:fldChar w:fldCharType="begin"/>
        </w:r>
        <w:r w:rsidR="00C4714A">
          <w:rPr>
            <w:webHidden/>
          </w:rPr>
          <w:instrText xml:space="preserve"> PAGEREF _Toc98358622 \h </w:instrText>
        </w:r>
        <w:r w:rsidR="00C4714A">
          <w:rPr>
            <w:webHidden/>
          </w:rPr>
        </w:r>
        <w:r w:rsidR="00C4714A">
          <w:rPr>
            <w:webHidden/>
          </w:rPr>
          <w:fldChar w:fldCharType="separate"/>
        </w:r>
        <w:r w:rsidR="00C4714A">
          <w:rPr>
            <w:webHidden/>
          </w:rPr>
          <w:t>30</w:t>
        </w:r>
        <w:r w:rsidR="00C4714A">
          <w:rPr>
            <w:webHidden/>
          </w:rPr>
          <w:fldChar w:fldCharType="end"/>
        </w:r>
      </w:hyperlink>
    </w:p>
    <w:p w14:paraId="504EA5C8" w14:textId="173B7D85"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3" w:history="1">
        <w:r w:rsidR="00C4714A" w:rsidRPr="007530C2">
          <w:rPr>
            <w:rStyle w:val="Hyperlink"/>
          </w:rPr>
          <w:t>3.3.5</w:t>
        </w:r>
        <w:r w:rsidR="00C4714A">
          <w:rPr>
            <w:rFonts w:asciiTheme="minorHAnsi" w:eastAsiaTheme="minorEastAsia" w:hAnsiTheme="minorHAnsi" w:cstheme="minorBidi"/>
            <w:snapToGrid/>
            <w:kern w:val="2"/>
            <w:sz w:val="21"/>
            <w:lang w:eastAsia="zh-CN"/>
          </w:rPr>
          <w:tab/>
        </w:r>
        <w:r w:rsidR="00C4714A" w:rsidRPr="007530C2">
          <w:rPr>
            <w:rStyle w:val="Hyperlink"/>
          </w:rPr>
          <w:t>Unscheduled assessments</w:t>
        </w:r>
        <w:r w:rsidR="00C4714A">
          <w:rPr>
            <w:webHidden/>
          </w:rPr>
          <w:tab/>
        </w:r>
        <w:r w:rsidR="00C4714A">
          <w:rPr>
            <w:webHidden/>
          </w:rPr>
          <w:fldChar w:fldCharType="begin"/>
        </w:r>
        <w:r w:rsidR="00C4714A">
          <w:rPr>
            <w:webHidden/>
          </w:rPr>
          <w:instrText xml:space="preserve"> PAGEREF _Toc98358623 \h </w:instrText>
        </w:r>
        <w:r w:rsidR="00C4714A">
          <w:rPr>
            <w:webHidden/>
          </w:rPr>
        </w:r>
        <w:r w:rsidR="00C4714A">
          <w:rPr>
            <w:webHidden/>
          </w:rPr>
          <w:fldChar w:fldCharType="separate"/>
        </w:r>
        <w:r w:rsidR="00C4714A">
          <w:rPr>
            <w:webHidden/>
          </w:rPr>
          <w:t>30</w:t>
        </w:r>
        <w:r w:rsidR="00C4714A">
          <w:rPr>
            <w:webHidden/>
          </w:rPr>
          <w:fldChar w:fldCharType="end"/>
        </w:r>
      </w:hyperlink>
    </w:p>
    <w:p w14:paraId="743AC1B2" w14:textId="3A3606CD" w:rsidR="00C4714A" w:rsidRDefault="00FF5B24">
      <w:pPr>
        <w:pStyle w:val="TOC1"/>
        <w:rPr>
          <w:rFonts w:asciiTheme="minorHAnsi" w:eastAsiaTheme="minorEastAsia" w:hAnsiTheme="minorHAnsi" w:cstheme="minorBidi"/>
          <w:bCs w:val="0"/>
          <w:snapToGrid/>
          <w:kern w:val="2"/>
          <w:sz w:val="21"/>
          <w:lang w:eastAsia="zh-CN"/>
        </w:rPr>
      </w:pPr>
      <w:hyperlink w:anchor="_Toc98358624" w:history="1">
        <w:r w:rsidR="00C4714A" w:rsidRPr="007530C2">
          <w:rPr>
            <w:rStyle w:val="Hyperlink"/>
          </w:rPr>
          <w:t>4</w:t>
        </w:r>
        <w:r w:rsidR="00C4714A">
          <w:rPr>
            <w:rFonts w:asciiTheme="minorHAnsi" w:eastAsiaTheme="minorEastAsia" w:hAnsiTheme="minorHAnsi" w:cstheme="minorBidi"/>
            <w:bCs w:val="0"/>
            <w:snapToGrid/>
            <w:kern w:val="2"/>
            <w:sz w:val="21"/>
            <w:lang w:eastAsia="zh-CN"/>
          </w:rPr>
          <w:tab/>
        </w:r>
        <w:r w:rsidR="00C4714A" w:rsidRPr="007530C2">
          <w:rPr>
            <w:rStyle w:val="Hyperlink"/>
          </w:rPr>
          <w:t>IMPs</w:t>
        </w:r>
        <w:r w:rsidR="00C4714A">
          <w:rPr>
            <w:webHidden/>
          </w:rPr>
          <w:tab/>
        </w:r>
        <w:r w:rsidR="00C4714A">
          <w:rPr>
            <w:webHidden/>
          </w:rPr>
          <w:fldChar w:fldCharType="begin"/>
        </w:r>
        <w:r w:rsidR="00C4714A">
          <w:rPr>
            <w:webHidden/>
          </w:rPr>
          <w:instrText xml:space="preserve"> PAGEREF _Toc98358624 \h </w:instrText>
        </w:r>
        <w:r w:rsidR="00C4714A">
          <w:rPr>
            <w:webHidden/>
          </w:rPr>
        </w:r>
        <w:r w:rsidR="00C4714A">
          <w:rPr>
            <w:webHidden/>
          </w:rPr>
          <w:fldChar w:fldCharType="separate"/>
        </w:r>
        <w:r w:rsidR="00C4714A">
          <w:rPr>
            <w:webHidden/>
          </w:rPr>
          <w:t>31</w:t>
        </w:r>
        <w:r w:rsidR="00C4714A">
          <w:rPr>
            <w:webHidden/>
          </w:rPr>
          <w:fldChar w:fldCharType="end"/>
        </w:r>
      </w:hyperlink>
    </w:p>
    <w:p w14:paraId="0D25B3EA" w14:textId="3D9C2F3E" w:rsidR="00C4714A" w:rsidRDefault="00FF5B24">
      <w:pPr>
        <w:pStyle w:val="TOC2"/>
        <w:rPr>
          <w:rFonts w:asciiTheme="minorHAnsi" w:eastAsiaTheme="minorEastAsia" w:hAnsiTheme="minorHAnsi" w:cstheme="minorBidi"/>
          <w:snapToGrid/>
          <w:kern w:val="2"/>
          <w:sz w:val="21"/>
          <w:lang w:eastAsia="zh-CN"/>
        </w:rPr>
      </w:pPr>
      <w:hyperlink w:anchor="_Toc98358625" w:history="1">
        <w:r w:rsidR="00C4714A" w:rsidRPr="007530C2">
          <w:rPr>
            <w:rStyle w:val="Hyperlink"/>
          </w:rPr>
          <w:t>4.1</w:t>
        </w:r>
        <w:r w:rsidR="00C4714A">
          <w:rPr>
            <w:rFonts w:asciiTheme="minorHAnsi" w:eastAsiaTheme="minorEastAsia" w:hAnsiTheme="minorHAnsi" w:cstheme="minorBidi"/>
            <w:snapToGrid/>
            <w:kern w:val="2"/>
            <w:sz w:val="21"/>
            <w:lang w:eastAsia="zh-CN"/>
          </w:rPr>
          <w:tab/>
        </w:r>
        <w:r w:rsidR="00C4714A" w:rsidRPr="007530C2">
          <w:rPr>
            <w:rStyle w:val="Hyperlink"/>
          </w:rPr>
          <w:t>Anlotinib HRD</w:t>
        </w:r>
        <w:r w:rsidR="00C4714A">
          <w:rPr>
            <w:webHidden/>
          </w:rPr>
          <w:tab/>
        </w:r>
        <w:r w:rsidR="00C4714A">
          <w:rPr>
            <w:webHidden/>
          </w:rPr>
          <w:fldChar w:fldCharType="begin"/>
        </w:r>
        <w:r w:rsidR="00C4714A">
          <w:rPr>
            <w:webHidden/>
          </w:rPr>
          <w:instrText xml:space="preserve"> PAGEREF _Toc98358625 \h </w:instrText>
        </w:r>
        <w:r w:rsidR="00C4714A">
          <w:rPr>
            <w:webHidden/>
          </w:rPr>
        </w:r>
        <w:r w:rsidR="00C4714A">
          <w:rPr>
            <w:webHidden/>
          </w:rPr>
          <w:fldChar w:fldCharType="separate"/>
        </w:r>
        <w:r w:rsidR="00C4714A">
          <w:rPr>
            <w:webHidden/>
          </w:rPr>
          <w:t>31</w:t>
        </w:r>
        <w:r w:rsidR="00C4714A">
          <w:rPr>
            <w:webHidden/>
          </w:rPr>
          <w:fldChar w:fldCharType="end"/>
        </w:r>
      </w:hyperlink>
    </w:p>
    <w:p w14:paraId="7A73E15C" w14:textId="4C74F897"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6" w:history="1">
        <w:r w:rsidR="00C4714A" w:rsidRPr="007530C2">
          <w:rPr>
            <w:rStyle w:val="Hyperlink"/>
          </w:rPr>
          <w:t>4.1.1</w:t>
        </w:r>
        <w:r w:rsidR="00C4714A">
          <w:rPr>
            <w:rFonts w:asciiTheme="minorHAnsi" w:eastAsiaTheme="minorEastAsia" w:hAnsiTheme="minorHAnsi" w:cstheme="minorBidi"/>
            <w:snapToGrid/>
            <w:kern w:val="2"/>
            <w:sz w:val="21"/>
            <w:lang w:eastAsia="zh-CN"/>
          </w:rPr>
          <w:tab/>
        </w:r>
        <w:r w:rsidR="00C4714A" w:rsidRPr="007530C2">
          <w:rPr>
            <w:rStyle w:val="Hyperlink"/>
          </w:rPr>
          <w:t>Management</w:t>
        </w:r>
        <w:r w:rsidR="00C4714A">
          <w:rPr>
            <w:webHidden/>
          </w:rPr>
          <w:tab/>
        </w:r>
        <w:r w:rsidR="00C4714A">
          <w:rPr>
            <w:webHidden/>
          </w:rPr>
          <w:fldChar w:fldCharType="begin"/>
        </w:r>
        <w:r w:rsidR="00C4714A">
          <w:rPr>
            <w:webHidden/>
          </w:rPr>
          <w:instrText xml:space="preserve"> PAGEREF _Toc98358626 \h </w:instrText>
        </w:r>
        <w:r w:rsidR="00C4714A">
          <w:rPr>
            <w:webHidden/>
          </w:rPr>
        </w:r>
        <w:r w:rsidR="00C4714A">
          <w:rPr>
            <w:webHidden/>
          </w:rPr>
          <w:fldChar w:fldCharType="separate"/>
        </w:r>
        <w:r w:rsidR="00C4714A">
          <w:rPr>
            <w:webHidden/>
          </w:rPr>
          <w:t>31</w:t>
        </w:r>
        <w:r w:rsidR="00C4714A">
          <w:rPr>
            <w:webHidden/>
          </w:rPr>
          <w:fldChar w:fldCharType="end"/>
        </w:r>
      </w:hyperlink>
    </w:p>
    <w:p w14:paraId="4A997FF5" w14:textId="0A000DFE"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7" w:history="1">
        <w:r w:rsidR="00C4714A" w:rsidRPr="007530C2">
          <w:rPr>
            <w:rStyle w:val="Hyperlink"/>
          </w:rPr>
          <w:t>4.1.2</w:t>
        </w:r>
        <w:r w:rsidR="00C4714A">
          <w:rPr>
            <w:rFonts w:asciiTheme="minorHAnsi" w:eastAsiaTheme="minorEastAsia" w:hAnsiTheme="minorHAnsi" w:cstheme="minorBidi"/>
            <w:snapToGrid/>
            <w:kern w:val="2"/>
            <w:sz w:val="21"/>
            <w:lang w:eastAsia="zh-CN"/>
          </w:rPr>
          <w:tab/>
        </w:r>
        <w:r w:rsidR="00C4714A" w:rsidRPr="007530C2">
          <w:rPr>
            <w:rStyle w:val="Hyperlink"/>
          </w:rPr>
          <w:t>Packaging, labeling and storage</w:t>
        </w:r>
        <w:r w:rsidR="00C4714A">
          <w:rPr>
            <w:webHidden/>
          </w:rPr>
          <w:tab/>
        </w:r>
        <w:r w:rsidR="00C4714A">
          <w:rPr>
            <w:webHidden/>
          </w:rPr>
          <w:fldChar w:fldCharType="begin"/>
        </w:r>
        <w:r w:rsidR="00C4714A">
          <w:rPr>
            <w:webHidden/>
          </w:rPr>
          <w:instrText xml:space="preserve"> PAGEREF _Toc98358627 \h </w:instrText>
        </w:r>
        <w:r w:rsidR="00C4714A">
          <w:rPr>
            <w:webHidden/>
          </w:rPr>
        </w:r>
        <w:r w:rsidR="00C4714A">
          <w:rPr>
            <w:webHidden/>
          </w:rPr>
          <w:fldChar w:fldCharType="separate"/>
        </w:r>
        <w:r w:rsidR="00C4714A">
          <w:rPr>
            <w:webHidden/>
          </w:rPr>
          <w:t>31</w:t>
        </w:r>
        <w:r w:rsidR="00C4714A">
          <w:rPr>
            <w:webHidden/>
          </w:rPr>
          <w:fldChar w:fldCharType="end"/>
        </w:r>
      </w:hyperlink>
    </w:p>
    <w:p w14:paraId="7DCEA574" w14:textId="45707B78"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28" w:history="1">
        <w:r w:rsidR="00C4714A" w:rsidRPr="007530C2">
          <w:rPr>
            <w:rStyle w:val="Hyperlink"/>
          </w:rPr>
          <w:t>4.1.3</w:t>
        </w:r>
        <w:r w:rsidR="00C4714A">
          <w:rPr>
            <w:rFonts w:asciiTheme="minorHAnsi" w:eastAsiaTheme="minorEastAsia" w:hAnsiTheme="minorHAnsi" w:cstheme="minorBidi"/>
            <w:snapToGrid/>
            <w:kern w:val="2"/>
            <w:sz w:val="21"/>
            <w:lang w:eastAsia="zh-CN"/>
          </w:rPr>
          <w:tab/>
        </w:r>
        <w:r w:rsidR="00C4714A" w:rsidRPr="007530C2">
          <w:rPr>
            <w:rStyle w:val="Hyperlink"/>
          </w:rPr>
          <w:t>Handling and destruction</w:t>
        </w:r>
        <w:r w:rsidR="00C4714A">
          <w:rPr>
            <w:webHidden/>
          </w:rPr>
          <w:tab/>
        </w:r>
        <w:r w:rsidR="00C4714A">
          <w:rPr>
            <w:webHidden/>
          </w:rPr>
          <w:fldChar w:fldCharType="begin"/>
        </w:r>
        <w:r w:rsidR="00C4714A">
          <w:rPr>
            <w:webHidden/>
          </w:rPr>
          <w:instrText xml:space="preserve"> PAGEREF _Toc98358628 \h </w:instrText>
        </w:r>
        <w:r w:rsidR="00C4714A">
          <w:rPr>
            <w:webHidden/>
          </w:rPr>
        </w:r>
        <w:r w:rsidR="00C4714A">
          <w:rPr>
            <w:webHidden/>
          </w:rPr>
          <w:fldChar w:fldCharType="separate"/>
        </w:r>
        <w:r w:rsidR="00C4714A">
          <w:rPr>
            <w:webHidden/>
          </w:rPr>
          <w:t>31</w:t>
        </w:r>
        <w:r w:rsidR="00C4714A">
          <w:rPr>
            <w:webHidden/>
          </w:rPr>
          <w:fldChar w:fldCharType="end"/>
        </w:r>
      </w:hyperlink>
    </w:p>
    <w:p w14:paraId="7BAE4FF8" w14:textId="72347789" w:rsidR="00C4714A" w:rsidRDefault="00FF5B24">
      <w:pPr>
        <w:pStyle w:val="TOC2"/>
        <w:rPr>
          <w:rFonts w:asciiTheme="minorHAnsi" w:eastAsiaTheme="minorEastAsia" w:hAnsiTheme="minorHAnsi" w:cstheme="minorBidi"/>
          <w:snapToGrid/>
          <w:kern w:val="2"/>
          <w:sz w:val="21"/>
          <w:lang w:eastAsia="zh-CN"/>
        </w:rPr>
      </w:pPr>
      <w:hyperlink w:anchor="_Toc98358629" w:history="1">
        <w:r w:rsidR="00C4714A" w:rsidRPr="007530C2">
          <w:rPr>
            <w:rStyle w:val="Hyperlink"/>
          </w:rPr>
          <w:t>4.2</w:t>
        </w:r>
        <w:r w:rsidR="00C4714A">
          <w:rPr>
            <w:rFonts w:asciiTheme="minorHAnsi" w:eastAsiaTheme="minorEastAsia" w:hAnsiTheme="minorHAnsi" w:cstheme="minorBidi"/>
            <w:snapToGrid/>
            <w:kern w:val="2"/>
            <w:sz w:val="21"/>
            <w:lang w:eastAsia="zh-CN"/>
          </w:rPr>
          <w:tab/>
        </w:r>
        <w:r w:rsidR="00C4714A" w:rsidRPr="007530C2">
          <w:rPr>
            <w:rStyle w:val="Hyperlink"/>
          </w:rPr>
          <w:t>Niraparib</w:t>
        </w:r>
        <w:r w:rsidR="00C4714A">
          <w:rPr>
            <w:webHidden/>
          </w:rPr>
          <w:tab/>
        </w:r>
        <w:r w:rsidR="00C4714A">
          <w:rPr>
            <w:webHidden/>
          </w:rPr>
          <w:fldChar w:fldCharType="begin"/>
        </w:r>
        <w:r w:rsidR="00C4714A">
          <w:rPr>
            <w:webHidden/>
          </w:rPr>
          <w:instrText xml:space="preserve"> PAGEREF _Toc98358629 \h </w:instrText>
        </w:r>
        <w:r w:rsidR="00C4714A">
          <w:rPr>
            <w:webHidden/>
          </w:rPr>
        </w:r>
        <w:r w:rsidR="00C4714A">
          <w:rPr>
            <w:webHidden/>
          </w:rPr>
          <w:fldChar w:fldCharType="separate"/>
        </w:r>
        <w:r w:rsidR="00C4714A">
          <w:rPr>
            <w:webHidden/>
          </w:rPr>
          <w:t>32</w:t>
        </w:r>
        <w:r w:rsidR="00C4714A">
          <w:rPr>
            <w:webHidden/>
          </w:rPr>
          <w:fldChar w:fldCharType="end"/>
        </w:r>
      </w:hyperlink>
    </w:p>
    <w:p w14:paraId="693ECE9C" w14:textId="0BD699CC"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0" w:history="1">
        <w:r w:rsidR="00C4714A" w:rsidRPr="007530C2">
          <w:rPr>
            <w:rStyle w:val="Hyperlink"/>
          </w:rPr>
          <w:t>4.2.1</w:t>
        </w:r>
        <w:r w:rsidR="00C4714A">
          <w:rPr>
            <w:rFonts w:asciiTheme="minorHAnsi" w:eastAsiaTheme="minorEastAsia" w:hAnsiTheme="minorHAnsi" w:cstheme="minorBidi"/>
            <w:snapToGrid/>
            <w:kern w:val="2"/>
            <w:sz w:val="21"/>
            <w:lang w:eastAsia="zh-CN"/>
          </w:rPr>
          <w:tab/>
        </w:r>
        <w:r w:rsidR="00C4714A" w:rsidRPr="007530C2">
          <w:rPr>
            <w:rStyle w:val="Hyperlink"/>
          </w:rPr>
          <w:t>Characteristics</w:t>
        </w:r>
        <w:r w:rsidR="00C4714A">
          <w:rPr>
            <w:webHidden/>
          </w:rPr>
          <w:tab/>
        </w:r>
        <w:r w:rsidR="00C4714A">
          <w:rPr>
            <w:webHidden/>
          </w:rPr>
          <w:fldChar w:fldCharType="begin"/>
        </w:r>
        <w:r w:rsidR="00C4714A">
          <w:rPr>
            <w:webHidden/>
          </w:rPr>
          <w:instrText xml:space="preserve"> PAGEREF _Toc98358630 \h </w:instrText>
        </w:r>
        <w:r w:rsidR="00C4714A">
          <w:rPr>
            <w:webHidden/>
          </w:rPr>
        </w:r>
        <w:r w:rsidR="00C4714A">
          <w:rPr>
            <w:webHidden/>
          </w:rPr>
          <w:fldChar w:fldCharType="separate"/>
        </w:r>
        <w:r w:rsidR="00C4714A">
          <w:rPr>
            <w:webHidden/>
          </w:rPr>
          <w:t>32</w:t>
        </w:r>
        <w:r w:rsidR="00C4714A">
          <w:rPr>
            <w:webHidden/>
          </w:rPr>
          <w:fldChar w:fldCharType="end"/>
        </w:r>
      </w:hyperlink>
    </w:p>
    <w:p w14:paraId="298917B5" w14:textId="6BF27AA2"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1" w:history="1">
        <w:r w:rsidR="00C4714A" w:rsidRPr="007530C2">
          <w:rPr>
            <w:rStyle w:val="Hyperlink"/>
          </w:rPr>
          <w:t>4.2.2</w:t>
        </w:r>
        <w:r w:rsidR="00C4714A">
          <w:rPr>
            <w:rFonts w:asciiTheme="minorHAnsi" w:eastAsiaTheme="minorEastAsia" w:hAnsiTheme="minorHAnsi" w:cstheme="minorBidi"/>
            <w:snapToGrid/>
            <w:kern w:val="2"/>
            <w:sz w:val="21"/>
            <w:lang w:eastAsia="zh-CN"/>
          </w:rPr>
          <w:tab/>
        </w:r>
        <w:r w:rsidR="00C4714A" w:rsidRPr="007530C2">
          <w:rPr>
            <w:rStyle w:val="Hyperlink"/>
          </w:rPr>
          <w:t>Management</w:t>
        </w:r>
        <w:r w:rsidR="00C4714A">
          <w:rPr>
            <w:webHidden/>
          </w:rPr>
          <w:tab/>
        </w:r>
        <w:r w:rsidR="00C4714A">
          <w:rPr>
            <w:webHidden/>
          </w:rPr>
          <w:fldChar w:fldCharType="begin"/>
        </w:r>
        <w:r w:rsidR="00C4714A">
          <w:rPr>
            <w:webHidden/>
          </w:rPr>
          <w:instrText xml:space="preserve"> PAGEREF _Toc98358631 \h </w:instrText>
        </w:r>
        <w:r w:rsidR="00C4714A">
          <w:rPr>
            <w:webHidden/>
          </w:rPr>
        </w:r>
        <w:r w:rsidR="00C4714A">
          <w:rPr>
            <w:webHidden/>
          </w:rPr>
          <w:fldChar w:fldCharType="separate"/>
        </w:r>
        <w:r w:rsidR="00C4714A">
          <w:rPr>
            <w:webHidden/>
          </w:rPr>
          <w:t>32</w:t>
        </w:r>
        <w:r w:rsidR="00C4714A">
          <w:rPr>
            <w:webHidden/>
          </w:rPr>
          <w:fldChar w:fldCharType="end"/>
        </w:r>
      </w:hyperlink>
    </w:p>
    <w:p w14:paraId="0B5F36DA" w14:textId="33C9F23A"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2" w:history="1">
        <w:r w:rsidR="00C4714A" w:rsidRPr="007530C2">
          <w:rPr>
            <w:rStyle w:val="Hyperlink"/>
          </w:rPr>
          <w:t>4.2.3</w:t>
        </w:r>
        <w:r w:rsidR="00C4714A">
          <w:rPr>
            <w:rFonts w:asciiTheme="minorHAnsi" w:eastAsiaTheme="minorEastAsia" w:hAnsiTheme="minorHAnsi" w:cstheme="minorBidi"/>
            <w:snapToGrid/>
            <w:kern w:val="2"/>
            <w:sz w:val="21"/>
            <w:lang w:eastAsia="zh-CN"/>
          </w:rPr>
          <w:tab/>
        </w:r>
        <w:r w:rsidR="00C4714A" w:rsidRPr="007530C2">
          <w:rPr>
            <w:rStyle w:val="Hyperlink"/>
          </w:rPr>
          <w:t>Potential risk of niraparib</w:t>
        </w:r>
        <w:r w:rsidR="00C4714A">
          <w:rPr>
            <w:webHidden/>
          </w:rPr>
          <w:tab/>
        </w:r>
        <w:r w:rsidR="00C4714A">
          <w:rPr>
            <w:webHidden/>
          </w:rPr>
          <w:fldChar w:fldCharType="begin"/>
        </w:r>
        <w:r w:rsidR="00C4714A">
          <w:rPr>
            <w:webHidden/>
          </w:rPr>
          <w:instrText xml:space="preserve"> PAGEREF _Toc98358632 \h </w:instrText>
        </w:r>
        <w:r w:rsidR="00C4714A">
          <w:rPr>
            <w:webHidden/>
          </w:rPr>
        </w:r>
        <w:r w:rsidR="00C4714A">
          <w:rPr>
            <w:webHidden/>
          </w:rPr>
          <w:fldChar w:fldCharType="separate"/>
        </w:r>
        <w:r w:rsidR="00C4714A">
          <w:rPr>
            <w:webHidden/>
          </w:rPr>
          <w:t>32</w:t>
        </w:r>
        <w:r w:rsidR="00C4714A">
          <w:rPr>
            <w:webHidden/>
          </w:rPr>
          <w:fldChar w:fldCharType="end"/>
        </w:r>
      </w:hyperlink>
    </w:p>
    <w:p w14:paraId="5EC7F03B" w14:textId="098393E6"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3" w:history="1">
        <w:r w:rsidR="00C4714A" w:rsidRPr="007530C2">
          <w:rPr>
            <w:rStyle w:val="Hyperlink"/>
          </w:rPr>
          <w:t>4.2.4</w:t>
        </w:r>
        <w:r w:rsidR="00C4714A">
          <w:rPr>
            <w:rFonts w:asciiTheme="minorHAnsi" w:eastAsiaTheme="minorEastAsia" w:hAnsiTheme="minorHAnsi" w:cstheme="minorBidi"/>
            <w:snapToGrid/>
            <w:kern w:val="2"/>
            <w:sz w:val="21"/>
            <w:lang w:eastAsia="zh-CN"/>
          </w:rPr>
          <w:tab/>
        </w:r>
        <w:r w:rsidR="00C4714A" w:rsidRPr="007530C2">
          <w:rPr>
            <w:rStyle w:val="Hyperlink"/>
          </w:rPr>
          <w:t>Packaging and labeling</w:t>
        </w:r>
        <w:r w:rsidR="00C4714A">
          <w:rPr>
            <w:webHidden/>
          </w:rPr>
          <w:tab/>
        </w:r>
        <w:r w:rsidR="00C4714A">
          <w:rPr>
            <w:webHidden/>
          </w:rPr>
          <w:fldChar w:fldCharType="begin"/>
        </w:r>
        <w:r w:rsidR="00C4714A">
          <w:rPr>
            <w:webHidden/>
          </w:rPr>
          <w:instrText xml:space="preserve"> PAGEREF _Toc98358633 \h </w:instrText>
        </w:r>
        <w:r w:rsidR="00C4714A">
          <w:rPr>
            <w:webHidden/>
          </w:rPr>
        </w:r>
        <w:r w:rsidR="00C4714A">
          <w:rPr>
            <w:webHidden/>
          </w:rPr>
          <w:fldChar w:fldCharType="separate"/>
        </w:r>
        <w:r w:rsidR="00C4714A">
          <w:rPr>
            <w:webHidden/>
          </w:rPr>
          <w:t>32</w:t>
        </w:r>
        <w:r w:rsidR="00C4714A">
          <w:rPr>
            <w:webHidden/>
          </w:rPr>
          <w:fldChar w:fldCharType="end"/>
        </w:r>
      </w:hyperlink>
    </w:p>
    <w:p w14:paraId="3757F9A0" w14:textId="0D848B21"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4" w:history="1">
        <w:r w:rsidR="00C4714A" w:rsidRPr="007530C2">
          <w:rPr>
            <w:rStyle w:val="Hyperlink"/>
          </w:rPr>
          <w:t>4.2.5</w:t>
        </w:r>
        <w:r w:rsidR="00C4714A">
          <w:rPr>
            <w:rFonts w:asciiTheme="minorHAnsi" w:eastAsiaTheme="minorEastAsia" w:hAnsiTheme="minorHAnsi" w:cstheme="minorBidi"/>
            <w:snapToGrid/>
            <w:kern w:val="2"/>
            <w:sz w:val="21"/>
            <w:lang w:eastAsia="zh-CN"/>
          </w:rPr>
          <w:tab/>
        </w:r>
        <w:r w:rsidR="00C4714A" w:rsidRPr="007530C2">
          <w:rPr>
            <w:rStyle w:val="Hyperlink"/>
          </w:rPr>
          <w:t>Handling and destruction</w:t>
        </w:r>
        <w:r w:rsidR="00C4714A">
          <w:rPr>
            <w:webHidden/>
          </w:rPr>
          <w:tab/>
        </w:r>
        <w:r w:rsidR="00C4714A">
          <w:rPr>
            <w:webHidden/>
          </w:rPr>
          <w:fldChar w:fldCharType="begin"/>
        </w:r>
        <w:r w:rsidR="00C4714A">
          <w:rPr>
            <w:webHidden/>
          </w:rPr>
          <w:instrText xml:space="preserve"> PAGEREF _Toc98358634 \h </w:instrText>
        </w:r>
        <w:r w:rsidR="00C4714A">
          <w:rPr>
            <w:webHidden/>
          </w:rPr>
        </w:r>
        <w:r w:rsidR="00C4714A">
          <w:rPr>
            <w:webHidden/>
          </w:rPr>
          <w:fldChar w:fldCharType="separate"/>
        </w:r>
        <w:r w:rsidR="00C4714A">
          <w:rPr>
            <w:webHidden/>
          </w:rPr>
          <w:t>32</w:t>
        </w:r>
        <w:r w:rsidR="00C4714A">
          <w:rPr>
            <w:webHidden/>
          </w:rPr>
          <w:fldChar w:fldCharType="end"/>
        </w:r>
      </w:hyperlink>
    </w:p>
    <w:p w14:paraId="45104212" w14:textId="2B0A884F"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35" w:history="1">
        <w:r w:rsidR="00C4714A" w:rsidRPr="007530C2">
          <w:rPr>
            <w:rStyle w:val="Hyperlink"/>
          </w:rPr>
          <w:t>4.2.6</w:t>
        </w:r>
        <w:r w:rsidR="00C4714A">
          <w:rPr>
            <w:rFonts w:asciiTheme="minorHAnsi" w:eastAsiaTheme="minorEastAsia" w:hAnsiTheme="minorHAnsi" w:cstheme="minorBidi"/>
            <w:snapToGrid/>
            <w:kern w:val="2"/>
            <w:sz w:val="21"/>
            <w:lang w:eastAsia="zh-CN"/>
          </w:rPr>
          <w:tab/>
        </w:r>
        <w:r w:rsidR="00C4714A" w:rsidRPr="007530C2">
          <w:rPr>
            <w:rStyle w:val="Hyperlink"/>
          </w:rPr>
          <w:t>Prior and concomitant medications</w:t>
        </w:r>
        <w:r w:rsidR="00C4714A">
          <w:rPr>
            <w:webHidden/>
          </w:rPr>
          <w:tab/>
        </w:r>
        <w:r w:rsidR="00C4714A">
          <w:rPr>
            <w:webHidden/>
          </w:rPr>
          <w:fldChar w:fldCharType="begin"/>
        </w:r>
        <w:r w:rsidR="00C4714A">
          <w:rPr>
            <w:webHidden/>
          </w:rPr>
          <w:instrText xml:space="preserve"> PAGEREF _Toc98358635 \h </w:instrText>
        </w:r>
        <w:r w:rsidR="00C4714A">
          <w:rPr>
            <w:webHidden/>
          </w:rPr>
        </w:r>
        <w:r w:rsidR="00C4714A">
          <w:rPr>
            <w:webHidden/>
          </w:rPr>
          <w:fldChar w:fldCharType="separate"/>
        </w:r>
        <w:r w:rsidR="00C4714A">
          <w:rPr>
            <w:webHidden/>
          </w:rPr>
          <w:t>32</w:t>
        </w:r>
        <w:r w:rsidR="00C4714A">
          <w:rPr>
            <w:webHidden/>
          </w:rPr>
          <w:fldChar w:fldCharType="end"/>
        </w:r>
      </w:hyperlink>
    </w:p>
    <w:p w14:paraId="1BC3894E" w14:textId="0EE59C0F" w:rsidR="00C4714A" w:rsidRDefault="00FF5B24">
      <w:pPr>
        <w:pStyle w:val="TOC2"/>
        <w:rPr>
          <w:rFonts w:asciiTheme="minorHAnsi" w:eastAsiaTheme="minorEastAsia" w:hAnsiTheme="minorHAnsi" w:cstheme="minorBidi"/>
          <w:snapToGrid/>
          <w:kern w:val="2"/>
          <w:sz w:val="21"/>
          <w:lang w:eastAsia="zh-CN"/>
        </w:rPr>
      </w:pPr>
      <w:hyperlink w:anchor="_Toc98358636" w:history="1">
        <w:r w:rsidR="00C4714A" w:rsidRPr="007530C2">
          <w:rPr>
            <w:rStyle w:val="Hyperlink"/>
          </w:rPr>
          <w:t>4.3</w:t>
        </w:r>
        <w:r w:rsidR="00C4714A">
          <w:rPr>
            <w:rFonts w:asciiTheme="minorHAnsi" w:eastAsiaTheme="minorEastAsia" w:hAnsiTheme="minorHAnsi" w:cstheme="minorBidi"/>
            <w:snapToGrid/>
            <w:kern w:val="2"/>
            <w:sz w:val="21"/>
            <w:lang w:eastAsia="zh-CN"/>
          </w:rPr>
          <w:tab/>
        </w:r>
        <w:r w:rsidR="00C4714A" w:rsidRPr="007530C2">
          <w:rPr>
            <w:rStyle w:val="Hyperlink"/>
          </w:rPr>
          <w:t>Dose modification of study drugs</w:t>
        </w:r>
        <w:r w:rsidR="00C4714A">
          <w:rPr>
            <w:webHidden/>
          </w:rPr>
          <w:tab/>
        </w:r>
        <w:r w:rsidR="00C4714A">
          <w:rPr>
            <w:webHidden/>
          </w:rPr>
          <w:fldChar w:fldCharType="begin"/>
        </w:r>
        <w:r w:rsidR="00C4714A">
          <w:rPr>
            <w:webHidden/>
          </w:rPr>
          <w:instrText xml:space="preserve"> PAGEREF _Toc98358636 \h </w:instrText>
        </w:r>
        <w:r w:rsidR="00C4714A">
          <w:rPr>
            <w:webHidden/>
          </w:rPr>
        </w:r>
        <w:r w:rsidR="00C4714A">
          <w:rPr>
            <w:webHidden/>
          </w:rPr>
          <w:fldChar w:fldCharType="separate"/>
        </w:r>
        <w:r w:rsidR="00C4714A">
          <w:rPr>
            <w:webHidden/>
          </w:rPr>
          <w:t>34</w:t>
        </w:r>
        <w:r w:rsidR="00C4714A">
          <w:rPr>
            <w:webHidden/>
          </w:rPr>
          <w:fldChar w:fldCharType="end"/>
        </w:r>
      </w:hyperlink>
    </w:p>
    <w:p w14:paraId="377723DE" w14:textId="524D24E1" w:rsidR="00C4714A" w:rsidRDefault="00FF5B24">
      <w:pPr>
        <w:pStyle w:val="TOC1"/>
        <w:rPr>
          <w:rFonts w:asciiTheme="minorHAnsi" w:eastAsiaTheme="minorEastAsia" w:hAnsiTheme="minorHAnsi" w:cstheme="minorBidi"/>
          <w:bCs w:val="0"/>
          <w:snapToGrid/>
          <w:kern w:val="2"/>
          <w:sz w:val="21"/>
          <w:lang w:eastAsia="zh-CN"/>
        </w:rPr>
      </w:pPr>
      <w:hyperlink w:anchor="_Toc98358637" w:history="1">
        <w:r w:rsidR="00C4714A" w:rsidRPr="007530C2">
          <w:rPr>
            <w:rStyle w:val="Hyperlink"/>
          </w:rPr>
          <w:t>5</w:t>
        </w:r>
        <w:r w:rsidR="00C4714A">
          <w:rPr>
            <w:rFonts w:asciiTheme="minorHAnsi" w:eastAsiaTheme="minorEastAsia" w:hAnsiTheme="minorHAnsi" w:cstheme="minorBidi"/>
            <w:bCs w:val="0"/>
            <w:snapToGrid/>
            <w:kern w:val="2"/>
            <w:sz w:val="21"/>
            <w:lang w:eastAsia="zh-CN"/>
          </w:rPr>
          <w:tab/>
        </w:r>
        <w:r w:rsidR="00C4714A" w:rsidRPr="007530C2">
          <w:rPr>
            <w:rStyle w:val="Hyperlink"/>
          </w:rPr>
          <w:t>Hypotheses and Statistical Method</w:t>
        </w:r>
        <w:r w:rsidR="00C4714A">
          <w:rPr>
            <w:webHidden/>
          </w:rPr>
          <w:tab/>
        </w:r>
        <w:r w:rsidR="00C4714A">
          <w:rPr>
            <w:webHidden/>
          </w:rPr>
          <w:fldChar w:fldCharType="begin"/>
        </w:r>
        <w:r w:rsidR="00C4714A">
          <w:rPr>
            <w:webHidden/>
          </w:rPr>
          <w:instrText xml:space="preserve"> PAGEREF _Toc98358637 \h </w:instrText>
        </w:r>
        <w:r w:rsidR="00C4714A">
          <w:rPr>
            <w:webHidden/>
          </w:rPr>
        </w:r>
        <w:r w:rsidR="00C4714A">
          <w:rPr>
            <w:webHidden/>
          </w:rPr>
          <w:fldChar w:fldCharType="separate"/>
        </w:r>
        <w:r w:rsidR="00C4714A">
          <w:rPr>
            <w:webHidden/>
          </w:rPr>
          <w:t>40</w:t>
        </w:r>
        <w:r w:rsidR="00C4714A">
          <w:rPr>
            <w:webHidden/>
          </w:rPr>
          <w:fldChar w:fldCharType="end"/>
        </w:r>
      </w:hyperlink>
    </w:p>
    <w:p w14:paraId="70A7CDC4" w14:textId="4F88D3D6" w:rsidR="00C4714A" w:rsidRDefault="00FF5B24">
      <w:pPr>
        <w:pStyle w:val="TOC2"/>
        <w:rPr>
          <w:rFonts w:asciiTheme="minorHAnsi" w:eastAsiaTheme="minorEastAsia" w:hAnsiTheme="minorHAnsi" w:cstheme="minorBidi"/>
          <w:snapToGrid/>
          <w:kern w:val="2"/>
          <w:sz w:val="21"/>
          <w:lang w:eastAsia="zh-CN"/>
        </w:rPr>
      </w:pPr>
      <w:hyperlink w:anchor="_Toc98358638" w:history="1">
        <w:r w:rsidR="00C4714A" w:rsidRPr="007530C2">
          <w:rPr>
            <w:rStyle w:val="Hyperlink"/>
          </w:rPr>
          <w:t>5.1</w:t>
        </w:r>
        <w:r w:rsidR="00C4714A">
          <w:rPr>
            <w:rFonts w:asciiTheme="minorHAnsi" w:eastAsiaTheme="minorEastAsia" w:hAnsiTheme="minorHAnsi" w:cstheme="minorBidi"/>
            <w:snapToGrid/>
            <w:kern w:val="2"/>
            <w:sz w:val="21"/>
            <w:lang w:eastAsia="zh-CN"/>
          </w:rPr>
          <w:tab/>
        </w:r>
        <w:r w:rsidR="00C4714A" w:rsidRPr="007530C2">
          <w:rPr>
            <w:rStyle w:val="Hyperlink"/>
          </w:rPr>
          <w:t>Safety Analysis</w:t>
        </w:r>
        <w:r w:rsidR="00C4714A">
          <w:rPr>
            <w:webHidden/>
          </w:rPr>
          <w:tab/>
        </w:r>
        <w:r w:rsidR="00C4714A">
          <w:rPr>
            <w:webHidden/>
          </w:rPr>
          <w:fldChar w:fldCharType="begin"/>
        </w:r>
        <w:r w:rsidR="00C4714A">
          <w:rPr>
            <w:webHidden/>
          </w:rPr>
          <w:instrText xml:space="preserve"> PAGEREF _Toc98358638 \h </w:instrText>
        </w:r>
        <w:r w:rsidR="00C4714A">
          <w:rPr>
            <w:webHidden/>
          </w:rPr>
        </w:r>
        <w:r w:rsidR="00C4714A">
          <w:rPr>
            <w:webHidden/>
          </w:rPr>
          <w:fldChar w:fldCharType="separate"/>
        </w:r>
        <w:r w:rsidR="00C4714A">
          <w:rPr>
            <w:webHidden/>
          </w:rPr>
          <w:t>41</w:t>
        </w:r>
        <w:r w:rsidR="00C4714A">
          <w:rPr>
            <w:webHidden/>
          </w:rPr>
          <w:fldChar w:fldCharType="end"/>
        </w:r>
      </w:hyperlink>
    </w:p>
    <w:p w14:paraId="708DDB66" w14:textId="1C081DF4" w:rsidR="00C4714A" w:rsidRDefault="00FF5B24">
      <w:pPr>
        <w:pStyle w:val="TOC2"/>
        <w:rPr>
          <w:rFonts w:asciiTheme="minorHAnsi" w:eastAsiaTheme="minorEastAsia" w:hAnsiTheme="minorHAnsi" w:cstheme="minorBidi"/>
          <w:snapToGrid/>
          <w:kern w:val="2"/>
          <w:sz w:val="21"/>
          <w:lang w:eastAsia="zh-CN"/>
        </w:rPr>
      </w:pPr>
      <w:hyperlink w:anchor="_Toc98358639" w:history="1">
        <w:r w:rsidR="00C4714A" w:rsidRPr="007530C2">
          <w:rPr>
            <w:rStyle w:val="Hyperlink"/>
          </w:rPr>
          <w:t>5.2</w:t>
        </w:r>
        <w:r w:rsidR="00C4714A">
          <w:rPr>
            <w:rFonts w:asciiTheme="minorHAnsi" w:eastAsiaTheme="minorEastAsia" w:hAnsiTheme="minorHAnsi" w:cstheme="minorBidi"/>
            <w:snapToGrid/>
            <w:kern w:val="2"/>
            <w:sz w:val="21"/>
            <w:lang w:eastAsia="zh-CN"/>
          </w:rPr>
          <w:tab/>
        </w:r>
        <w:r w:rsidR="00C4714A" w:rsidRPr="007530C2">
          <w:rPr>
            <w:rStyle w:val="Hyperlink"/>
          </w:rPr>
          <w:t>Missing Data n/a</w:t>
        </w:r>
        <w:r w:rsidR="00C4714A">
          <w:rPr>
            <w:webHidden/>
          </w:rPr>
          <w:tab/>
        </w:r>
        <w:r w:rsidR="00C4714A">
          <w:rPr>
            <w:webHidden/>
          </w:rPr>
          <w:fldChar w:fldCharType="begin"/>
        </w:r>
        <w:r w:rsidR="00C4714A">
          <w:rPr>
            <w:webHidden/>
          </w:rPr>
          <w:instrText xml:space="preserve"> PAGEREF _Toc98358639 \h </w:instrText>
        </w:r>
        <w:r w:rsidR="00C4714A">
          <w:rPr>
            <w:webHidden/>
          </w:rPr>
        </w:r>
        <w:r w:rsidR="00C4714A">
          <w:rPr>
            <w:webHidden/>
          </w:rPr>
          <w:fldChar w:fldCharType="separate"/>
        </w:r>
        <w:r w:rsidR="00C4714A">
          <w:rPr>
            <w:webHidden/>
          </w:rPr>
          <w:t>41</w:t>
        </w:r>
        <w:r w:rsidR="00C4714A">
          <w:rPr>
            <w:webHidden/>
          </w:rPr>
          <w:fldChar w:fldCharType="end"/>
        </w:r>
      </w:hyperlink>
    </w:p>
    <w:p w14:paraId="0D26DA5C" w14:textId="488FEC9E" w:rsidR="00C4714A" w:rsidRDefault="00FF5B24">
      <w:pPr>
        <w:pStyle w:val="TOC2"/>
        <w:rPr>
          <w:rFonts w:asciiTheme="minorHAnsi" w:eastAsiaTheme="minorEastAsia" w:hAnsiTheme="minorHAnsi" w:cstheme="minorBidi"/>
          <w:snapToGrid/>
          <w:kern w:val="2"/>
          <w:sz w:val="21"/>
          <w:lang w:eastAsia="zh-CN"/>
        </w:rPr>
      </w:pPr>
      <w:hyperlink w:anchor="_Toc98358640" w:history="1">
        <w:r w:rsidR="00C4714A" w:rsidRPr="007530C2">
          <w:rPr>
            <w:rStyle w:val="Hyperlink"/>
          </w:rPr>
          <w:t>5.3</w:t>
        </w:r>
        <w:r w:rsidR="00C4714A">
          <w:rPr>
            <w:rFonts w:asciiTheme="minorHAnsi" w:eastAsiaTheme="minorEastAsia" w:hAnsiTheme="minorHAnsi" w:cstheme="minorBidi"/>
            <w:snapToGrid/>
            <w:kern w:val="2"/>
            <w:sz w:val="21"/>
            <w:lang w:eastAsia="zh-CN"/>
          </w:rPr>
          <w:tab/>
        </w:r>
        <w:r w:rsidR="00C4714A" w:rsidRPr="007530C2">
          <w:rPr>
            <w:rStyle w:val="Hyperlink"/>
          </w:rPr>
          <w:t>Interim Analysis n/a</w:t>
        </w:r>
        <w:r w:rsidR="00C4714A">
          <w:rPr>
            <w:webHidden/>
          </w:rPr>
          <w:tab/>
        </w:r>
        <w:r w:rsidR="00C4714A">
          <w:rPr>
            <w:webHidden/>
          </w:rPr>
          <w:fldChar w:fldCharType="begin"/>
        </w:r>
        <w:r w:rsidR="00C4714A">
          <w:rPr>
            <w:webHidden/>
          </w:rPr>
          <w:instrText xml:space="preserve"> PAGEREF _Toc98358640 \h </w:instrText>
        </w:r>
        <w:r w:rsidR="00C4714A">
          <w:rPr>
            <w:webHidden/>
          </w:rPr>
        </w:r>
        <w:r w:rsidR="00C4714A">
          <w:rPr>
            <w:webHidden/>
          </w:rPr>
          <w:fldChar w:fldCharType="separate"/>
        </w:r>
        <w:r w:rsidR="00C4714A">
          <w:rPr>
            <w:webHidden/>
          </w:rPr>
          <w:t>41</w:t>
        </w:r>
        <w:r w:rsidR="00C4714A">
          <w:rPr>
            <w:webHidden/>
          </w:rPr>
          <w:fldChar w:fldCharType="end"/>
        </w:r>
      </w:hyperlink>
    </w:p>
    <w:p w14:paraId="2693AA1B" w14:textId="317147DB" w:rsidR="00C4714A" w:rsidRDefault="00FF5B24">
      <w:pPr>
        <w:pStyle w:val="TOC1"/>
        <w:rPr>
          <w:rFonts w:asciiTheme="minorHAnsi" w:eastAsiaTheme="minorEastAsia" w:hAnsiTheme="minorHAnsi" w:cstheme="minorBidi"/>
          <w:bCs w:val="0"/>
          <w:snapToGrid/>
          <w:kern w:val="2"/>
          <w:sz w:val="21"/>
          <w:lang w:eastAsia="zh-CN"/>
        </w:rPr>
      </w:pPr>
      <w:hyperlink w:anchor="_Toc98358641" w:history="1">
        <w:r w:rsidR="00C4714A" w:rsidRPr="007530C2">
          <w:rPr>
            <w:rStyle w:val="Hyperlink"/>
          </w:rPr>
          <w:t>6</w:t>
        </w:r>
        <w:r w:rsidR="00C4714A">
          <w:rPr>
            <w:rFonts w:asciiTheme="minorHAnsi" w:eastAsiaTheme="minorEastAsia" w:hAnsiTheme="minorHAnsi" w:cstheme="minorBidi"/>
            <w:bCs w:val="0"/>
            <w:snapToGrid/>
            <w:kern w:val="2"/>
            <w:sz w:val="21"/>
            <w:lang w:eastAsia="zh-CN"/>
          </w:rPr>
          <w:tab/>
        </w:r>
        <w:r w:rsidR="00C4714A" w:rsidRPr="007530C2">
          <w:rPr>
            <w:rStyle w:val="Hyperlink"/>
          </w:rPr>
          <w:t>Ethical, Legal and Administrative Provisions</w:t>
        </w:r>
        <w:r w:rsidR="00C4714A">
          <w:rPr>
            <w:webHidden/>
          </w:rPr>
          <w:tab/>
        </w:r>
        <w:r w:rsidR="00C4714A">
          <w:rPr>
            <w:webHidden/>
          </w:rPr>
          <w:fldChar w:fldCharType="begin"/>
        </w:r>
        <w:r w:rsidR="00C4714A">
          <w:rPr>
            <w:webHidden/>
          </w:rPr>
          <w:instrText xml:space="preserve"> PAGEREF _Toc98358641 \h </w:instrText>
        </w:r>
        <w:r w:rsidR="00C4714A">
          <w:rPr>
            <w:webHidden/>
          </w:rPr>
        </w:r>
        <w:r w:rsidR="00C4714A">
          <w:rPr>
            <w:webHidden/>
          </w:rPr>
          <w:fldChar w:fldCharType="separate"/>
        </w:r>
        <w:r w:rsidR="00C4714A">
          <w:rPr>
            <w:webHidden/>
          </w:rPr>
          <w:t>41</w:t>
        </w:r>
        <w:r w:rsidR="00C4714A">
          <w:rPr>
            <w:webHidden/>
          </w:rPr>
          <w:fldChar w:fldCharType="end"/>
        </w:r>
      </w:hyperlink>
    </w:p>
    <w:p w14:paraId="09F18782" w14:textId="3AA8A401" w:rsidR="00C4714A" w:rsidRDefault="00FF5B24">
      <w:pPr>
        <w:pStyle w:val="TOC2"/>
        <w:rPr>
          <w:rFonts w:asciiTheme="minorHAnsi" w:eastAsiaTheme="minorEastAsia" w:hAnsiTheme="minorHAnsi" w:cstheme="minorBidi"/>
          <w:snapToGrid/>
          <w:kern w:val="2"/>
          <w:sz w:val="21"/>
          <w:lang w:eastAsia="zh-CN"/>
        </w:rPr>
      </w:pPr>
      <w:hyperlink w:anchor="_Toc98358642" w:history="1">
        <w:r w:rsidR="00C4714A" w:rsidRPr="007530C2">
          <w:rPr>
            <w:rStyle w:val="Hyperlink"/>
          </w:rPr>
          <w:t>6.1</w:t>
        </w:r>
        <w:r w:rsidR="00C4714A">
          <w:rPr>
            <w:rFonts w:asciiTheme="minorHAnsi" w:eastAsiaTheme="minorEastAsia" w:hAnsiTheme="minorHAnsi" w:cstheme="minorBidi"/>
            <w:snapToGrid/>
            <w:kern w:val="2"/>
            <w:sz w:val="21"/>
            <w:lang w:eastAsia="zh-CN"/>
          </w:rPr>
          <w:tab/>
        </w:r>
        <w:r w:rsidR="00C4714A" w:rsidRPr="007530C2">
          <w:rPr>
            <w:rStyle w:val="Hyperlink"/>
          </w:rPr>
          <w:t>GCP</w:t>
        </w:r>
        <w:r w:rsidR="00C4714A">
          <w:rPr>
            <w:webHidden/>
          </w:rPr>
          <w:tab/>
        </w:r>
        <w:r w:rsidR="00C4714A">
          <w:rPr>
            <w:webHidden/>
          </w:rPr>
          <w:fldChar w:fldCharType="begin"/>
        </w:r>
        <w:r w:rsidR="00C4714A">
          <w:rPr>
            <w:webHidden/>
          </w:rPr>
          <w:instrText xml:space="preserve"> PAGEREF _Toc98358642 \h </w:instrText>
        </w:r>
        <w:r w:rsidR="00C4714A">
          <w:rPr>
            <w:webHidden/>
          </w:rPr>
        </w:r>
        <w:r w:rsidR="00C4714A">
          <w:rPr>
            <w:webHidden/>
          </w:rPr>
          <w:fldChar w:fldCharType="separate"/>
        </w:r>
        <w:r w:rsidR="00C4714A">
          <w:rPr>
            <w:webHidden/>
          </w:rPr>
          <w:t>41</w:t>
        </w:r>
        <w:r w:rsidR="00C4714A">
          <w:rPr>
            <w:webHidden/>
          </w:rPr>
          <w:fldChar w:fldCharType="end"/>
        </w:r>
      </w:hyperlink>
    </w:p>
    <w:p w14:paraId="11E83476" w14:textId="5F9548B7" w:rsidR="00C4714A" w:rsidRDefault="00FF5B24">
      <w:pPr>
        <w:pStyle w:val="TOC2"/>
        <w:rPr>
          <w:rFonts w:asciiTheme="minorHAnsi" w:eastAsiaTheme="minorEastAsia" w:hAnsiTheme="minorHAnsi" w:cstheme="minorBidi"/>
          <w:snapToGrid/>
          <w:kern w:val="2"/>
          <w:sz w:val="21"/>
          <w:lang w:eastAsia="zh-CN"/>
        </w:rPr>
      </w:pPr>
      <w:hyperlink w:anchor="_Toc98358643" w:history="1">
        <w:r w:rsidR="00C4714A" w:rsidRPr="007530C2">
          <w:rPr>
            <w:rStyle w:val="Hyperlink"/>
          </w:rPr>
          <w:t>6.2</w:t>
        </w:r>
        <w:r w:rsidR="00C4714A">
          <w:rPr>
            <w:rFonts w:asciiTheme="minorHAnsi" w:eastAsiaTheme="minorEastAsia" w:hAnsiTheme="minorHAnsi" w:cstheme="minorBidi"/>
            <w:snapToGrid/>
            <w:kern w:val="2"/>
            <w:sz w:val="21"/>
            <w:lang w:eastAsia="zh-CN"/>
          </w:rPr>
          <w:tab/>
        </w:r>
        <w:r w:rsidR="00C4714A" w:rsidRPr="007530C2">
          <w:rPr>
            <w:rStyle w:val="Hyperlink"/>
          </w:rPr>
          <w:t>Informed Consent</w:t>
        </w:r>
        <w:r w:rsidR="00C4714A">
          <w:rPr>
            <w:webHidden/>
          </w:rPr>
          <w:tab/>
        </w:r>
        <w:r w:rsidR="00C4714A">
          <w:rPr>
            <w:webHidden/>
          </w:rPr>
          <w:fldChar w:fldCharType="begin"/>
        </w:r>
        <w:r w:rsidR="00C4714A">
          <w:rPr>
            <w:webHidden/>
          </w:rPr>
          <w:instrText xml:space="preserve"> PAGEREF _Toc98358643 \h </w:instrText>
        </w:r>
        <w:r w:rsidR="00C4714A">
          <w:rPr>
            <w:webHidden/>
          </w:rPr>
        </w:r>
        <w:r w:rsidR="00C4714A">
          <w:rPr>
            <w:webHidden/>
          </w:rPr>
          <w:fldChar w:fldCharType="separate"/>
        </w:r>
        <w:r w:rsidR="00C4714A">
          <w:rPr>
            <w:webHidden/>
          </w:rPr>
          <w:t>41</w:t>
        </w:r>
        <w:r w:rsidR="00C4714A">
          <w:rPr>
            <w:webHidden/>
          </w:rPr>
          <w:fldChar w:fldCharType="end"/>
        </w:r>
      </w:hyperlink>
    </w:p>
    <w:p w14:paraId="1431491E" w14:textId="20B267D4" w:rsidR="00C4714A" w:rsidRDefault="00FF5B24">
      <w:pPr>
        <w:pStyle w:val="TOC2"/>
        <w:rPr>
          <w:rFonts w:asciiTheme="minorHAnsi" w:eastAsiaTheme="minorEastAsia" w:hAnsiTheme="minorHAnsi" w:cstheme="minorBidi"/>
          <w:snapToGrid/>
          <w:kern w:val="2"/>
          <w:sz w:val="21"/>
          <w:lang w:eastAsia="zh-CN"/>
        </w:rPr>
      </w:pPr>
      <w:hyperlink w:anchor="_Toc98358644" w:history="1">
        <w:r w:rsidR="00C4714A" w:rsidRPr="007530C2">
          <w:rPr>
            <w:rStyle w:val="Hyperlink"/>
          </w:rPr>
          <w:t>6.3</w:t>
        </w:r>
        <w:r w:rsidR="00C4714A">
          <w:rPr>
            <w:rFonts w:asciiTheme="minorHAnsi" w:eastAsiaTheme="minorEastAsia" w:hAnsiTheme="minorHAnsi" w:cstheme="minorBidi"/>
            <w:snapToGrid/>
            <w:kern w:val="2"/>
            <w:sz w:val="21"/>
            <w:lang w:eastAsia="zh-CN"/>
          </w:rPr>
          <w:tab/>
        </w:r>
        <w:r w:rsidR="00C4714A" w:rsidRPr="007530C2">
          <w:rPr>
            <w:rStyle w:val="Hyperlink"/>
          </w:rPr>
          <w:t>Approval and Amendment of Protocol</w:t>
        </w:r>
        <w:r w:rsidR="00C4714A">
          <w:rPr>
            <w:webHidden/>
          </w:rPr>
          <w:tab/>
        </w:r>
        <w:r w:rsidR="00C4714A">
          <w:rPr>
            <w:webHidden/>
          </w:rPr>
          <w:fldChar w:fldCharType="begin"/>
        </w:r>
        <w:r w:rsidR="00C4714A">
          <w:rPr>
            <w:webHidden/>
          </w:rPr>
          <w:instrText xml:space="preserve"> PAGEREF _Toc98358644 \h </w:instrText>
        </w:r>
        <w:r w:rsidR="00C4714A">
          <w:rPr>
            <w:webHidden/>
          </w:rPr>
        </w:r>
        <w:r w:rsidR="00C4714A">
          <w:rPr>
            <w:webHidden/>
          </w:rPr>
          <w:fldChar w:fldCharType="separate"/>
        </w:r>
        <w:r w:rsidR="00C4714A">
          <w:rPr>
            <w:webHidden/>
          </w:rPr>
          <w:t>42</w:t>
        </w:r>
        <w:r w:rsidR="00C4714A">
          <w:rPr>
            <w:webHidden/>
          </w:rPr>
          <w:fldChar w:fldCharType="end"/>
        </w:r>
      </w:hyperlink>
    </w:p>
    <w:p w14:paraId="41CECADB" w14:textId="11ED460D" w:rsidR="00C4714A" w:rsidRDefault="00FF5B24">
      <w:pPr>
        <w:pStyle w:val="TOC2"/>
        <w:rPr>
          <w:rFonts w:asciiTheme="minorHAnsi" w:eastAsiaTheme="minorEastAsia" w:hAnsiTheme="minorHAnsi" w:cstheme="minorBidi"/>
          <w:snapToGrid/>
          <w:kern w:val="2"/>
          <w:sz w:val="21"/>
          <w:lang w:eastAsia="zh-CN"/>
        </w:rPr>
      </w:pPr>
      <w:hyperlink w:anchor="_Toc98358645" w:history="1">
        <w:r w:rsidR="00C4714A" w:rsidRPr="007530C2">
          <w:rPr>
            <w:rStyle w:val="Hyperlink"/>
          </w:rPr>
          <w:t>6.4</w:t>
        </w:r>
        <w:r w:rsidR="00C4714A">
          <w:rPr>
            <w:rFonts w:asciiTheme="minorHAnsi" w:eastAsiaTheme="minorEastAsia" w:hAnsiTheme="minorHAnsi" w:cstheme="minorBidi"/>
            <w:snapToGrid/>
            <w:kern w:val="2"/>
            <w:sz w:val="21"/>
            <w:lang w:eastAsia="zh-CN"/>
          </w:rPr>
          <w:tab/>
        </w:r>
        <w:r w:rsidR="00C4714A" w:rsidRPr="007530C2">
          <w:rPr>
            <w:rStyle w:val="Hyperlink"/>
          </w:rPr>
          <w:t>Confidentiality and Data Protection of Subjects</w:t>
        </w:r>
        <w:r w:rsidR="00C4714A">
          <w:rPr>
            <w:webHidden/>
          </w:rPr>
          <w:tab/>
        </w:r>
        <w:r w:rsidR="00C4714A">
          <w:rPr>
            <w:webHidden/>
          </w:rPr>
          <w:fldChar w:fldCharType="begin"/>
        </w:r>
        <w:r w:rsidR="00C4714A">
          <w:rPr>
            <w:webHidden/>
          </w:rPr>
          <w:instrText xml:space="preserve"> PAGEREF _Toc98358645 \h </w:instrText>
        </w:r>
        <w:r w:rsidR="00C4714A">
          <w:rPr>
            <w:webHidden/>
          </w:rPr>
        </w:r>
        <w:r w:rsidR="00C4714A">
          <w:rPr>
            <w:webHidden/>
          </w:rPr>
          <w:fldChar w:fldCharType="separate"/>
        </w:r>
        <w:r w:rsidR="00C4714A">
          <w:rPr>
            <w:webHidden/>
          </w:rPr>
          <w:t>42</w:t>
        </w:r>
        <w:r w:rsidR="00C4714A">
          <w:rPr>
            <w:webHidden/>
          </w:rPr>
          <w:fldChar w:fldCharType="end"/>
        </w:r>
      </w:hyperlink>
    </w:p>
    <w:p w14:paraId="35490DEC" w14:textId="3B6FF141" w:rsidR="00C4714A" w:rsidRDefault="00FF5B24">
      <w:pPr>
        <w:pStyle w:val="TOC2"/>
        <w:rPr>
          <w:rFonts w:asciiTheme="minorHAnsi" w:eastAsiaTheme="minorEastAsia" w:hAnsiTheme="minorHAnsi" w:cstheme="minorBidi"/>
          <w:snapToGrid/>
          <w:kern w:val="2"/>
          <w:sz w:val="21"/>
          <w:lang w:eastAsia="zh-CN"/>
        </w:rPr>
      </w:pPr>
      <w:hyperlink w:anchor="_Toc98358646" w:history="1">
        <w:r w:rsidR="00C4714A" w:rsidRPr="007530C2">
          <w:rPr>
            <w:rStyle w:val="Hyperlink"/>
          </w:rPr>
          <w:t>6.5</w:t>
        </w:r>
        <w:r w:rsidR="00C4714A">
          <w:rPr>
            <w:rFonts w:asciiTheme="minorHAnsi" w:eastAsiaTheme="minorEastAsia" w:hAnsiTheme="minorHAnsi" w:cstheme="minorBidi"/>
            <w:snapToGrid/>
            <w:kern w:val="2"/>
            <w:sz w:val="21"/>
            <w:lang w:eastAsia="zh-CN"/>
          </w:rPr>
          <w:tab/>
        </w:r>
        <w:r w:rsidR="00C4714A" w:rsidRPr="007530C2">
          <w:rPr>
            <w:rStyle w:val="Hyperlink"/>
          </w:rPr>
          <w:t>Source Data Verification</w:t>
        </w:r>
        <w:r w:rsidR="00C4714A">
          <w:rPr>
            <w:webHidden/>
          </w:rPr>
          <w:tab/>
        </w:r>
        <w:r w:rsidR="00C4714A">
          <w:rPr>
            <w:webHidden/>
          </w:rPr>
          <w:fldChar w:fldCharType="begin"/>
        </w:r>
        <w:r w:rsidR="00C4714A">
          <w:rPr>
            <w:webHidden/>
          </w:rPr>
          <w:instrText xml:space="preserve"> PAGEREF _Toc98358646 \h </w:instrText>
        </w:r>
        <w:r w:rsidR="00C4714A">
          <w:rPr>
            <w:webHidden/>
          </w:rPr>
        </w:r>
        <w:r w:rsidR="00C4714A">
          <w:rPr>
            <w:webHidden/>
          </w:rPr>
          <w:fldChar w:fldCharType="separate"/>
        </w:r>
        <w:r w:rsidR="00C4714A">
          <w:rPr>
            <w:webHidden/>
          </w:rPr>
          <w:t>42</w:t>
        </w:r>
        <w:r w:rsidR="00C4714A">
          <w:rPr>
            <w:webHidden/>
          </w:rPr>
          <w:fldChar w:fldCharType="end"/>
        </w:r>
      </w:hyperlink>
    </w:p>
    <w:p w14:paraId="4EA7F2D2" w14:textId="2A4A945A" w:rsidR="00C4714A" w:rsidRDefault="00FF5B24">
      <w:pPr>
        <w:pStyle w:val="TOC2"/>
        <w:rPr>
          <w:rFonts w:asciiTheme="minorHAnsi" w:eastAsiaTheme="minorEastAsia" w:hAnsiTheme="minorHAnsi" w:cstheme="minorBidi"/>
          <w:snapToGrid/>
          <w:kern w:val="2"/>
          <w:sz w:val="21"/>
          <w:lang w:eastAsia="zh-CN"/>
        </w:rPr>
      </w:pPr>
      <w:hyperlink w:anchor="_Toc98358647" w:history="1">
        <w:r w:rsidR="00C4714A" w:rsidRPr="007530C2">
          <w:rPr>
            <w:rStyle w:val="Hyperlink"/>
          </w:rPr>
          <w:t>6.6</w:t>
        </w:r>
        <w:r w:rsidR="00C4714A">
          <w:rPr>
            <w:rFonts w:asciiTheme="minorHAnsi" w:eastAsiaTheme="minorEastAsia" w:hAnsiTheme="minorHAnsi" w:cstheme="minorBidi"/>
            <w:snapToGrid/>
            <w:kern w:val="2"/>
            <w:sz w:val="21"/>
            <w:lang w:eastAsia="zh-CN"/>
          </w:rPr>
          <w:tab/>
        </w:r>
        <w:r w:rsidR="00C4714A" w:rsidRPr="007530C2">
          <w:rPr>
            <w:rStyle w:val="Hyperlink"/>
          </w:rPr>
          <w:t>Quality Assurance, Review and Approval</w:t>
        </w:r>
        <w:r w:rsidR="00C4714A">
          <w:rPr>
            <w:webHidden/>
          </w:rPr>
          <w:tab/>
        </w:r>
        <w:r w:rsidR="00C4714A">
          <w:rPr>
            <w:webHidden/>
          </w:rPr>
          <w:fldChar w:fldCharType="begin"/>
        </w:r>
        <w:r w:rsidR="00C4714A">
          <w:rPr>
            <w:webHidden/>
          </w:rPr>
          <w:instrText xml:space="preserve"> PAGEREF _Toc98358647 \h </w:instrText>
        </w:r>
        <w:r w:rsidR="00C4714A">
          <w:rPr>
            <w:webHidden/>
          </w:rPr>
        </w:r>
        <w:r w:rsidR="00C4714A">
          <w:rPr>
            <w:webHidden/>
          </w:rPr>
          <w:fldChar w:fldCharType="separate"/>
        </w:r>
        <w:r w:rsidR="00C4714A">
          <w:rPr>
            <w:webHidden/>
          </w:rPr>
          <w:t>42</w:t>
        </w:r>
        <w:r w:rsidR="00C4714A">
          <w:rPr>
            <w:webHidden/>
          </w:rPr>
          <w:fldChar w:fldCharType="end"/>
        </w:r>
      </w:hyperlink>
    </w:p>
    <w:p w14:paraId="1C1B4532" w14:textId="3FCF6CCC" w:rsidR="00C4714A" w:rsidRDefault="00FF5B24">
      <w:pPr>
        <w:pStyle w:val="TOC2"/>
        <w:rPr>
          <w:rFonts w:asciiTheme="minorHAnsi" w:eastAsiaTheme="minorEastAsia" w:hAnsiTheme="minorHAnsi" w:cstheme="minorBidi"/>
          <w:snapToGrid/>
          <w:kern w:val="2"/>
          <w:sz w:val="21"/>
          <w:lang w:eastAsia="zh-CN"/>
        </w:rPr>
      </w:pPr>
      <w:hyperlink w:anchor="_Toc98358648" w:history="1">
        <w:r w:rsidR="00C4714A" w:rsidRPr="007530C2">
          <w:rPr>
            <w:rStyle w:val="Hyperlink"/>
          </w:rPr>
          <w:t>6.7</w:t>
        </w:r>
        <w:r w:rsidR="00C4714A">
          <w:rPr>
            <w:rFonts w:asciiTheme="minorHAnsi" w:eastAsiaTheme="minorEastAsia" w:hAnsiTheme="minorHAnsi" w:cstheme="minorBidi"/>
            <w:snapToGrid/>
            <w:kern w:val="2"/>
            <w:sz w:val="21"/>
            <w:lang w:eastAsia="zh-CN"/>
          </w:rPr>
          <w:tab/>
        </w:r>
        <w:r w:rsidR="00C4714A" w:rsidRPr="007530C2">
          <w:rPr>
            <w:rStyle w:val="Hyperlink"/>
          </w:rPr>
          <w:t>Monitoring</w:t>
        </w:r>
        <w:r w:rsidR="00C4714A">
          <w:rPr>
            <w:webHidden/>
          </w:rPr>
          <w:tab/>
        </w:r>
        <w:r w:rsidR="00C4714A">
          <w:rPr>
            <w:webHidden/>
          </w:rPr>
          <w:fldChar w:fldCharType="begin"/>
        </w:r>
        <w:r w:rsidR="00C4714A">
          <w:rPr>
            <w:webHidden/>
          </w:rPr>
          <w:instrText xml:space="preserve"> PAGEREF _Toc98358648 \h </w:instrText>
        </w:r>
        <w:r w:rsidR="00C4714A">
          <w:rPr>
            <w:webHidden/>
          </w:rPr>
        </w:r>
        <w:r w:rsidR="00C4714A">
          <w:rPr>
            <w:webHidden/>
          </w:rPr>
          <w:fldChar w:fldCharType="separate"/>
        </w:r>
        <w:r w:rsidR="00C4714A">
          <w:rPr>
            <w:webHidden/>
          </w:rPr>
          <w:t>42</w:t>
        </w:r>
        <w:r w:rsidR="00C4714A">
          <w:rPr>
            <w:webHidden/>
          </w:rPr>
          <w:fldChar w:fldCharType="end"/>
        </w:r>
      </w:hyperlink>
    </w:p>
    <w:p w14:paraId="5D3A6003" w14:textId="4C4B8A53" w:rsidR="00C4714A" w:rsidRDefault="00FF5B24">
      <w:pPr>
        <w:pStyle w:val="TOC2"/>
        <w:rPr>
          <w:rFonts w:asciiTheme="minorHAnsi" w:eastAsiaTheme="minorEastAsia" w:hAnsiTheme="minorHAnsi" w:cstheme="minorBidi"/>
          <w:snapToGrid/>
          <w:kern w:val="2"/>
          <w:sz w:val="21"/>
          <w:lang w:eastAsia="zh-CN"/>
        </w:rPr>
      </w:pPr>
      <w:hyperlink w:anchor="_Toc98358649" w:history="1">
        <w:r w:rsidR="00C4714A" w:rsidRPr="007530C2">
          <w:rPr>
            <w:rStyle w:val="Hyperlink"/>
          </w:rPr>
          <w:t>6.8</w:t>
        </w:r>
        <w:r w:rsidR="00C4714A">
          <w:rPr>
            <w:rFonts w:asciiTheme="minorHAnsi" w:eastAsiaTheme="minorEastAsia" w:hAnsiTheme="minorHAnsi" w:cstheme="minorBidi"/>
            <w:snapToGrid/>
            <w:kern w:val="2"/>
            <w:sz w:val="21"/>
            <w:lang w:eastAsia="zh-CN"/>
          </w:rPr>
          <w:tab/>
        </w:r>
        <w:r w:rsidR="00C4714A" w:rsidRPr="007530C2">
          <w:rPr>
            <w:rStyle w:val="Hyperlink"/>
          </w:rPr>
          <w:t>Safety Monitoring and Reporting</w:t>
        </w:r>
        <w:r w:rsidR="00C4714A">
          <w:rPr>
            <w:webHidden/>
          </w:rPr>
          <w:tab/>
        </w:r>
        <w:r w:rsidR="00C4714A">
          <w:rPr>
            <w:webHidden/>
          </w:rPr>
          <w:fldChar w:fldCharType="begin"/>
        </w:r>
        <w:r w:rsidR="00C4714A">
          <w:rPr>
            <w:webHidden/>
          </w:rPr>
          <w:instrText xml:space="preserve"> PAGEREF _Toc98358649 \h </w:instrText>
        </w:r>
        <w:r w:rsidR="00C4714A">
          <w:rPr>
            <w:webHidden/>
          </w:rPr>
        </w:r>
        <w:r w:rsidR="00C4714A">
          <w:rPr>
            <w:webHidden/>
          </w:rPr>
          <w:fldChar w:fldCharType="separate"/>
        </w:r>
        <w:r w:rsidR="00C4714A">
          <w:rPr>
            <w:webHidden/>
          </w:rPr>
          <w:t>43</w:t>
        </w:r>
        <w:r w:rsidR="00C4714A">
          <w:rPr>
            <w:webHidden/>
          </w:rPr>
          <w:fldChar w:fldCharType="end"/>
        </w:r>
      </w:hyperlink>
    </w:p>
    <w:p w14:paraId="23822C8E" w14:textId="045AAB51"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0" w:history="1">
        <w:r w:rsidR="00C4714A" w:rsidRPr="007530C2">
          <w:rPr>
            <w:rStyle w:val="Hyperlink"/>
          </w:rPr>
          <w:t>6.8.1</w:t>
        </w:r>
        <w:r w:rsidR="00C4714A">
          <w:rPr>
            <w:rFonts w:asciiTheme="minorHAnsi" w:eastAsiaTheme="minorEastAsia" w:hAnsiTheme="minorHAnsi" w:cstheme="minorBidi"/>
            <w:snapToGrid/>
            <w:kern w:val="2"/>
            <w:sz w:val="21"/>
            <w:lang w:eastAsia="zh-CN"/>
          </w:rPr>
          <w:tab/>
        </w:r>
        <w:r w:rsidR="00C4714A" w:rsidRPr="007530C2">
          <w:rPr>
            <w:rStyle w:val="Hyperlink"/>
          </w:rPr>
          <w:t>Definition of AEs</w:t>
        </w:r>
        <w:r w:rsidR="00C4714A">
          <w:rPr>
            <w:webHidden/>
          </w:rPr>
          <w:tab/>
        </w:r>
        <w:r w:rsidR="00C4714A">
          <w:rPr>
            <w:webHidden/>
          </w:rPr>
          <w:fldChar w:fldCharType="begin"/>
        </w:r>
        <w:r w:rsidR="00C4714A">
          <w:rPr>
            <w:webHidden/>
          </w:rPr>
          <w:instrText xml:space="preserve"> PAGEREF _Toc98358650 \h </w:instrText>
        </w:r>
        <w:r w:rsidR="00C4714A">
          <w:rPr>
            <w:webHidden/>
          </w:rPr>
        </w:r>
        <w:r w:rsidR="00C4714A">
          <w:rPr>
            <w:webHidden/>
          </w:rPr>
          <w:fldChar w:fldCharType="separate"/>
        </w:r>
        <w:r w:rsidR="00C4714A">
          <w:rPr>
            <w:webHidden/>
          </w:rPr>
          <w:t>43</w:t>
        </w:r>
        <w:r w:rsidR="00C4714A">
          <w:rPr>
            <w:webHidden/>
          </w:rPr>
          <w:fldChar w:fldCharType="end"/>
        </w:r>
      </w:hyperlink>
    </w:p>
    <w:p w14:paraId="53F418C7" w14:textId="69E131A6"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1" w:history="1">
        <w:r w:rsidR="00C4714A" w:rsidRPr="007530C2">
          <w:rPr>
            <w:rStyle w:val="Hyperlink"/>
          </w:rPr>
          <w:t>6.8.2</w:t>
        </w:r>
        <w:r w:rsidR="00C4714A">
          <w:rPr>
            <w:rFonts w:asciiTheme="minorHAnsi" w:eastAsiaTheme="minorEastAsia" w:hAnsiTheme="minorHAnsi" w:cstheme="minorBidi"/>
            <w:snapToGrid/>
            <w:kern w:val="2"/>
            <w:sz w:val="21"/>
            <w:lang w:eastAsia="zh-CN"/>
          </w:rPr>
          <w:tab/>
        </w:r>
        <w:r w:rsidR="00C4714A" w:rsidRPr="007530C2">
          <w:rPr>
            <w:rStyle w:val="Hyperlink"/>
          </w:rPr>
          <w:t>Definition of SAEs</w:t>
        </w:r>
        <w:r w:rsidR="00C4714A">
          <w:rPr>
            <w:webHidden/>
          </w:rPr>
          <w:tab/>
        </w:r>
        <w:r w:rsidR="00C4714A">
          <w:rPr>
            <w:webHidden/>
          </w:rPr>
          <w:fldChar w:fldCharType="begin"/>
        </w:r>
        <w:r w:rsidR="00C4714A">
          <w:rPr>
            <w:webHidden/>
          </w:rPr>
          <w:instrText xml:space="preserve"> PAGEREF _Toc98358651 \h </w:instrText>
        </w:r>
        <w:r w:rsidR="00C4714A">
          <w:rPr>
            <w:webHidden/>
          </w:rPr>
        </w:r>
        <w:r w:rsidR="00C4714A">
          <w:rPr>
            <w:webHidden/>
          </w:rPr>
          <w:fldChar w:fldCharType="separate"/>
        </w:r>
        <w:r w:rsidR="00C4714A">
          <w:rPr>
            <w:webHidden/>
          </w:rPr>
          <w:t>43</w:t>
        </w:r>
        <w:r w:rsidR="00C4714A">
          <w:rPr>
            <w:webHidden/>
          </w:rPr>
          <w:fldChar w:fldCharType="end"/>
        </w:r>
      </w:hyperlink>
    </w:p>
    <w:p w14:paraId="56677849" w14:textId="07398005"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2" w:history="1">
        <w:r w:rsidR="00C4714A" w:rsidRPr="007530C2">
          <w:rPr>
            <w:rStyle w:val="Hyperlink"/>
          </w:rPr>
          <w:t>6.8.3</w:t>
        </w:r>
        <w:r w:rsidR="00C4714A">
          <w:rPr>
            <w:rFonts w:asciiTheme="minorHAnsi" w:eastAsiaTheme="minorEastAsia" w:hAnsiTheme="minorHAnsi" w:cstheme="minorBidi"/>
            <w:snapToGrid/>
            <w:kern w:val="2"/>
            <w:sz w:val="21"/>
            <w:lang w:eastAsia="zh-CN"/>
          </w:rPr>
          <w:tab/>
        </w:r>
        <w:r w:rsidR="00C4714A" w:rsidRPr="007530C2">
          <w:rPr>
            <w:rStyle w:val="Hyperlink"/>
          </w:rPr>
          <w:t>AE recording</w:t>
        </w:r>
        <w:r w:rsidR="00C4714A">
          <w:rPr>
            <w:webHidden/>
          </w:rPr>
          <w:tab/>
        </w:r>
        <w:r w:rsidR="00C4714A">
          <w:rPr>
            <w:webHidden/>
          </w:rPr>
          <w:fldChar w:fldCharType="begin"/>
        </w:r>
        <w:r w:rsidR="00C4714A">
          <w:rPr>
            <w:webHidden/>
          </w:rPr>
          <w:instrText xml:space="preserve"> PAGEREF _Toc98358652 \h </w:instrText>
        </w:r>
        <w:r w:rsidR="00C4714A">
          <w:rPr>
            <w:webHidden/>
          </w:rPr>
        </w:r>
        <w:r w:rsidR="00C4714A">
          <w:rPr>
            <w:webHidden/>
          </w:rPr>
          <w:fldChar w:fldCharType="separate"/>
        </w:r>
        <w:r w:rsidR="00C4714A">
          <w:rPr>
            <w:webHidden/>
          </w:rPr>
          <w:t>43</w:t>
        </w:r>
        <w:r w:rsidR="00C4714A">
          <w:rPr>
            <w:webHidden/>
          </w:rPr>
          <w:fldChar w:fldCharType="end"/>
        </w:r>
      </w:hyperlink>
    </w:p>
    <w:p w14:paraId="5A7E7B3C" w14:textId="3D14A703"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3" w:history="1">
        <w:r w:rsidR="00C4714A" w:rsidRPr="007530C2">
          <w:rPr>
            <w:rStyle w:val="Hyperlink"/>
          </w:rPr>
          <w:t>6.8.4</w:t>
        </w:r>
        <w:r w:rsidR="00C4714A">
          <w:rPr>
            <w:rFonts w:asciiTheme="minorHAnsi" w:eastAsiaTheme="minorEastAsia" w:hAnsiTheme="minorHAnsi" w:cstheme="minorBidi"/>
            <w:snapToGrid/>
            <w:kern w:val="2"/>
            <w:sz w:val="21"/>
            <w:lang w:eastAsia="zh-CN"/>
          </w:rPr>
          <w:tab/>
        </w:r>
        <w:r w:rsidR="00C4714A" w:rsidRPr="007530C2">
          <w:rPr>
            <w:rStyle w:val="Hyperlink"/>
          </w:rPr>
          <w:t>AE assessment</w:t>
        </w:r>
        <w:r w:rsidR="00C4714A">
          <w:rPr>
            <w:webHidden/>
          </w:rPr>
          <w:tab/>
        </w:r>
        <w:r w:rsidR="00C4714A">
          <w:rPr>
            <w:webHidden/>
          </w:rPr>
          <w:fldChar w:fldCharType="begin"/>
        </w:r>
        <w:r w:rsidR="00C4714A">
          <w:rPr>
            <w:webHidden/>
          </w:rPr>
          <w:instrText xml:space="preserve"> PAGEREF _Toc98358653 \h </w:instrText>
        </w:r>
        <w:r w:rsidR="00C4714A">
          <w:rPr>
            <w:webHidden/>
          </w:rPr>
        </w:r>
        <w:r w:rsidR="00C4714A">
          <w:rPr>
            <w:webHidden/>
          </w:rPr>
          <w:fldChar w:fldCharType="separate"/>
        </w:r>
        <w:r w:rsidR="00C4714A">
          <w:rPr>
            <w:webHidden/>
          </w:rPr>
          <w:t>44</w:t>
        </w:r>
        <w:r w:rsidR="00C4714A">
          <w:rPr>
            <w:webHidden/>
          </w:rPr>
          <w:fldChar w:fldCharType="end"/>
        </w:r>
      </w:hyperlink>
    </w:p>
    <w:p w14:paraId="414A8A28" w14:textId="1FF3FFDD"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4" w:history="1">
        <w:r w:rsidR="00C4714A" w:rsidRPr="007530C2">
          <w:rPr>
            <w:rStyle w:val="Hyperlink"/>
          </w:rPr>
          <w:t>6.8.5</w:t>
        </w:r>
        <w:r w:rsidR="00C4714A">
          <w:rPr>
            <w:rFonts w:asciiTheme="minorHAnsi" w:eastAsiaTheme="minorEastAsia" w:hAnsiTheme="minorHAnsi" w:cstheme="minorBidi"/>
            <w:snapToGrid/>
            <w:kern w:val="2"/>
            <w:sz w:val="21"/>
            <w:lang w:eastAsia="zh-CN"/>
          </w:rPr>
          <w:tab/>
        </w:r>
        <w:r w:rsidR="00C4714A" w:rsidRPr="007530C2">
          <w:rPr>
            <w:rStyle w:val="Hyperlink"/>
          </w:rPr>
          <w:t>Reporting of SAEs</w:t>
        </w:r>
        <w:r w:rsidR="00C4714A">
          <w:rPr>
            <w:webHidden/>
          </w:rPr>
          <w:tab/>
        </w:r>
        <w:r w:rsidR="00C4714A">
          <w:rPr>
            <w:webHidden/>
          </w:rPr>
          <w:fldChar w:fldCharType="begin"/>
        </w:r>
        <w:r w:rsidR="00C4714A">
          <w:rPr>
            <w:webHidden/>
          </w:rPr>
          <w:instrText xml:space="preserve"> PAGEREF _Toc98358654 \h </w:instrText>
        </w:r>
        <w:r w:rsidR="00C4714A">
          <w:rPr>
            <w:webHidden/>
          </w:rPr>
        </w:r>
        <w:r w:rsidR="00C4714A">
          <w:rPr>
            <w:webHidden/>
          </w:rPr>
          <w:fldChar w:fldCharType="separate"/>
        </w:r>
        <w:r w:rsidR="00C4714A">
          <w:rPr>
            <w:webHidden/>
          </w:rPr>
          <w:t>44</w:t>
        </w:r>
        <w:r w:rsidR="00C4714A">
          <w:rPr>
            <w:webHidden/>
          </w:rPr>
          <w:fldChar w:fldCharType="end"/>
        </w:r>
      </w:hyperlink>
    </w:p>
    <w:p w14:paraId="63A306CE" w14:textId="1EC43141"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5" w:history="1">
        <w:r w:rsidR="00C4714A" w:rsidRPr="007530C2">
          <w:rPr>
            <w:rStyle w:val="Hyperlink"/>
          </w:rPr>
          <w:t>6.8.6</w:t>
        </w:r>
        <w:r w:rsidR="00C4714A">
          <w:rPr>
            <w:rFonts w:asciiTheme="minorHAnsi" w:eastAsiaTheme="minorEastAsia" w:hAnsiTheme="minorHAnsi" w:cstheme="minorBidi"/>
            <w:snapToGrid/>
            <w:kern w:val="2"/>
            <w:sz w:val="21"/>
            <w:lang w:eastAsia="zh-CN"/>
          </w:rPr>
          <w:tab/>
        </w:r>
        <w:r w:rsidR="00C4714A" w:rsidRPr="007530C2">
          <w:rPr>
            <w:rStyle w:val="Hyperlink"/>
          </w:rPr>
          <w:t>Follow-up of AEs</w:t>
        </w:r>
        <w:r w:rsidR="00C4714A">
          <w:rPr>
            <w:webHidden/>
          </w:rPr>
          <w:tab/>
        </w:r>
        <w:r w:rsidR="00C4714A">
          <w:rPr>
            <w:webHidden/>
          </w:rPr>
          <w:fldChar w:fldCharType="begin"/>
        </w:r>
        <w:r w:rsidR="00C4714A">
          <w:rPr>
            <w:webHidden/>
          </w:rPr>
          <w:instrText xml:space="preserve"> PAGEREF _Toc98358655 \h </w:instrText>
        </w:r>
        <w:r w:rsidR="00C4714A">
          <w:rPr>
            <w:webHidden/>
          </w:rPr>
        </w:r>
        <w:r w:rsidR="00C4714A">
          <w:rPr>
            <w:webHidden/>
          </w:rPr>
          <w:fldChar w:fldCharType="separate"/>
        </w:r>
        <w:r w:rsidR="00C4714A">
          <w:rPr>
            <w:webHidden/>
          </w:rPr>
          <w:t>45</w:t>
        </w:r>
        <w:r w:rsidR="00C4714A">
          <w:rPr>
            <w:webHidden/>
          </w:rPr>
          <w:fldChar w:fldCharType="end"/>
        </w:r>
      </w:hyperlink>
    </w:p>
    <w:p w14:paraId="00490AB8" w14:textId="5F35A36B"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6" w:history="1">
        <w:r w:rsidR="00C4714A" w:rsidRPr="007530C2">
          <w:rPr>
            <w:rStyle w:val="Hyperlink"/>
          </w:rPr>
          <w:t>6.8.7</w:t>
        </w:r>
        <w:r w:rsidR="00C4714A">
          <w:rPr>
            <w:rFonts w:asciiTheme="minorHAnsi" w:eastAsiaTheme="minorEastAsia" w:hAnsiTheme="minorHAnsi" w:cstheme="minorBidi"/>
            <w:snapToGrid/>
            <w:kern w:val="2"/>
            <w:sz w:val="21"/>
            <w:lang w:eastAsia="zh-CN"/>
          </w:rPr>
          <w:tab/>
        </w:r>
        <w:r w:rsidR="00C4714A" w:rsidRPr="007530C2">
          <w:rPr>
            <w:rStyle w:val="Hyperlink"/>
          </w:rPr>
          <w:t>Suspected unexpected serious adverse reactions (SUSARs)</w:t>
        </w:r>
        <w:r w:rsidR="00C4714A">
          <w:rPr>
            <w:webHidden/>
          </w:rPr>
          <w:tab/>
        </w:r>
        <w:r w:rsidR="00C4714A">
          <w:rPr>
            <w:webHidden/>
          </w:rPr>
          <w:fldChar w:fldCharType="begin"/>
        </w:r>
        <w:r w:rsidR="00C4714A">
          <w:rPr>
            <w:webHidden/>
          </w:rPr>
          <w:instrText xml:space="preserve"> PAGEREF _Toc98358656 \h </w:instrText>
        </w:r>
        <w:r w:rsidR="00C4714A">
          <w:rPr>
            <w:webHidden/>
          </w:rPr>
        </w:r>
        <w:r w:rsidR="00C4714A">
          <w:rPr>
            <w:webHidden/>
          </w:rPr>
          <w:fldChar w:fldCharType="separate"/>
        </w:r>
        <w:r w:rsidR="00C4714A">
          <w:rPr>
            <w:webHidden/>
          </w:rPr>
          <w:t>45</w:t>
        </w:r>
        <w:r w:rsidR="00C4714A">
          <w:rPr>
            <w:webHidden/>
          </w:rPr>
          <w:fldChar w:fldCharType="end"/>
        </w:r>
      </w:hyperlink>
    </w:p>
    <w:p w14:paraId="0D2CEE51" w14:textId="511C3E7B"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7" w:history="1">
        <w:r w:rsidR="00C4714A" w:rsidRPr="007530C2">
          <w:rPr>
            <w:rStyle w:val="Hyperlink"/>
          </w:rPr>
          <w:t>6.8.8</w:t>
        </w:r>
        <w:r w:rsidR="00C4714A">
          <w:rPr>
            <w:rFonts w:asciiTheme="minorHAnsi" w:eastAsiaTheme="minorEastAsia" w:hAnsiTheme="minorHAnsi" w:cstheme="minorBidi"/>
            <w:snapToGrid/>
            <w:kern w:val="2"/>
            <w:sz w:val="21"/>
            <w:lang w:eastAsia="zh-CN"/>
          </w:rPr>
          <w:tab/>
        </w:r>
        <w:r w:rsidR="00C4714A" w:rsidRPr="007530C2">
          <w:rPr>
            <w:rStyle w:val="Hyperlink"/>
          </w:rPr>
          <w:t>Pregnancy</w:t>
        </w:r>
        <w:r w:rsidR="00C4714A">
          <w:rPr>
            <w:webHidden/>
          </w:rPr>
          <w:tab/>
        </w:r>
        <w:r w:rsidR="00C4714A">
          <w:rPr>
            <w:webHidden/>
          </w:rPr>
          <w:fldChar w:fldCharType="begin"/>
        </w:r>
        <w:r w:rsidR="00C4714A">
          <w:rPr>
            <w:webHidden/>
          </w:rPr>
          <w:instrText xml:space="preserve"> PAGEREF _Toc98358657 \h </w:instrText>
        </w:r>
        <w:r w:rsidR="00C4714A">
          <w:rPr>
            <w:webHidden/>
          </w:rPr>
        </w:r>
        <w:r w:rsidR="00C4714A">
          <w:rPr>
            <w:webHidden/>
          </w:rPr>
          <w:fldChar w:fldCharType="separate"/>
        </w:r>
        <w:r w:rsidR="00C4714A">
          <w:rPr>
            <w:webHidden/>
          </w:rPr>
          <w:t>45</w:t>
        </w:r>
        <w:r w:rsidR="00C4714A">
          <w:rPr>
            <w:webHidden/>
          </w:rPr>
          <w:fldChar w:fldCharType="end"/>
        </w:r>
      </w:hyperlink>
    </w:p>
    <w:p w14:paraId="0FBF591F" w14:textId="04831D23" w:rsidR="00C4714A" w:rsidRDefault="00FF5B24">
      <w:pPr>
        <w:pStyle w:val="TOC2"/>
        <w:rPr>
          <w:rFonts w:asciiTheme="minorHAnsi" w:eastAsiaTheme="minorEastAsia" w:hAnsiTheme="minorHAnsi" w:cstheme="minorBidi"/>
          <w:snapToGrid/>
          <w:kern w:val="2"/>
          <w:sz w:val="21"/>
          <w:lang w:eastAsia="zh-CN"/>
        </w:rPr>
      </w:pPr>
      <w:hyperlink w:anchor="_Toc98358658" w:history="1">
        <w:r w:rsidR="00C4714A" w:rsidRPr="007530C2">
          <w:rPr>
            <w:rStyle w:val="Hyperlink"/>
          </w:rPr>
          <w:t>6.9</w:t>
        </w:r>
        <w:r w:rsidR="00C4714A">
          <w:rPr>
            <w:rFonts w:asciiTheme="minorHAnsi" w:eastAsiaTheme="minorEastAsia" w:hAnsiTheme="minorHAnsi" w:cstheme="minorBidi"/>
            <w:snapToGrid/>
            <w:kern w:val="2"/>
            <w:sz w:val="21"/>
            <w:lang w:eastAsia="zh-CN"/>
          </w:rPr>
          <w:tab/>
        </w:r>
        <w:r w:rsidR="00C4714A" w:rsidRPr="007530C2">
          <w:rPr>
            <w:rStyle w:val="Hyperlink"/>
          </w:rPr>
          <w:t>IMPs</w:t>
        </w:r>
        <w:r w:rsidR="00C4714A">
          <w:rPr>
            <w:webHidden/>
          </w:rPr>
          <w:tab/>
        </w:r>
        <w:r w:rsidR="00C4714A">
          <w:rPr>
            <w:webHidden/>
          </w:rPr>
          <w:fldChar w:fldCharType="begin"/>
        </w:r>
        <w:r w:rsidR="00C4714A">
          <w:rPr>
            <w:webHidden/>
          </w:rPr>
          <w:instrText xml:space="preserve"> PAGEREF _Toc98358658 \h </w:instrText>
        </w:r>
        <w:r w:rsidR="00C4714A">
          <w:rPr>
            <w:webHidden/>
          </w:rPr>
        </w:r>
        <w:r w:rsidR="00C4714A">
          <w:rPr>
            <w:webHidden/>
          </w:rPr>
          <w:fldChar w:fldCharType="separate"/>
        </w:r>
        <w:r w:rsidR="00C4714A">
          <w:rPr>
            <w:webHidden/>
          </w:rPr>
          <w:t>45</w:t>
        </w:r>
        <w:r w:rsidR="00C4714A">
          <w:rPr>
            <w:webHidden/>
          </w:rPr>
          <w:fldChar w:fldCharType="end"/>
        </w:r>
      </w:hyperlink>
    </w:p>
    <w:p w14:paraId="3ACAA4E3" w14:textId="72F72B44"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59" w:history="1">
        <w:r w:rsidR="00C4714A" w:rsidRPr="007530C2">
          <w:rPr>
            <w:rStyle w:val="Hyperlink"/>
          </w:rPr>
          <w:t>6.9.1</w:t>
        </w:r>
        <w:r w:rsidR="00C4714A">
          <w:rPr>
            <w:rFonts w:asciiTheme="minorHAnsi" w:eastAsiaTheme="minorEastAsia" w:hAnsiTheme="minorHAnsi" w:cstheme="minorBidi"/>
            <w:snapToGrid/>
            <w:kern w:val="2"/>
            <w:sz w:val="21"/>
            <w:lang w:eastAsia="zh-CN"/>
          </w:rPr>
          <w:tab/>
        </w:r>
        <w:r w:rsidR="00C4714A" w:rsidRPr="007530C2">
          <w:rPr>
            <w:rStyle w:val="Hyperlink"/>
          </w:rPr>
          <w:t>Dispensing</w:t>
        </w:r>
        <w:r w:rsidR="00C4714A">
          <w:rPr>
            <w:webHidden/>
          </w:rPr>
          <w:tab/>
        </w:r>
        <w:r w:rsidR="00C4714A">
          <w:rPr>
            <w:webHidden/>
          </w:rPr>
          <w:fldChar w:fldCharType="begin"/>
        </w:r>
        <w:r w:rsidR="00C4714A">
          <w:rPr>
            <w:webHidden/>
          </w:rPr>
          <w:instrText xml:space="preserve"> PAGEREF _Toc98358659 \h </w:instrText>
        </w:r>
        <w:r w:rsidR="00C4714A">
          <w:rPr>
            <w:webHidden/>
          </w:rPr>
        </w:r>
        <w:r w:rsidR="00C4714A">
          <w:rPr>
            <w:webHidden/>
          </w:rPr>
          <w:fldChar w:fldCharType="separate"/>
        </w:r>
        <w:r w:rsidR="00C4714A">
          <w:rPr>
            <w:webHidden/>
          </w:rPr>
          <w:t>46</w:t>
        </w:r>
        <w:r w:rsidR="00C4714A">
          <w:rPr>
            <w:webHidden/>
          </w:rPr>
          <w:fldChar w:fldCharType="end"/>
        </w:r>
      </w:hyperlink>
    </w:p>
    <w:p w14:paraId="0B24709F" w14:textId="2641B63D" w:rsidR="00C4714A" w:rsidRDefault="00FF5B24">
      <w:pPr>
        <w:pStyle w:val="TOC3"/>
        <w:tabs>
          <w:tab w:val="left" w:pos="1840"/>
        </w:tabs>
        <w:rPr>
          <w:rFonts w:asciiTheme="minorHAnsi" w:eastAsiaTheme="minorEastAsia" w:hAnsiTheme="minorHAnsi" w:cstheme="minorBidi"/>
          <w:snapToGrid/>
          <w:kern w:val="2"/>
          <w:sz w:val="21"/>
          <w:lang w:eastAsia="zh-CN"/>
        </w:rPr>
      </w:pPr>
      <w:hyperlink w:anchor="_Toc98358660" w:history="1">
        <w:r w:rsidR="00C4714A" w:rsidRPr="007530C2">
          <w:rPr>
            <w:rStyle w:val="Hyperlink"/>
          </w:rPr>
          <w:t>6.9.2</w:t>
        </w:r>
        <w:r w:rsidR="00C4714A">
          <w:rPr>
            <w:rFonts w:asciiTheme="minorHAnsi" w:eastAsiaTheme="minorEastAsia" w:hAnsiTheme="minorHAnsi" w:cstheme="minorBidi"/>
            <w:snapToGrid/>
            <w:kern w:val="2"/>
            <w:sz w:val="21"/>
            <w:lang w:eastAsia="zh-CN"/>
          </w:rPr>
          <w:tab/>
        </w:r>
        <w:r w:rsidR="00C4714A" w:rsidRPr="007530C2">
          <w:rPr>
            <w:rStyle w:val="Hyperlink"/>
          </w:rPr>
          <w:t>Drug liability</w:t>
        </w:r>
        <w:r w:rsidR="00C4714A">
          <w:rPr>
            <w:webHidden/>
          </w:rPr>
          <w:tab/>
        </w:r>
        <w:r w:rsidR="00C4714A">
          <w:rPr>
            <w:webHidden/>
          </w:rPr>
          <w:fldChar w:fldCharType="begin"/>
        </w:r>
        <w:r w:rsidR="00C4714A">
          <w:rPr>
            <w:webHidden/>
          </w:rPr>
          <w:instrText xml:space="preserve"> PAGEREF _Toc98358660 \h </w:instrText>
        </w:r>
        <w:r w:rsidR="00C4714A">
          <w:rPr>
            <w:webHidden/>
          </w:rPr>
        </w:r>
        <w:r w:rsidR="00C4714A">
          <w:rPr>
            <w:webHidden/>
          </w:rPr>
          <w:fldChar w:fldCharType="separate"/>
        </w:r>
        <w:r w:rsidR="00C4714A">
          <w:rPr>
            <w:webHidden/>
          </w:rPr>
          <w:t>46</w:t>
        </w:r>
        <w:r w:rsidR="00C4714A">
          <w:rPr>
            <w:webHidden/>
          </w:rPr>
          <w:fldChar w:fldCharType="end"/>
        </w:r>
      </w:hyperlink>
    </w:p>
    <w:p w14:paraId="10013EF5" w14:textId="39C5D079" w:rsidR="00C4714A" w:rsidRDefault="00FF5B24">
      <w:pPr>
        <w:pStyle w:val="TOC2"/>
        <w:tabs>
          <w:tab w:val="left" w:pos="1160"/>
        </w:tabs>
        <w:rPr>
          <w:rFonts w:asciiTheme="minorHAnsi" w:eastAsiaTheme="minorEastAsia" w:hAnsiTheme="minorHAnsi" w:cstheme="minorBidi"/>
          <w:snapToGrid/>
          <w:kern w:val="2"/>
          <w:sz w:val="21"/>
          <w:lang w:eastAsia="zh-CN"/>
        </w:rPr>
      </w:pPr>
      <w:hyperlink w:anchor="_Toc98358661" w:history="1">
        <w:r w:rsidR="00C4714A" w:rsidRPr="007530C2">
          <w:rPr>
            <w:rStyle w:val="Hyperlink"/>
          </w:rPr>
          <w:t>6.10</w:t>
        </w:r>
        <w:r w:rsidR="00C4714A">
          <w:rPr>
            <w:rFonts w:asciiTheme="minorHAnsi" w:eastAsiaTheme="minorEastAsia" w:hAnsiTheme="minorHAnsi" w:cstheme="minorBidi"/>
            <w:snapToGrid/>
            <w:kern w:val="2"/>
            <w:sz w:val="21"/>
            <w:lang w:eastAsia="zh-CN"/>
          </w:rPr>
          <w:tab/>
        </w:r>
        <w:r w:rsidR="00C4714A" w:rsidRPr="007530C2">
          <w:rPr>
            <w:rStyle w:val="Hyperlink"/>
          </w:rPr>
          <w:t>Paper publication</w:t>
        </w:r>
        <w:r w:rsidR="00C4714A">
          <w:rPr>
            <w:webHidden/>
          </w:rPr>
          <w:tab/>
        </w:r>
        <w:r w:rsidR="00C4714A">
          <w:rPr>
            <w:webHidden/>
          </w:rPr>
          <w:fldChar w:fldCharType="begin"/>
        </w:r>
        <w:r w:rsidR="00C4714A">
          <w:rPr>
            <w:webHidden/>
          </w:rPr>
          <w:instrText xml:space="preserve"> PAGEREF _Toc98358661 \h </w:instrText>
        </w:r>
        <w:r w:rsidR="00C4714A">
          <w:rPr>
            <w:webHidden/>
          </w:rPr>
        </w:r>
        <w:r w:rsidR="00C4714A">
          <w:rPr>
            <w:webHidden/>
          </w:rPr>
          <w:fldChar w:fldCharType="separate"/>
        </w:r>
        <w:r w:rsidR="00C4714A">
          <w:rPr>
            <w:webHidden/>
          </w:rPr>
          <w:t>46</w:t>
        </w:r>
        <w:r w:rsidR="00C4714A">
          <w:rPr>
            <w:webHidden/>
          </w:rPr>
          <w:fldChar w:fldCharType="end"/>
        </w:r>
      </w:hyperlink>
    </w:p>
    <w:p w14:paraId="1AD90384" w14:textId="3DA215C8" w:rsidR="00C4714A" w:rsidRDefault="00FF5B24">
      <w:pPr>
        <w:pStyle w:val="TOC1"/>
        <w:rPr>
          <w:rFonts w:asciiTheme="minorHAnsi" w:eastAsiaTheme="minorEastAsia" w:hAnsiTheme="minorHAnsi" w:cstheme="minorBidi"/>
          <w:bCs w:val="0"/>
          <w:snapToGrid/>
          <w:kern w:val="2"/>
          <w:sz w:val="21"/>
          <w:lang w:eastAsia="zh-CN"/>
        </w:rPr>
      </w:pPr>
      <w:hyperlink w:anchor="_Toc98358662" w:history="1">
        <w:r w:rsidR="00C4714A" w:rsidRPr="007530C2">
          <w:rPr>
            <w:rStyle w:val="Hyperlink"/>
          </w:rPr>
          <w:t>7</w:t>
        </w:r>
        <w:r w:rsidR="00C4714A">
          <w:rPr>
            <w:rFonts w:asciiTheme="minorHAnsi" w:eastAsiaTheme="minorEastAsia" w:hAnsiTheme="minorHAnsi" w:cstheme="minorBidi"/>
            <w:bCs w:val="0"/>
            <w:snapToGrid/>
            <w:kern w:val="2"/>
            <w:sz w:val="21"/>
            <w:lang w:eastAsia="zh-CN"/>
          </w:rPr>
          <w:tab/>
        </w:r>
        <w:r w:rsidR="00C4714A" w:rsidRPr="007530C2">
          <w:rPr>
            <w:rStyle w:val="Hyperlink"/>
          </w:rPr>
          <w:t>Schedule of Activities</w:t>
        </w:r>
        <w:r w:rsidR="00C4714A">
          <w:rPr>
            <w:webHidden/>
          </w:rPr>
          <w:tab/>
        </w:r>
        <w:r w:rsidR="00C4714A">
          <w:rPr>
            <w:webHidden/>
          </w:rPr>
          <w:fldChar w:fldCharType="begin"/>
        </w:r>
        <w:r w:rsidR="00C4714A">
          <w:rPr>
            <w:webHidden/>
          </w:rPr>
          <w:instrText xml:space="preserve"> PAGEREF _Toc98358662 \h </w:instrText>
        </w:r>
        <w:r w:rsidR="00C4714A">
          <w:rPr>
            <w:webHidden/>
          </w:rPr>
        </w:r>
        <w:r w:rsidR="00C4714A">
          <w:rPr>
            <w:webHidden/>
          </w:rPr>
          <w:fldChar w:fldCharType="separate"/>
        </w:r>
        <w:r w:rsidR="00C4714A">
          <w:rPr>
            <w:webHidden/>
          </w:rPr>
          <w:t>47</w:t>
        </w:r>
        <w:r w:rsidR="00C4714A">
          <w:rPr>
            <w:webHidden/>
          </w:rPr>
          <w:fldChar w:fldCharType="end"/>
        </w:r>
      </w:hyperlink>
    </w:p>
    <w:p w14:paraId="12688F83" w14:textId="39ED4FEE" w:rsidR="00C4714A" w:rsidRDefault="00FF5B24">
      <w:pPr>
        <w:pStyle w:val="TOC1"/>
        <w:rPr>
          <w:rFonts w:asciiTheme="minorHAnsi" w:eastAsiaTheme="minorEastAsia" w:hAnsiTheme="minorHAnsi" w:cstheme="minorBidi"/>
          <w:bCs w:val="0"/>
          <w:snapToGrid/>
          <w:kern w:val="2"/>
          <w:sz w:val="21"/>
          <w:lang w:eastAsia="zh-CN"/>
        </w:rPr>
      </w:pPr>
      <w:hyperlink w:anchor="_Toc98358663" w:history="1">
        <w:r w:rsidR="00C4714A" w:rsidRPr="007530C2">
          <w:rPr>
            <w:rStyle w:val="Hyperlink"/>
          </w:rPr>
          <w:t>8</w:t>
        </w:r>
        <w:r w:rsidR="00C4714A">
          <w:rPr>
            <w:rFonts w:asciiTheme="minorHAnsi" w:eastAsiaTheme="minorEastAsia" w:hAnsiTheme="minorHAnsi" w:cstheme="minorBidi"/>
            <w:bCs w:val="0"/>
            <w:snapToGrid/>
            <w:kern w:val="2"/>
            <w:sz w:val="21"/>
            <w:lang w:eastAsia="zh-CN"/>
          </w:rPr>
          <w:tab/>
        </w:r>
        <w:r w:rsidR="00C4714A" w:rsidRPr="007530C2">
          <w:rPr>
            <w:rStyle w:val="Hyperlink"/>
          </w:rPr>
          <w:t>Reference</w:t>
        </w:r>
        <w:r w:rsidR="00C4714A">
          <w:rPr>
            <w:webHidden/>
          </w:rPr>
          <w:tab/>
        </w:r>
        <w:r w:rsidR="00C4714A">
          <w:rPr>
            <w:webHidden/>
          </w:rPr>
          <w:fldChar w:fldCharType="begin"/>
        </w:r>
        <w:r w:rsidR="00C4714A">
          <w:rPr>
            <w:webHidden/>
          </w:rPr>
          <w:instrText xml:space="preserve"> PAGEREF _Toc98358663 \h </w:instrText>
        </w:r>
        <w:r w:rsidR="00C4714A">
          <w:rPr>
            <w:webHidden/>
          </w:rPr>
        </w:r>
        <w:r w:rsidR="00C4714A">
          <w:rPr>
            <w:webHidden/>
          </w:rPr>
          <w:fldChar w:fldCharType="separate"/>
        </w:r>
        <w:r w:rsidR="00C4714A">
          <w:rPr>
            <w:webHidden/>
          </w:rPr>
          <w:t>49</w:t>
        </w:r>
        <w:r w:rsidR="00C4714A">
          <w:rPr>
            <w:webHidden/>
          </w:rPr>
          <w:fldChar w:fldCharType="end"/>
        </w:r>
      </w:hyperlink>
    </w:p>
    <w:p w14:paraId="50563CAD" w14:textId="77A4D503" w:rsidR="00C4714A" w:rsidRDefault="00FF5B24">
      <w:pPr>
        <w:pStyle w:val="TOC1"/>
        <w:rPr>
          <w:rFonts w:asciiTheme="minorHAnsi" w:eastAsiaTheme="minorEastAsia" w:hAnsiTheme="minorHAnsi" w:cstheme="minorBidi"/>
          <w:bCs w:val="0"/>
          <w:snapToGrid/>
          <w:kern w:val="2"/>
          <w:sz w:val="21"/>
          <w:lang w:eastAsia="zh-CN"/>
        </w:rPr>
      </w:pPr>
      <w:hyperlink w:anchor="_Toc98358664" w:history="1">
        <w:r w:rsidR="00C4714A" w:rsidRPr="007530C2">
          <w:rPr>
            <w:rStyle w:val="Hyperlink"/>
          </w:rPr>
          <w:t>Appendix</w:t>
        </w:r>
        <w:r w:rsidR="00C4714A">
          <w:rPr>
            <w:webHidden/>
          </w:rPr>
          <w:tab/>
        </w:r>
        <w:r w:rsidR="00C4714A">
          <w:rPr>
            <w:webHidden/>
          </w:rPr>
          <w:fldChar w:fldCharType="begin"/>
        </w:r>
        <w:r w:rsidR="00C4714A">
          <w:rPr>
            <w:webHidden/>
          </w:rPr>
          <w:instrText xml:space="preserve"> PAGEREF _Toc98358664 \h </w:instrText>
        </w:r>
        <w:r w:rsidR="00C4714A">
          <w:rPr>
            <w:webHidden/>
          </w:rPr>
        </w:r>
        <w:r w:rsidR="00C4714A">
          <w:rPr>
            <w:webHidden/>
          </w:rPr>
          <w:fldChar w:fldCharType="separate"/>
        </w:r>
        <w:r w:rsidR="00C4714A">
          <w:rPr>
            <w:webHidden/>
          </w:rPr>
          <w:t>51</w:t>
        </w:r>
        <w:r w:rsidR="00C4714A">
          <w:rPr>
            <w:webHidden/>
          </w:rPr>
          <w:fldChar w:fldCharType="end"/>
        </w:r>
      </w:hyperlink>
    </w:p>
    <w:p w14:paraId="17629982" w14:textId="7A92A4D9" w:rsidR="00C4714A" w:rsidRDefault="00FF5B24">
      <w:pPr>
        <w:pStyle w:val="TOC2"/>
        <w:rPr>
          <w:rFonts w:asciiTheme="minorHAnsi" w:eastAsiaTheme="minorEastAsia" w:hAnsiTheme="minorHAnsi" w:cstheme="minorBidi"/>
          <w:snapToGrid/>
          <w:kern w:val="2"/>
          <w:sz w:val="21"/>
          <w:lang w:eastAsia="zh-CN"/>
        </w:rPr>
      </w:pPr>
      <w:hyperlink w:anchor="_Toc98358665" w:history="1">
        <w:r w:rsidR="00C4714A" w:rsidRPr="007530C2">
          <w:rPr>
            <w:rStyle w:val="Hyperlink"/>
          </w:rPr>
          <w:t>Appendix 1-Eastern Cooperative Oncology Group (ECOG) Performance Status Score</w:t>
        </w:r>
        <w:r w:rsidR="00C4714A">
          <w:rPr>
            <w:webHidden/>
          </w:rPr>
          <w:tab/>
        </w:r>
        <w:r w:rsidR="00C4714A">
          <w:rPr>
            <w:webHidden/>
          </w:rPr>
          <w:fldChar w:fldCharType="begin"/>
        </w:r>
        <w:r w:rsidR="00C4714A">
          <w:rPr>
            <w:webHidden/>
          </w:rPr>
          <w:instrText xml:space="preserve"> PAGEREF _Toc98358665 \h </w:instrText>
        </w:r>
        <w:r w:rsidR="00C4714A">
          <w:rPr>
            <w:webHidden/>
          </w:rPr>
        </w:r>
        <w:r w:rsidR="00C4714A">
          <w:rPr>
            <w:webHidden/>
          </w:rPr>
          <w:fldChar w:fldCharType="separate"/>
        </w:r>
        <w:r w:rsidR="00C4714A">
          <w:rPr>
            <w:webHidden/>
          </w:rPr>
          <w:t>51</w:t>
        </w:r>
        <w:r w:rsidR="00C4714A">
          <w:rPr>
            <w:webHidden/>
          </w:rPr>
          <w:fldChar w:fldCharType="end"/>
        </w:r>
      </w:hyperlink>
    </w:p>
    <w:p w14:paraId="56786529" w14:textId="7635910A" w:rsidR="004733E0" w:rsidRPr="00B942CD" w:rsidRDefault="00233C9B" w:rsidP="00AA119C">
      <w:pPr>
        <w:pStyle w:val="BodyText"/>
        <w:widowControl/>
        <w:autoSpaceDE/>
        <w:autoSpaceDN/>
        <w:adjustRightInd w:val="0"/>
        <w:snapToGrid w:val="0"/>
        <w:spacing w:line="300" w:lineRule="auto"/>
        <w:ind w:left="480" w:hangingChars="200" w:hanging="480"/>
        <w:jc w:val="both"/>
        <w:rPr>
          <w:rFonts w:ascii="Times New Roman" w:eastAsia="SimSun" w:hAnsi="Times New Roman" w:cs="Times New Roman"/>
          <w:snapToGrid w:val="0"/>
          <w:color w:val="000000" w:themeColor="text1"/>
          <w:sz w:val="24"/>
          <w:lang w:eastAsia="zh-CN"/>
        </w:rPr>
      </w:pPr>
      <w:r w:rsidRPr="00B942CD">
        <w:rPr>
          <w:rFonts w:ascii="Times New Roman" w:eastAsia="SimSun" w:hAnsi="Times New Roman" w:cs="Times New Roman"/>
          <w:snapToGrid w:val="0"/>
          <w:sz w:val="24"/>
          <w:lang w:eastAsia="zh-CN"/>
        </w:rPr>
        <w:fldChar w:fldCharType="end"/>
      </w:r>
    </w:p>
    <w:p w14:paraId="0B0C69E2" w14:textId="5A259398" w:rsidR="00A705FB" w:rsidRPr="00B942CD" w:rsidRDefault="00A705FB"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lang w:eastAsia="zh-CN"/>
        </w:rPr>
      </w:pPr>
      <w:r w:rsidRPr="00B942CD">
        <w:rPr>
          <w:rFonts w:ascii="Times New Roman" w:eastAsia="SimSun" w:hAnsi="Times New Roman" w:cs="Times New Roman"/>
          <w:snapToGrid w:val="0"/>
          <w:color w:val="000000" w:themeColor="text1"/>
          <w:sz w:val="24"/>
          <w:lang w:eastAsia="zh-CN"/>
        </w:rPr>
        <w:br w:type="page"/>
      </w:r>
    </w:p>
    <w:p w14:paraId="6903211E" w14:textId="0E26F95D" w:rsidR="004733E0" w:rsidRPr="00B942CD" w:rsidRDefault="004733E0" w:rsidP="00AA119C">
      <w:pPr>
        <w:pStyle w:val="Heading1"/>
        <w:numPr>
          <w:ilvl w:val="0"/>
          <w:numId w:val="0"/>
        </w:numPr>
        <w:rPr>
          <w:rFonts w:cs="Times New Roman"/>
        </w:rPr>
      </w:pPr>
      <w:bookmarkStart w:id="7" w:name="LIST_OF_ABBREVIATIONS_AND_DEFINITIONS"/>
      <w:bookmarkStart w:id="8" w:name="_bookmark2"/>
      <w:bookmarkStart w:id="9" w:name="_Toc441344375"/>
      <w:bookmarkStart w:id="10" w:name="_Toc447174480"/>
      <w:bookmarkStart w:id="11" w:name="_Toc98358588"/>
      <w:bookmarkEnd w:id="7"/>
      <w:bookmarkEnd w:id="8"/>
      <w:r w:rsidRPr="00B942CD">
        <w:rPr>
          <w:rFonts w:cs="Times New Roman"/>
        </w:rPr>
        <w:lastRenderedPageBreak/>
        <w:t>List of Abbreviations and Definitions of Terms</w:t>
      </w:r>
      <w:bookmarkEnd w:id="9"/>
      <w:bookmarkEnd w:id="10"/>
      <w:bookmarkEnd w:id="11"/>
    </w:p>
    <w:tbl>
      <w:tblPr>
        <w:tblW w:w="5000" w:type="pct"/>
        <w:tblLayout w:type="fixed"/>
        <w:tblLook w:val="00A0" w:firstRow="1" w:lastRow="0" w:firstColumn="1" w:lastColumn="0" w:noHBand="0" w:noVBand="0"/>
      </w:tblPr>
      <w:tblGrid>
        <w:gridCol w:w="3828"/>
        <w:gridCol w:w="5532"/>
      </w:tblGrid>
      <w:tr w:rsidR="00AA119C" w:rsidRPr="00B942CD" w14:paraId="66ECB1B5" w14:textId="77777777" w:rsidTr="00F778B6">
        <w:trPr>
          <w:tblHeader/>
        </w:trPr>
        <w:tc>
          <w:tcPr>
            <w:tcW w:w="2045" w:type="pct"/>
          </w:tcPr>
          <w:p w14:paraId="381A5F0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b/>
                <w:snapToGrid w:val="0"/>
                <w:color w:val="000000" w:themeColor="text1"/>
                <w:sz w:val="21"/>
                <w:szCs w:val="21"/>
              </w:rPr>
            </w:pPr>
            <w:r w:rsidRPr="00B942CD">
              <w:rPr>
                <w:rFonts w:ascii="Times New Roman" w:eastAsia="SimSun" w:hAnsi="Times New Roman" w:cs="Times New Roman"/>
                <w:b/>
                <w:snapToGrid w:val="0"/>
                <w:color w:val="000000" w:themeColor="text1"/>
                <w:sz w:val="21"/>
                <w:szCs w:val="21"/>
              </w:rPr>
              <w:t>Abbreviations</w:t>
            </w:r>
          </w:p>
        </w:tc>
        <w:tc>
          <w:tcPr>
            <w:tcW w:w="2955" w:type="pct"/>
          </w:tcPr>
          <w:p w14:paraId="66BC754B" w14:textId="1467A408"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b/>
                <w:snapToGrid w:val="0"/>
                <w:color w:val="000000" w:themeColor="text1"/>
                <w:sz w:val="21"/>
                <w:szCs w:val="21"/>
              </w:rPr>
            </w:pPr>
            <w:r w:rsidRPr="00B942CD">
              <w:rPr>
                <w:rFonts w:ascii="Times New Roman" w:eastAsia="SimSun" w:hAnsi="Times New Roman" w:cs="Times New Roman"/>
                <w:b/>
                <w:snapToGrid w:val="0"/>
                <w:color w:val="000000" w:themeColor="text1"/>
                <w:sz w:val="21"/>
                <w:szCs w:val="21"/>
              </w:rPr>
              <w:t>English Terminology</w:t>
            </w:r>
          </w:p>
        </w:tc>
      </w:tr>
      <w:tr w:rsidR="00AA119C" w:rsidRPr="00B942CD" w14:paraId="79B2895F" w14:textId="77777777" w:rsidTr="00F778B6">
        <w:tc>
          <w:tcPr>
            <w:tcW w:w="2045" w:type="pct"/>
            <w:noWrap/>
          </w:tcPr>
          <w:p w14:paraId="216A697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ADP</w:t>
            </w:r>
          </w:p>
        </w:tc>
        <w:tc>
          <w:tcPr>
            <w:tcW w:w="2955" w:type="pct"/>
            <w:noWrap/>
          </w:tcPr>
          <w:p w14:paraId="0A5BAAC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Adenosine diphosphate</w:t>
            </w:r>
          </w:p>
        </w:tc>
      </w:tr>
      <w:tr w:rsidR="00AA119C" w:rsidRPr="00B942CD" w14:paraId="6DA95716" w14:textId="77777777" w:rsidTr="00F778B6">
        <w:tc>
          <w:tcPr>
            <w:tcW w:w="2045" w:type="pct"/>
            <w:noWrap/>
          </w:tcPr>
          <w:p w14:paraId="514D0AD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AE</w:t>
            </w:r>
          </w:p>
        </w:tc>
        <w:tc>
          <w:tcPr>
            <w:tcW w:w="2955" w:type="pct"/>
            <w:noWrap/>
          </w:tcPr>
          <w:p w14:paraId="13A64B74" w14:textId="0D4A732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Adverse event</w:t>
            </w:r>
          </w:p>
        </w:tc>
      </w:tr>
      <w:tr w:rsidR="00AA119C" w:rsidRPr="00B942CD" w14:paraId="57AA893F" w14:textId="77777777" w:rsidTr="00F778B6">
        <w:tc>
          <w:tcPr>
            <w:tcW w:w="2045" w:type="pct"/>
            <w:noWrap/>
          </w:tcPr>
          <w:p w14:paraId="147EDEC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ALT</w:t>
            </w:r>
          </w:p>
        </w:tc>
        <w:tc>
          <w:tcPr>
            <w:tcW w:w="2955" w:type="pct"/>
            <w:noWrap/>
          </w:tcPr>
          <w:p w14:paraId="62364965" w14:textId="27BB81D0" w:rsidR="004733E0" w:rsidRPr="00B942CD" w:rsidRDefault="0025556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Alanine aminotransferase</w:t>
            </w:r>
          </w:p>
        </w:tc>
      </w:tr>
      <w:tr w:rsidR="00AA119C" w:rsidRPr="00B942CD" w14:paraId="38804824" w14:textId="77777777" w:rsidTr="00F778B6">
        <w:tc>
          <w:tcPr>
            <w:tcW w:w="2045" w:type="pct"/>
            <w:noWrap/>
          </w:tcPr>
          <w:p w14:paraId="446022C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AML</w:t>
            </w:r>
          </w:p>
        </w:tc>
        <w:tc>
          <w:tcPr>
            <w:tcW w:w="2955" w:type="pct"/>
            <w:noWrap/>
          </w:tcPr>
          <w:p w14:paraId="3722436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Acute myeloid leukemia</w:t>
            </w:r>
          </w:p>
        </w:tc>
      </w:tr>
      <w:tr w:rsidR="00AA119C" w:rsidRPr="00B942CD" w14:paraId="75B97E6F" w14:textId="77777777" w:rsidTr="00F778B6">
        <w:tc>
          <w:tcPr>
            <w:tcW w:w="2045" w:type="pct"/>
            <w:noWrap/>
          </w:tcPr>
          <w:p w14:paraId="2C5C6DB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AST</w:t>
            </w:r>
          </w:p>
        </w:tc>
        <w:tc>
          <w:tcPr>
            <w:tcW w:w="2955" w:type="pct"/>
            <w:noWrap/>
          </w:tcPr>
          <w:p w14:paraId="70EAAB46" w14:textId="5F6FDC68" w:rsidR="004733E0" w:rsidRPr="00B942CD" w:rsidRDefault="0025556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Aspartate aminotransferase</w:t>
            </w:r>
          </w:p>
        </w:tc>
      </w:tr>
      <w:tr w:rsidR="00AA119C" w:rsidRPr="00B942CD" w14:paraId="259278EC" w14:textId="77777777" w:rsidTr="00F778B6">
        <w:tc>
          <w:tcPr>
            <w:tcW w:w="2045" w:type="pct"/>
            <w:noWrap/>
          </w:tcPr>
          <w:p w14:paraId="683458A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ATM</w:t>
            </w:r>
          </w:p>
        </w:tc>
        <w:tc>
          <w:tcPr>
            <w:tcW w:w="2955" w:type="pct"/>
            <w:noWrap/>
          </w:tcPr>
          <w:p w14:paraId="3B39703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Ataxia-telangiectasia syndrome</w:t>
            </w:r>
          </w:p>
        </w:tc>
      </w:tr>
      <w:tr w:rsidR="00AA119C" w:rsidRPr="00B942CD" w14:paraId="37574D31" w14:textId="77777777" w:rsidTr="00F778B6">
        <w:tc>
          <w:tcPr>
            <w:tcW w:w="2045" w:type="pct"/>
            <w:noWrap/>
          </w:tcPr>
          <w:p w14:paraId="7F35BD2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AUC</w:t>
            </w:r>
          </w:p>
        </w:tc>
        <w:tc>
          <w:tcPr>
            <w:tcW w:w="2955" w:type="pct"/>
            <w:noWrap/>
          </w:tcPr>
          <w:p w14:paraId="4BA5EBE3" w14:textId="66973E1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Area under the plasma drug concentration-time curve</w:t>
            </w:r>
          </w:p>
        </w:tc>
      </w:tr>
      <w:tr w:rsidR="00AA119C" w:rsidRPr="00B942CD" w14:paraId="7D42C91B" w14:textId="77777777" w:rsidTr="00F778B6">
        <w:tc>
          <w:tcPr>
            <w:tcW w:w="2045" w:type="pct"/>
            <w:noWrap/>
          </w:tcPr>
          <w:p w14:paraId="2B390F9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BER</w:t>
            </w:r>
          </w:p>
        </w:tc>
        <w:tc>
          <w:tcPr>
            <w:tcW w:w="2955" w:type="pct"/>
            <w:noWrap/>
          </w:tcPr>
          <w:p w14:paraId="4717F5F0" w14:textId="5334D3E3"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Base excision repair</w:t>
            </w:r>
          </w:p>
        </w:tc>
      </w:tr>
      <w:tr w:rsidR="00AA119C" w:rsidRPr="00B942CD" w14:paraId="63DF657A" w14:textId="77777777" w:rsidTr="00F778B6">
        <w:tc>
          <w:tcPr>
            <w:tcW w:w="2045" w:type="pct"/>
            <w:noWrap/>
          </w:tcPr>
          <w:p w14:paraId="062A179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i/>
                <w:snapToGrid w:val="0"/>
                <w:color w:val="000000" w:themeColor="text1"/>
                <w:sz w:val="21"/>
                <w:szCs w:val="21"/>
              </w:rPr>
            </w:pPr>
            <w:r w:rsidRPr="00B942CD">
              <w:rPr>
                <w:rFonts w:ascii="Times New Roman" w:eastAsia="SimSun" w:hAnsi="Times New Roman" w:cs="Times New Roman"/>
                <w:i/>
                <w:snapToGrid w:val="0"/>
                <w:color w:val="000000" w:themeColor="text1"/>
                <w:sz w:val="21"/>
                <w:szCs w:val="21"/>
                <w:lang w:eastAsia="zh-CN"/>
              </w:rPr>
              <w:t>BRCA</w:t>
            </w:r>
          </w:p>
        </w:tc>
        <w:tc>
          <w:tcPr>
            <w:tcW w:w="2955" w:type="pct"/>
            <w:noWrap/>
          </w:tcPr>
          <w:p w14:paraId="17D8667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Breast cancer susceptibility gene</w:t>
            </w:r>
          </w:p>
        </w:tc>
      </w:tr>
      <w:tr w:rsidR="00AA119C" w:rsidRPr="00B942CD" w14:paraId="339DBFEB" w14:textId="77777777" w:rsidTr="00F778B6">
        <w:tc>
          <w:tcPr>
            <w:tcW w:w="2045" w:type="pct"/>
            <w:noWrap/>
          </w:tcPr>
          <w:p w14:paraId="0C44E46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CBC</w:t>
            </w:r>
          </w:p>
        </w:tc>
        <w:tc>
          <w:tcPr>
            <w:tcW w:w="2955" w:type="pct"/>
            <w:noWrap/>
          </w:tcPr>
          <w:p w14:paraId="49FABFD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Complete blood count</w:t>
            </w:r>
          </w:p>
        </w:tc>
      </w:tr>
      <w:tr w:rsidR="00AA119C" w:rsidRPr="00B942CD" w14:paraId="3EE3AA72" w14:textId="77777777" w:rsidTr="00F778B6">
        <w:tc>
          <w:tcPr>
            <w:tcW w:w="2045" w:type="pct"/>
            <w:noWrap/>
          </w:tcPr>
          <w:p w14:paraId="45D8720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CFI</w:t>
            </w:r>
          </w:p>
        </w:tc>
        <w:tc>
          <w:tcPr>
            <w:tcW w:w="2955" w:type="pct"/>
            <w:noWrap/>
          </w:tcPr>
          <w:p w14:paraId="1B9BB10B" w14:textId="2CB190C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Chemotherapy-free interval</w:t>
            </w:r>
          </w:p>
        </w:tc>
      </w:tr>
      <w:tr w:rsidR="00AA119C" w:rsidRPr="00B942CD" w14:paraId="7B359EB5" w14:textId="77777777" w:rsidTr="00F778B6">
        <w:tc>
          <w:tcPr>
            <w:tcW w:w="2045" w:type="pct"/>
            <w:noWrap/>
          </w:tcPr>
          <w:p w14:paraId="3F0E9AC6" w14:textId="0AB941A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CI</w:t>
            </w:r>
          </w:p>
        </w:tc>
        <w:tc>
          <w:tcPr>
            <w:tcW w:w="2955" w:type="pct"/>
            <w:noWrap/>
          </w:tcPr>
          <w:p w14:paraId="2E548316" w14:textId="330B9F3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Confidence interval</w:t>
            </w:r>
          </w:p>
        </w:tc>
      </w:tr>
      <w:tr w:rsidR="00AA119C" w:rsidRPr="00B942CD" w14:paraId="2B796240" w14:textId="77777777" w:rsidTr="00F778B6">
        <w:tc>
          <w:tcPr>
            <w:tcW w:w="2045" w:type="pct"/>
            <w:noWrap/>
          </w:tcPr>
          <w:p w14:paraId="53167D0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bCs/>
                <w:snapToGrid w:val="0"/>
                <w:color w:val="000000" w:themeColor="text1"/>
                <w:sz w:val="21"/>
                <w:szCs w:val="21"/>
                <w:lang w:eastAsia="zh-CN"/>
              </w:rPr>
              <w:t>C</w:t>
            </w:r>
            <w:r w:rsidRPr="00B942CD">
              <w:rPr>
                <w:rFonts w:ascii="Times New Roman" w:eastAsia="SimSun" w:hAnsi="Times New Roman" w:cs="Times New Roman"/>
                <w:bCs/>
                <w:snapToGrid w:val="0"/>
                <w:color w:val="000000" w:themeColor="text1"/>
                <w:sz w:val="21"/>
                <w:szCs w:val="21"/>
                <w:vertAlign w:val="subscript"/>
                <w:lang w:eastAsia="zh-CN"/>
              </w:rPr>
              <w:t>max</w:t>
            </w:r>
            <w:proofErr w:type="spellEnd"/>
          </w:p>
        </w:tc>
        <w:tc>
          <w:tcPr>
            <w:tcW w:w="2955" w:type="pct"/>
            <w:noWrap/>
          </w:tcPr>
          <w:p w14:paraId="20C7C911" w14:textId="65AFB52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Maximum plasma concentration</w:t>
            </w:r>
          </w:p>
        </w:tc>
      </w:tr>
      <w:tr w:rsidR="00AA119C" w:rsidRPr="00B942CD" w14:paraId="6D92CAF4" w14:textId="77777777" w:rsidTr="00F778B6">
        <w:tc>
          <w:tcPr>
            <w:tcW w:w="2045" w:type="pct"/>
            <w:noWrap/>
          </w:tcPr>
          <w:p w14:paraId="6ABAF94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bCs/>
                <w:snapToGrid w:val="0"/>
                <w:color w:val="000000" w:themeColor="text1"/>
                <w:sz w:val="21"/>
                <w:szCs w:val="21"/>
              </w:rPr>
            </w:pPr>
            <w:proofErr w:type="spellStart"/>
            <w:r w:rsidRPr="00B942CD">
              <w:rPr>
                <w:rFonts w:ascii="Times New Roman" w:eastAsia="SimSun" w:hAnsi="Times New Roman" w:cs="Times New Roman"/>
                <w:bCs/>
                <w:snapToGrid w:val="0"/>
                <w:color w:val="000000" w:themeColor="text1"/>
                <w:sz w:val="21"/>
                <w:szCs w:val="21"/>
                <w:lang w:eastAsia="zh-CN"/>
              </w:rPr>
              <w:t>C</w:t>
            </w:r>
            <w:r w:rsidRPr="00B942CD">
              <w:rPr>
                <w:rFonts w:ascii="Times New Roman" w:eastAsia="SimSun" w:hAnsi="Times New Roman" w:cs="Times New Roman"/>
                <w:bCs/>
                <w:snapToGrid w:val="0"/>
                <w:color w:val="000000" w:themeColor="text1"/>
                <w:sz w:val="21"/>
                <w:szCs w:val="21"/>
                <w:vertAlign w:val="subscript"/>
                <w:lang w:eastAsia="zh-CN"/>
              </w:rPr>
              <w:t>ss</w:t>
            </w:r>
            <w:proofErr w:type="spellEnd"/>
            <w:r w:rsidRPr="00B942CD">
              <w:rPr>
                <w:rFonts w:ascii="Times New Roman" w:eastAsia="SimSun" w:hAnsi="Times New Roman" w:cs="Times New Roman"/>
                <w:bCs/>
                <w:snapToGrid w:val="0"/>
                <w:color w:val="000000" w:themeColor="text1"/>
                <w:sz w:val="21"/>
                <w:szCs w:val="21"/>
                <w:vertAlign w:val="subscript"/>
                <w:lang w:eastAsia="zh-CN"/>
              </w:rPr>
              <w:t xml:space="preserve"> max</w:t>
            </w:r>
          </w:p>
        </w:tc>
        <w:tc>
          <w:tcPr>
            <w:tcW w:w="2955" w:type="pct"/>
            <w:noWrap/>
          </w:tcPr>
          <w:p w14:paraId="21F921C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Maximum plasma concentration at steady state</w:t>
            </w:r>
          </w:p>
        </w:tc>
      </w:tr>
      <w:tr w:rsidR="00AA119C" w:rsidRPr="00B942CD" w14:paraId="1A3FA94F" w14:textId="77777777" w:rsidTr="00F778B6">
        <w:tc>
          <w:tcPr>
            <w:tcW w:w="2045" w:type="pct"/>
            <w:noWrap/>
          </w:tcPr>
          <w:p w14:paraId="3380DAC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CR</w:t>
            </w:r>
          </w:p>
        </w:tc>
        <w:tc>
          <w:tcPr>
            <w:tcW w:w="2955" w:type="pct"/>
            <w:noWrap/>
          </w:tcPr>
          <w:p w14:paraId="715663C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Complete response</w:t>
            </w:r>
          </w:p>
        </w:tc>
      </w:tr>
      <w:tr w:rsidR="00AA119C" w:rsidRPr="00B942CD" w14:paraId="46780486" w14:textId="77777777" w:rsidTr="00F778B6">
        <w:tc>
          <w:tcPr>
            <w:tcW w:w="2045" w:type="pct"/>
            <w:noWrap/>
          </w:tcPr>
          <w:p w14:paraId="174EFCA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CRF</w:t>
            </w:r>
          </w:p>
        </w:tc>
        <w:tc>
          <w:tcPr>
            <w:tcW w:w="2955" w:type="pct"/>
            <w:noWrap/>
          </w:tcPr>
          <w:p w14:paraId="4C3FCBBE" w14:textId="00189EE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Case Report Form</w:t>
            </w:r>
          </w:p>
        </w:tc>
      </w:tr>
      <w:tr w:rsidR="00AA119C" w:rsidRPr="00B942CD" w14:paraId="4E9178D3" w14:textId="77777777" w:rsidTr="00F778B6">
        <w:tc>
          <w:tcPr>
            <w:tcW w:w="2045" w:type="pct"/>
            <w:noWrap/>
          </w:tcPr>
          <w:p w14:paraId="055273F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CT</w:t>
            </w:r>
          </w:p>
        </w:tc>
        <w:tc>
          <w:tcPr>
            <w:tcW w:w="2955" w:type="pct"/>
            <w:noWrap/>
          </w:tcPr>
          <w:p w14:paraId="47381BDB" w14:textId="6167656F" w:rsidR="004733E0" w:rsidRPr="00B942CD" w:rsidRDefault="0025556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Computerized</w:t>
            </w:r>
            <w:r w:rsidR="004733E0" w:rsidRPr="00B942CD">
              <w:rPr>
                <w:rFonts w:ascii="Times New Roman" w:eastAsia="SimSun" w:hAnsi="Times New Roman" w:cs="Times New Roman"/>
                <w:snapToGrid w:val="0"/>
                <w:color w:val="000000" w:themeColor="text1"/>
                <w:sz w:val="21"/>
                <w:szCs w:val="21"/>
              </w:rPr>
              <w:t xml:space="preserve"> tomography</w:t>
            </w:r>
          </w:p>
        </w:tc>
      </w:tr>
      <w:tr w:rsidR="00AA119C" w:rsidRPr="00B942CD" w14:paraId="6B73BB55" w14:textId="77777777" w:rsidTr="00F778B6">
        <w:tc>
          <w:tcPr>
            <w:tcW w:w="2045" w:type="pct"/>
            <w:noWrap/>
          </w:tcPr>
          <w:p w14:paraId="3DD50F7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CTCAE</w:t>
            </w:r>
          </w:p>
        </w:tc>
        <w:tc>
          <w:tcPr>
            <w:tcW w:w="2955" w:type="pct"/>
            <w:noWrap/>
          </w:tcPr>
          <w:p w14:paraId="31BE454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Common Terminology Criteria for Adverse Events</w:t>
            </w:r>
          </w:p>
        </w:tc>
      </w:tr>
      <w:tr w:rsidR="00AA119C" w:rsidRPr="00B942CD" w14:paraId="51CAD8B4" w14:textId="77777777" w:rsidTr="00F778B6">
        <w:tc>
          <w:tcPr>
            <w:tcW w:w="2045" w:type="pct"/>
            <w:noWrap/>
          </w:tcPr>
          <w:p w14:paraId="51E69B3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ECG</w:t>
            </w:r>
          </w:p>
        </w:tc>
        <w:tc>
          <w:tcPr>
            <w:tcW w:w="2955" w:type="pct"/>
            <w:noWrap/>
          </w:tcPr>
          <w:p w14:paraId="16DDB08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Electrocardiogram</w:t>
            </w:r>
          </w:p>
        </w:tc>
      </w:tr>
      <w:tr w:rsidR="00AA119C" w:rsidRPr="00B942CD" w14:paraId="4CEF913C" w14:textId="77777777" w:rsidTr="00F778B6">
        <w:tc>
          <w:tcPr>
            <w:tcW w:w="2045" w:type="pct"/>
            <w:noWrap/>
          </w:tcPr>
          <w:p w14:paraId="6DE8562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bookmarkStart w:id="12" w:name="_Hlk467736441"/>
            <w:r w:rsidRPr="00B942CD">
              <w:rPr>
                <w:rFonts w:ascii="Times New Roman" w:eastAsia="SimSun" w:hAnsi="Times New Roman" w:cs="Times New Roman"/>
                <w:snapToGrid w:val="0"/>
                <w:color w:val="000000" w:themeColor="text1"/>
                <w:sz w:val="21"/>
                <w:szCs w:val="21"/>
                <w:lang w:eastAsia="zh-CN"/>
              </w:rPr>
              <w:t>ECOG</w:t>
            </w:r>
          </w:p>
        </w:tc>
        <w:tc>
          <w:tcPr>
            <w:tcW w:w="2955" w:type="pct"/>
            <w:noWrap/>
          </w:tcPr>
          <w:p w14:paraId="053E953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Eastern Cooperative Oncology Group</w:t>
            </w:r>
          </w:p>
        </w:tc>
      </w:tr>
      <w:bookmarkEnd w:id="12"/>
      <w:tr w:rsidR="00AA119C" w:rsidRPr="00B942CD" w14:paraId="1C1516F8" w14:textId="77777777" w:rsidTr="00F778B6">
        <w:tc>
          <w:tcPr>
            <w:tcW w:w="2045" w:type="pct"/>
            <w:noWrap/>
          </w:tcPr>
          <w:p w14:paraId="1DA3895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EMA</w:t>
            </w:r>
          </w:p>
        </w:tc>
        <w:tc>
          <w:tcPr>
            <w:tcW w:w="2955" w:type="pct"/>
            <w:noWrap/>
          </w:tcPr>
          <w:p w14:paraId="25D94ABE" w14:textId="4B95BC38"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European Medicines Agency</w:t>
            </w:r>
          </w:p>
        </w:tc>
      </w:tr>
      <w:tr w:rsidR="00AA119C" w:rsidRPr="00B942CD" w14:paraId="3E19EB2A" w14:textId="77777777" w:rsidTr="00F778B6">
        <w:tc>
          <w:tcPr>
            <w:tcW w:w="2045" w:type="pct"/>
            <w:noWrap/>
          </w:tcPr>
          <w:p w14:paraId="701EE78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ESMO</w:t>
            </w:r>
          </w:p>
        </w:tc>
        <w:tc>
          <w:tcPr>
            <w:tcW w:w="2955" w:type="pct"/>
            <w:noWrap/>
          </w:tcPr>
          <w:p w14:paraId="6CA62D0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European Society for Medical Oncology</w:t>
            </w:r>
          </w:p>
        </w:tc>
      </w:tr>
      <w:tr w:rsidR="00AA119C" w:rsidRPr="00B942CD" w14:paraId="57314E7F" w14:textId="77777777" w:rsidTr="00F778B6">
        <w:tc>
          <w:tcPr>
            <w:tcW w:w="2045" w:type="pct"/>
            <w:noWrap/>
          </w:tcPr>
          <w:p w14:paraId="035F75B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FDA</w:t>
            </w:r>
          </w:p>
        </w:tc>
        <w:tc>
          <w:tcPr>
            <w:tcW w:w="2955" w:type="pct"/>
            <w:noWrap/>
          </w:tcPr>
          <w:p w14:paraId="00339D9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Food and Drug Administration</w:t>
            </w:r>
          </w:p>
        </w:tc>
      </w:tr>
      <w:tr w:rsidR="00AA119C" w:rsidRPr="00B942CD" w14:paraId="793F5547" w14:textId="77777777" w:rsidTr="00F778B6">
        <w:tc>
          <w:tcPr>
            <w:tcW w:w="2045" w:type="pct"/>
            <w:noWrap/>
          </w:tcPr>
          <w:p w14:paraId="199D312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lang w:eastAsia="zh-CN"/>
              </w:rPr>
              <w:t>g</w:t>
            </w:r>
            <w:r w:rsidRPr="00B942CD">
              <w:rPr>
                <w:rFonts w:ascii="Times New Roman" w:eastAsia="SimSun" w:hAnsi="Times New Roman" w:cs="Times New Roman"/>
                <w:i/>
                <w:snapToGrid w:val="0"/>
                <w:color w:val="000000" w:themeColor="text1"/>
                <w:sz w:val="21"/>
                <w:szCs w:val="21"/>
                <w:lang w:eastAsia="zh-CN"/>
              </w:rPr>
              <w:t>BRCA</w:t>
            </w:r>
            <w:r w:rsidRPr="00B942CD">
              <w:rPr>
                <w:rFonts w:ascii="Times New Roman" w:eastAsia="SimSun" w:hAnsi="Times New Roman" w:cs="Times New Roman"/>
                <w:snapToGrid w:val="0"/>
                <w:color w:val="000000" w:themeColor="text1"/>
                <w:sz w:val="21"/>
                <w:szCs w:val="21"/>
                <w:lang w:eastAsia="zh-CN"/>
              </w:rPr>
              <w:t>mut</w:t>
            </w:r>
            <w:proofErr w:type="spellEnd"/>
          </w:p>
        </w:tc>
        <w:tc>
          <w:tcPr>
            <w:tcW w:w="2955" w:type="pct"/>
            <w:noWrap/>
          </w:tcPr>
          <w:p w14:paraId="3E73BDA6" w14:textId="49BBA2E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Germline </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 xml:space="preserve"> mutation</w:t>
            </w:r>
          </w:p>
        </w:tc>
      </w:tr>
      <w:tr w:rsidR="00AA119C" w:rsidRPr="00B942CD" w14:paraId="4B3AFDAE" w14:textId="77777777" w:rsidTr="00F778B6">
        <w:tc>
          <w:tcPr>
            <w:tcW w:w="2045" w:type="pct"/>
            <w:noWrap/>
          </w:tcPr>
          <w:p w14:paraId="0DB78C0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GCP</w:t>
            </w:r>
          </w:p>
        </w:tc>
        <w:tc>
          <w:tcPr>
            <w:tcW w:w="2955" w:type="pct"/>
            <w:noWrap/>
          </w:tcPr>
          <w:p w14:paraId="5584303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Good Clinical Practice</w:t>
            </w:r>
          </w:p>
        </w:tc>
      </w:tr>
      <w:tr w:rsidR="00AA119C" w:rsidRPr="00B942CD" w14:paraId="166CC1A8" w14:textId="77777777" w:rsidTr="00F778B6">
        <w:tc>
          <w:tcPr>
            <w:tcW w:w="2045" w:type="pct"/>
            <w:noWrap/>
          </w:tcPr>
          <w:p w14:paraId="3122E988" w14:textId="4A628D2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HR</w:t>
            </w:r>
          </w:p>
        </w:tc>
        <w:tc>
          <w:tcPr>
            <w:tcW w:w="2955" w:type="pct"/>
            <w:noWrap/>
          </w:tcPr>
          <w:p w14:paraId="2365E0C6" w14:textId="3E65447F"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Hazard ratio</w:t>
            </w:r>
          </w:p>
        </w:tc>
      </w:tr>
      <w:tr w:rsidR="00AA119C" w:rsidRPr="00B942CD" w14:paraId="417F9EB7" w14:textId="77777777" w:rsidTr="00F778B6">
        <w:tc>
          <w:tcPr>
            <w:tcW w:w="2045" w:type="pct"/>
            <w:noWrap/>
          </w:tcPr>
          <w:p w14:paraId="654E069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HRD</w:t>
            </w:r>
          </w:p>
        </w:tc>
        <w:tc>
          <w:tcPr>
            <w:tcW w:w="2955" w:type="pct"/>
            <w:noWrap/>
          </w:tcPr>
          <w:p w14:paraId="7D5F063F" w14:textId="4E01880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Homologous recombination deficiency</w:t>
            </w:r>
          </w:p>
        </w:tc>
      </w:tr>
      <w:tr w:rsidR="00AA119C" w:rsidRPr="00B942CD" w14:paraId="51F991D1" w14:textId="77777777" w:rsidTr="00F778B6">
        <w:tc>
          <w:tcPr>
            <w:tcW w:w="2045" w:type="pct"/>
            <w:noWrap/>
          </w:tcPr>
          <w:p w14:paraId="57F8A7D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ICF</w:t>
            </w:r>
          </w:p>
        </w:tc>
        <w:tc>
          <w:tcPr>
            <w:tcW w:w="2955" w:type="pct"/>
            <w:noWrap/>
          </w:tcPr>
          <w:p w14:paraId="794B1F38" w14:textId="3E5472D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Informed Consent Form</w:t>
            </w:r>
          </w:p>
        </w:tc>
      </w:tr>
      <w:tr w:rsidR="00AA119C" w:rsidRPr="00B942CD" w14:paraId="552A706C" w14:textId="77777777" w:rsidTr="00F778B6">
        <w:tc>
          <w:tcPr>
            <w:tcW w:w="2045" w:type="pct"/>
            <w:noWrap/>
          </w:tcPr>
          <w:p w14:paraId="6E5BDD1C" w14:textId="48C776B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ICH</w:t>
            </w:r>
          </w:p>
        </w:tc>
        <w:tc>
          <w:tcPr>
            <w:tcW w:w="2955" w:type="pct"/>
            <w:noWrap/>
          </w:tcPr>
          <w:p w14:paraId="553E6160" w14:textId="2722B3B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International Conference on Harmonization</w:t>
            </w:r>
          </w:p>
        </w:tc>
      </w:tr>
      <w:tr w:rsidR="00AA119C" w:rsidRPr="00B942CD" w14:paraId="7BF6BB07" w14:textId="77777777" w:rsidTr="00F778B6">
        <w:tc>
          <w:tcPr>
            <w:tcW w:w="2045" w:type="pct"/>
            <w:noWrap/>
          </w:tcPr>
          <w:p w14:paraId="5827C330" w14:textId="7955F7E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ITT</w:t>
            </w:r>
          </w:p>
        </w:tc>
        <w:tc>
          <w:tcPr>
            <w:tcW w:w="2955" w:type="pct"/>
            <w:noWrap/>
          </w:tcPr>
          <w:p w14:paraId="0877EE1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Intent-to-treat population</w:t>
            </w:r>
          </w:p>
        </w:tc>
      </w:tr>
      <w:tr w:rsidR="00AA119C" w:rsidRPr="00B942CD" w14:paraId="71E667D5" w14:textId="77777777" w:rsidTr="00F778B6">
        <w:tc>
          <w:tcPr>
            <w:tcW w:w="2045" w:type="pct"/>
            <w:noWrap/>
          </w:tcPr>
          <w:p w14:paraId="4371FC58" w14:textId="72154DF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MPV</w:t>
            </w:r>
          </w:p>
        </w:tc>
        <w:tc>
          <w:tcPr>
            <w:tcW w:w="2955" w:type="pct"/>
            <w:noWrap/>
          </w:tcPr>
          <w:p w14:paraId="06EA9F1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Mean platelet volume</w:t>
            </w:r>
          </w:p>
        </w:tc>
      </w:tr>
      <w:tr w:rsidR="00AA119C" w:rsidRPr="00B942CD" w14:paraId="676A1751" w14:textId="77777777" w:rsidTr="00F778B6">
        <w:tc>
          <w:tcPr>
            <w:tcW w:w="2045" w:type="pct"/>
            <w:noWrap/>
          </w:tcPr>
          <w:p w14:paraId="2F2A49D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MDS</w:t>
            </w:r>
          </w:p>
        </w:tc>
        <w:tc>
          <w:tcPr>
            <w:tcW w:w="2955" w:type="pct"/>
            <w:noWrap/>
          </w:tcPr>
          <w:p w14:paraId="045FB9D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Myelodysplastic syndrome</w:t>
            </w:r>
          </w:p>
        </w:tc>
      </w:tr>
      <w:tr w:rsidR="00AA119C" w:rsidRPr="00B942CD" w14:paraId="4021F25F" w14:textId="77777777" w:rsidTr="00F778B6">
        <w:tc>
          <w:tcPr>
            <w:tcW w:w="2045" w:type="pct"/>
            <w:noWrap/>
          </w:tcPr>
          <w:p w14:paraId="6C0D7BEE" w14:textId="365DA55F"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NHEJ</w:t>
            </w:r>
          </w:p>
        </w:tc>
        <w:tc>
          <w:tcPr>
            <w:tcW w:w="2955" w:type="pct"/>
            <w:noWrap/>
          </w:tcPr>
          <w:p w14:paraId="5C583CD1" w14:textId="419E0BD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Non-homologous end joining</w:t>
            </w:r>
          </w:p>
        </w:tc>
      </w:tr>
      <w:tr w:rsidR="00AA119C" w:rsidRPr="00B942CD" w14:paraId="197DA3E8" w14:textId="77777777" w:rsidTr="00F778B6">
        <w:tc>
          <w:tcPr>
            <w:tcW w:w="2045" w:type="pct"/>
            <w:noWrap/>
          </w:tcPr>
          <w:p w14:paraId="715BF52F" w14:textId="6739519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MedDRA</w:t>
            </w:r>
          </w:p>
        </w:tc>
        <w:tc>
          <w:tcPr>
            <w:tcW w:w="2955" w:type="pct"/>
            <w:noWrap/>
          </w:tcPr>
          <w:p w14:paraId="6FDA01A2" w14:textId="1CFC95F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Medical Dictionary for Regulatory Activities</w:t>
            </w:r>
          </w:p>
        </w:tc>
      </w:tr>
      <w:tr w:rsidR="00AA119C" w:rsidRPr="00B942CD" w14:paraId="4504295C" w14:textId="77777777" w:rsidTr="00F778B6">
        <w:tc>
          <w:tcPr>
            <w:tcW w:w="2045" w:type="pct"/>
            <w:noWrap/>
          </w:tcPr>
          <w:p w14:paraId="0405BF18" w14:textId="21127C8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MRI</w:t>
            </w:r>
          </w:p>
        </w:tc>
        <w:tc>
          <w:tcPr>
            <w:tcW w:w="2955" w:type="pct"/>
            <w:noWrap/>
          </w:tcPr>
          <w:p w14:paraId="6B80BDF4" w14:textId="5D3FFF5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Magnetic Resonance Imaging</w:t>
            </w:r>
          </w:p>
        </w:tc>
      </w:tr>
      <w:tr w:rsidR="00AA119C" w:rsidRPr="00B942CD" w14:paraId="622C9A19" w14:textId="77777777" w:rsidTr="00F778B6">
        <w:tc>
          <w:tcPr>
            <w:tcW w:w="2045" w:type="pct"/>
            <w:noWrap/>
          </w:tcPr>
          <w:p w14:paraId="4BB381A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NCCN</w:t>
            </w:r>
          </w:p>
        </w:tc>
        <w:tc>
          <w:tcPr>
            <w:tcW w:w="2955" w:type="pct"/>
            <w:noWrap/>
          </w:tcPr>
          <w:p w14:paraId="40824F6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National Comprehensive Cancer Network</w:t>
            </w:r>
          </w:p>
        </w:tc>
      </w:tr>
      <w:tr w:rsidR="00AA119C" w:rsidRPr="00B942CD" w14:paraId="08054F45" w14:textId="77777777" w:rsidTr="00F778B6">
        <w:tc>
          <w:tcPr>
            <w:tcW w:w="2045" w:type="pct"/>
            <w:noWrap/>
          </w:tcPr>
          <w:p w14:paraId="6420AB10" w14:textId="7B3289B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OS</w:t>
            </w:r>
          </w:p>
        </w:tc>
        <w:tc>
          <w:tcPr>
            <w:tcW w:w="2955" w:type="pct"/>
            <w:noWrap/>
          </w:tcPr>
          <w:p w14:paraId="544F79ED" w14:textId="5CD9E94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Overall survival</w:t>
            </w:r>
          </w:p>
        </w:tc>
      </w:tr>
      <w:tr w:rsidR="00AA119C" w:rsidRPr="00B942CD" w14:paraId="2148005B" w14:textId="77777777" w:rsidTr="00F778B6">
        <w:tc>
          <w:tcPr>
            <w:tcW w:w="2045" w:type="pct"/>
            <w:noWrap/>
          </w:tcPr>
          <w:p w14:paraId="4EBEB93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PARP</w:t>
            </w:r>
          </w:p>
        </w:tc>
        <w:tc>
          <w:tcPr>
            <w:tcW w:w="2955" w:type="pct"/>
            <w:noWrap/>
          </w:tcPr>
          <w:p w14:paraId="05D396A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Poly (ADP-ribose) polymerase</w:t>
            </w:r>
          </w:p>
        </w:tc>
      </w:tr>
      <w:tr w:rsidR="00AA119C" w:rsidRPr="00B942CD" w14:paraId="0F725A1E" w14:textId="77777777" w:rsidTr="00F778B6">
        <w:tc>
          <w:tcPr>
            <w:tcW w:w="2045" w:type="pct"/>
            <w:noWrap/>
          </w:tcPr>
          <w:p w14:paraId="62425B8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PD</w:t>
            </w:r>
          </w:p>
        </w:tc>
        <w:tc>
          <w:tcPr>
            <w:tcW w:w="2955" w:type="pct"/>
            <w:noWrap/>
          </w:tcPr>
          <w:p w14:paraId="26BF2EC7" w14:textId="2BCCC18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Progressive disease</w:t>
            </w:r>
          </w:p>
        </w:tc>
      </w:tr>
      <w:tr w:rsidR="00AA119C" w:rsidRPr="00B942CD" w14:paraId="19343092" w14:textId="77777777" w:rsidTr="00F778B6">
        <w:tc>
          <w:tcPr>
            <w:tcW w:w="2045" w:type="pct"/>
            <w:noWrap/>
          </w:tcPr>
          <w:p w14:paraId="30F7F1DD" w14:textId="2ED8154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lastRenderedPageBreak/>
              <w:t>PFS</w:t>
            </w:r>
          </w:p>
        </w:tc>
        <w:tc>
          <w:tcPr>
            <w:tcW w:w="2955" w:type="pct"/>
            <w:noWrap/>
          </w:tcPr>
          <w:p w14:paraId="33067145" w14:textId="32B40FC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Progression-free survival</w:t>
            </w:r>
          </w:p>
        </w:tc>
      </w:tr>
      <w:tr w:rsidR="00AA119C" w:rsidRPr="00B942CD" w14:paraId="3FB7ED0B" w14:textId="77777777" w:rsidTr="00F778B6">
        <w:tc>
          <w:tcPr>
            <w:tcW w:w="2045" w:type="pct"/>
            <w:noWrap/>
          </w:tcPr>
          <w:p w14:paraId="023815F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lang w:eastAsia="zh-CN"/>
              </w:rPr>
              <w:t>P-</w:t>
            </w:r>
            <w:proofErr w:type="spellStart"/>
            <w:r w:rsidRPr="00B942CD">
              <w:rPr>
                <w:rFonts w:ascii="Times New Roman" w:eastAsia="SimSun" w:hAnsi="Times New Roman" w:cs="Times New Roman"/>
                <w:bCs/>
                <w:snapToGrid w:val="0"/>
                <w:color w:val="000000" w:themeColor="text1"/>
                <w:sz w:val="21"/>
                <w:szCs w:val="21"/>
                <w:lang w:eastAsia="zh-CN"/>
              </w:rPr>
              <w:t>gp</w:t>
            </w:r>
            <w:proofErr w:type="spellEnd"/>
          </w:p>
        </w:tc>
        <w:tc>
          <w:tcPr>
            <w:tcW w:w="2955" w:type="pct"/>
            <w:noWrap/>
          </w:tcPr>
          <w:p w14:paraId="3CAFCF7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P-glycoprotein</w:t>
            </w:r>
          </w:p>
        </w:tc>
      </w:tr>
      <w:tr w:rsidR="00AA119C" w:rsidRPr="00B942CD" w14:paraId="47C4F4D8" w14:textId="77777777" w:rsidTr="00F778B6">
        <w:tc>
          <w:tcPr>
            <w:tcW w:w="2045" w:type="pct"/>
            <w:noWrap/>
          </w:tcPr>
          <w:p w14:paraId="0E0D886E" w14:textId="40CDB20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PR</w:t>
            </w:r>
          </w:p>
        </w:tc>
        <w:tc>
          <w:tcPr>
            <w:tcW w:w="2955" w:type="pct"/>
            <w:noWrap/>
          </w:tcPr>
          <w:p w14:paraId="383797B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Partial response</w:t>
            </w:r>
          </w:p>
        </w:tc>
      </w:tr>
      <w:tr w:rsidR="00AA119C" w:rsidRPr="00B942CD" w14:paraId="24285E9D" w14:textId="77777777" w:rsidTr="00F778B6">
        <w:tc>
          <w:tcPr>
            <w:tcW w:w="2045" w:type="pct"/>
            <w:noWrap/>
          </w:tcPr>
          <w:p w14:paraId="69F1CB5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QD</w:t>
            </w:r>
          </w:p>
        </w:tc>
        <w:tc>
          <w:tcPr>
            <w:tcW w:w="2955" w:type="pct"/>
            <w:noWrap/>
          </w:tcPr>
          <w:p w14:paraId="7C13F19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Once daily</w:t>
            </w:r>
          </w:p>
        </w:tc>
      </w:tr>
      <w:tr w:rsidR="00AA119C" w:rsidRPr="00B942CD" w14:paraId="60C0472D" w14:textId="77777777" w:rsidTr="00F778B6">
        <w:tc>
          <w:tcPr>
            <w:tcW w:w="2045" w:type="pct"/>
            <w:noWrap/>
          </w:tcPr>
          <w:p w14:paraId="3BC27365" w14:textId="2E33E953"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RECIST</w:t>
            </w:r>
          </w:p>
        </w:tc>
        <w:tc>
          <w:tcPr>
            <w:tcW w:w="2955" w:type="pct"/>
            <w:noWrap/>
          </w:tcPr>
          <w:p w14:paraId="2DD1B2AC" w14:textId="188AD7C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Response Evaluation Criteria in Solid Tumors</w:t>
            </w:r>
          </w:p>
        </w:tc>
      </w:tr>
      <w:tr w:rsidR="00AA119C" w:rsidRPr="00B942CD" w14:paraId="0FE35EB5" w14:textId="77777777" w:rsidTr="00F778B6">
        <w:tc>
          <w:tcPr>
            <w:tcW w:w="2045" w:type="pct"/>
            <w:noWrap/>
          </w:tcPr>
          <w:p w14:paraId="4B776941" w14:textId="2184400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SAE</w:t>
            </w:r>
          </w:p>
        </w:tc>
        <w:tc>
          <w:tcPr>
            <w:tcW w:w="2955" w:type="pct"/>
            <w:noWrap/>
          </w:tcPr>
          <w:p w14:paraId="3F0DCFA2" w14:textId="69997E3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Serious adverse event</w:t>
            </w:r>
          </w:p>
        </w:tc>
      </w:tr>
      <w:tr w:rsidR="00AA119C" w:rsidRPr="00B942CD" w14:paraId="6AB533DD" w14:textId="77777777" w:rsidTr="00F778B6">
        <w:tc>
          <w:tcPr>
            <w:tcW w:w="2045" w:type="pct"/>
            <w:noWrap/>
          </w:tcPr>
          <w:p w14:paraId="20B50BF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SD</w:t>
            </w:r>
          </w:p>
        </w:tc>
        <w:tc>
          <w:tcPr>
            <w:tcW w:w="2955" w:type="pct"/>
            <w:noWrap/>
          </w:tcPr>
          <w:p w14:paraId="5C98BDC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Stable disease</w:t>
            </w:r>
          </w:p>
        </w:tc>
      </w:tr>
      <w:tr w:rsidR="00AA119C" w:rsidRPr="00B942CD" w14:paraId="20E55B3D" w14:textId="77777777" w:rsidTr="00F778B6">
        <w:tc>
          <w:tcPr>
            <w:tcW w:w="2045" w:type="pct"/>
            <w:noWrap/>
          </w:tcPr>
          <w:p w14:paraId="44938472" w14:textId="408B37B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SUSAR</w:t>
            </w:r>
          </w:p>
        </w:tc>
        <w:tc>
          <w:tcPr>
            <w:tcW w:w="2955" w:type="pct"/>
            <w:noWrap/>
          </w:tcPr>
          <w:p w14:paraId="6A4CD71D" w14:textId="37E4D1A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Suspected unexpected serious adverse reaction</w:t>
            </w:r>
          </w:p>
        </w:tc>
      </w:tr>
      <w:tr w:rsidR="00AA119C" w:rsidRPr="00B942CD" w14:paraId="4760B3FD" w14:textId="77777777" w:rsidTr="00F778B6">
        <w:tc>
          <w:tcPr>
            <w:tcW w:w="2045" w:type="pct"/>
            <w:noWrap/>
          </w:tcPr>
          <w:p w14:paraId="19E9F5A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VEGF</w:t>
            </w:r>
          </w:p>
        </w:tc>
        <w:tc>
          <w:tcPr>
            <w:tcW w:w="2955" w:type="pct"/>
            <w:noWrap/>
          </w:tcPr>
          <w:p w14:paraId="3F80B30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Vascular endothelial growth factor</w:t>
            </w:r>
          </w:p>
        </w:tc>
      </w:tr>
      <w:tr w:rsidR="00F778B6" w:rsidRPr="00B942CD" w14:paraId="55F47332" w14:textId="77777777" w:rsidTr="00F778B6">
        <w:tc>
          <w:tcPr>
            <w:tcW w:w="2045" w:type="pct"/>
            <w:noWrap/>
          </w:tcPr>
          <w:p w14:paraId="63E5BD5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TKI</w:t>
            </w:r>
          </w:p>
        </w:tc>
        <w:tc>
          <w:tcPr>
            <w:tcW w:w="2955" w:type="pct"/>
            <w:noWrap/>
          </w:tcPr>
          <w:p w14:paraId="7F9D709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Tyrosine kinase inhibitor</w:t>
            </w:r>
          </w:p>
        </w:tc>
      </w:tr>
    </w:tbl>
    <w:p w14:paraId="2EDA8596" w14:textId="68927911" w:rsidR="00A705FB" w:rsidRPr="00B942CD" w:rsidRDefault="00A705FB"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lang w:eastAsia="zh-CN"/>
        </w:rPr>
      </w:pPr>
      <w:r w:rsidRPr="00B942CD">
        <w:rPr>
          <w:rFonts w:ascii="Times New Roman" w:eastAsia="SimSun" w:hAnsi="Times New Roman" w:cs="Times New Roman"/>
          <w:snapToGrid w:val="0"/>
          <w:color w:val="000000" w:themeColor="text1"/>
          <w:sz w:val="24"/>
          <w:lang w:eastAsia="zh-CN"/>
        </w:rPr>
        <w:br w:type="page"/>
      </w:r>
    </w:p>
    <w:p w14:paraId="39113E24" w14:textId="77777777" w:rsidR="004733E0" w:rsidRPr="00B942CD" w:rsidRDefault="004733E0" w:rsidP="00AA119C">
      <w:pPr>
        <w:pStyle w:val="Heading1"/>
        <w:rPr>
          <w:rFonts w:cs="Times New Roman"/>
        </w:rPr>
      </w:pPr>
      <w:bookmarkStart w:id="13" w:name="1_INTRODUCTION"/>
      <w:bookmarkStart w:id="14" w:name="_bookmark3"/>
      <w:bookmarkStart w:id="15" w:name="_Toc98358589"/>
      <w:bookmarkEnd w:id="13"/>
      <w:bookmarkEnd w:id="14"/>
      <w:r w:rsidRPr="00B942CD">
        <w:rPr>
          <w:rFonts w:cs="Times New Roman"/>
        </w:rPr>
        <w:lastRenderedPageBreak/>
        <w:t>Introduction</w:t>
      </w:r>
      <w:bookmarkStart w:id="16" w:name="1.1_General_Background"/>
      <w:bookmarkStart w:id="17" w:name="_bookmark4"/>
      <w:bookmarkEnd w:id="15"/>
      <w:bookmarkEnd w:id="16"/>
      <w:bookmarkEnd w:id="17"/>
    </w:p>
    <w:p w14:paraId="6589B448" w14:textId="6929F07F" w:rsidR="004733E0" w:rsidRPr="00B942CD" w:rsidRDefault="004733E0" w:rsidP="00AA119C">
      <w:pPr>
        <w:pStyle w:val="Heading2"/>
        <w:rPr>
          <w:rFonts w:cs="Times New Roman"/>
        </w:rPr>
      </w:pPr>
      <w:bookmarkStart w:id="18" w:name="1.2_Ovarian_Cancer"/>
      <w:bookmarkStart w:id="19" w:name="_bookmark5"/>
      <w:bookmarkStart w:id="20" w:name="_Toc98358590"/>
      <w:bookmarkEnd w:id="18"/>
      <w:bookmarkEnd w:id="19"/>
      <w:r w:rsidRPr="00B942CD">
        <w:rPr>
          <w:rFonts w:cs="Times New Roman"/>
        </w:rPr>
        <w:t>Ovarian Cancer</w:t>
      </w:r>
      <w:bookmarkEnd w:id="20"/>
    </w:p>
    <w:p w14:paraId="6ED619C0" w14:textId="23C7713C"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bCs/>
          <w:snapToGrid w:val="0"/>
          <w:color w:val="000000" w:themeColor="text1"/>
          <w:sz w:val="24"/>
        </w:rPr>
      </w:pPr>
      <w:bookmarkStart w:id="21" w:name="1.3_Breast_Cancer"/>
      <w:bookmarkStart w:id="22" w:name="_bookmark6"/>
      <w:bookmarkEnd w:id="21"/>
      <w:bookmarkEnd w:id="22"/>
      <w:r w:rsidRPr="00B942CD">
        <w:rPr>
          <w:rFonts w:ascii="Times New Roman" w:eastAsia="SimSun" w:hAnsi="Times New Roman" w:cs="Times New Roman"/>
          <w:bCs/>
          <w:snapToGrid w:val="0"/>
          <w:color w:val="000000" w:themeColor="text1"/>
          <w:sz w:val="24"/>
        </w:rPr>
        <w:t xml:space="preserve">Ovarian cancer is one of the most common malignancies of the female reproductive system, and is also one of the leading causes of death from </w:t>
      </w:r>
      <w:proofErr w:type="spellStart"/>
      <w:r w:rsidRPr="00B942CD">
        <w:rPr>
          <w:rFonts w:ascii="Times New Roman" w:eastAsia="SimSun" w:hAnsi="Times New Roman" w:cs="Times New Roman"/>
          <w:bCs/>
          <w:snapToGrid w:val="0"/>
          <w:color w:val="000000" w:themeColor="text1"/>
          <w:sz w:val="24"/>
        </w:rPr>
        <w:t>gynaecological</w:t>
      </w:r>
      <w:proofErr w:type="spellEnd"/>
      <w:r w:rsidRPr="00B942CD">
        <w:rPr>
          <w:rFonts w:ascii="Times New Roman" w:eastAsia="SimSun" w:hAnsi="Times New Roman" w:cs="Times New Roman"/>
          <w:bCs/>
          <w:snapToGrid w:val="0"/>
          <w:color w:val="000000" w:themeColor="text1"/>
          <w:sz w:val="24"/>
        </w:rPr>
        <w:t xml:space="preserve"> malignancy in China. In 2015, the number of new cases of ovarian cancer in China was ~52,100, whereas the number of deaths was ~22,500 </w:t>
      </w:r>
      <w:r w:rsidRPr="00B942CD">
        <w:rPr>
          <w:rFonts w:ascii="Times New Roman" w:eastAsia="SimSun" w:hAnsi="Times New Roman" w:cs="Times New Roman"/>
          <w:bCs/>
          <w:snapToGrid w:val="0"/>
          <w:color w:val="000000" w:themeColor="text1"/>
          <w:sz w:val="24"/>
          <w:vertAlign w:val="superscript"/>
        </w:rPr>
        <w:t>1</w:t>
      </w:r>
      <w:r w:rsidRPr="00B942CD">
        <w:rPr>
          <w:rFonts w:ascii="Times New Roman" w:eastAsia="SimSun" w:hAnsi="Times New Roman" w:cs="Times New Roman"/>
          <w:bCs/>
          <w:snapToGrid w:val="0"/>
          <w:color w:val="000000" w:themeColor="text1"/>
          <w:sz w:val="24"/>
        </w:rPr>
        <w:t>.</w:t>
      </w:r>
    </w:p>
    <w:p w14:paraId="26A6D4A9" w14:textId="6C766C2A" w:rsidR="004733E0" w:rsidRPr="00B942CD" w:rsidRDefault="004733E0" w:rsidP="00AA119C">
      <w:pPr>
        <w:pStyle w:val="20"/>
        <w:widowControl/>
        <w:numPr>
          <w:ilvl w:val="0"/>
          <w:numId w:val="0"/>
        </w:numPr>
        <w:adjustRightInd w:val="0"/>
        <w:snapToGrid w:val="0"/>
        <w:spacing w:beforeLines="50" w:before="120" w:line="288" w:lineRule="auto"/>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Early-stage ovarian cancer is generally asymptomatic, approximately 75% of women present with advanced disease at diagnosis. The standard treatment for ovarian cancer mainly includes surgical resection (such as cytoreductive surgery) and combination chemotherapy consisting of paclitaxel and platinum. However, the vast majority of patients will experience disease recurrence 2 years after the above treatment. They gradually develop resistance to platinum-containing chemotherapy and become less tolerant to the toxicity of chemotherapeutic agents, with shorter progression-free survival (PFS), fewer subsequent effective treatments and worse prognosis. For ovarian cancer patients with distant metastasis, the five-year survival is only 29% </w:t>
      </w:r>
      <w:r w:rsidRPr="00B942CD">
        <w:rPr>
          <w:rFonts w:ascii="Times New Roman" w:eastAsia="SimSun" w:hAnsi="Times New Roman"/>
          <w:snapToGrid w:val="0"/>
          <w:color w:val="000000" w:themeColor="text1"/>
          <w:kern w:val="0"/>
          <w:szCs w:val="22"/>
          <w:vertAlign w:val="superscript"/>
        </w:rPr>
        <w:t>2</w:t>
      </w:r>
      <w:r w:rsidRPr="00B942CD">
        <w:rPr>
          <w:rFonts w:ascii="Times New Roman" w:eastAsia="SimSun" w:hAnsi="Times New Roman"/>
          <w:snapToGrid w:val="0"/>
          <w:color w:val="000000" w:themeColor="text1"/>
          <w:kern w:val="0"/>
          <w:szCs w:val="22"/>
        </w:rPr>
        <w:t>.</w:t>
      </w:r>
    </w:p>
    <w:p w14:paraId="69391F40" w14:textId="2E2D6B84" w:rsidR="004733E0" w:rsidRPr="00B942CD" w:rsidRDefault="004733E0" w:rsidP="00AA119C">
      <w:pPr>
        <w:pStyle w:val="20"/>
        <w:widowControl/>
        <w:numPr>
          <w:ilvl w:val="0"/>
          <w:numId w:val="0"/>
        </w:numPr>
        <w:adjustRightInd w:val="0"/>
        <w:snapToGrid w:val="0"/>
        <w:spacing w:beforeLines="50" w:before="120" w:line="288" w:lineRule="auto"/>
        <w:rPr>
          <w:rFonts w:ascii="Times New Roman" w:eastAsia="SimSun" w:hAnsi="Times New Roman"/>
          <w:snapToGrid w:val="0"/>
          <w:color w:val="000000" w:themeColor="text1"/>
          <w:kern w:val="0"/>
        </w:rPr>
      </w:pPr>
      <w:r w:rsidRPr="00B942CD">
        <w:rPr>
          <w:rFonts w:ascii="Times New Roman" w:eastAsia="SimSun" w:hAnsi="Times New Roman"/>
          <w:snapToGrid w:val="0"/>
          <w:color w:val="000000" w:themeColor="text1"/>
          <w:kern w:val="0"/>
          <w:szCs w:val="22"/>
        </w:rPr>
        <w:t xml:space="preserve">At present, the treatment of recurrent ovarian cancer depends on the interval between the date of the last dose of the previous line of therapy and the date of relapse. Among them, platinum-resistant recurrent ovarian cancer is defined as tumor progression during or within six months after the last dose of platinum-based therapy </w:t>
      </w:r>
      <w:r w:rsidRPr="00B942CD">
        <w:rPr>
          <w:rFonts w:ascii="Times New Roman" w:eastAsia="SimSun" w:hAnsi="Times New Roman"/>
          <w:snapToGrid w:val="0"/>
          <w:color w:val="000000" w:themeColor="text1"/>
          <w:kern w:val="0"/>
          <w:szCs w:val="22"/>
          <w:vertAlign w:val="superscript"/>
        </w:rPr>
        <w:t>3,4</w:t>
      </w:r>
      <w:r w:rsidRPr="00B942CD">
        <w:rPr>
          <w:rFonts w:ascii="Times New Roman" w:eastAsia="SimSun" w:hAnsi="Times New Roman"/>
          <w:snapToGrid w:val="0"/>
          <w:color w:val="000000" w:themeColor="text1"/>
          <w:kern w:val="0"/>
          <w:szCs w:val="22"/>
        </w:rPr>
        <w:t>. According to the guidelines issued by the National Comprehensive Cancer Network (NCCN) and the European Society of Medical Oncology (ESMO), patients who are not considered suitable for platinum-based chemotherapy are treated with a platinum-free regimen such as weekly paclitaxel, liposomal doxorubicin and topotecan (alone or in combination with bevacizumab). However, platinum-free regimen has a lower response rate (10%-15%) and a shorter duration of response (3-4 months) in patients with platinum-resistant recurrent ovarian cancer. Besides, chemotherapeutic agents are inconvenient to be administrated, with high toxicity, which are difficulties in the treatment of patients with platinum-resistant recurrent ovarian cancer. In the study based on platinum-resistant recurrent ovarian cancer, there is an urgent need for a treatment mode with equal efficacy but less side effects. In addition, if there is a platinum-free treatment mode with the same efficacy after progressive disease (PD) (platinum may still be used in the later-line therapy when PD), it will prolong the platinum-free interval of patients, improve the quality of life and retain more later-line treatment options for these patients, which is also an unmet clinical demand at present.</w:t>
      </w:r>
    </w:p>
    <w:p w14:paraId="4F70BB82" w14:textId="1F8278ED" w:rsidR="004733E0" w:rsidRPr="00B942CD" w:rsidRDefault="004733E0" w:rsidP="00AA119C">
      <w:pPr>
        <w:pStyle w:val="Heading2"/>
        <w:rPr>
          <w:rFonts w:cs="Times New Roman"/>
        </w:rPr>
      </w:pPr>
      <w:bookmarkStart w:id="23" w:name="1.4_Background_of_PARP_and_PARP_Inhibiti"/>
      <w:bookmarkStart w:id="24" w:name="_bookmark7"/>
      <w:bookmarkStart w:id="25" w:name="_Toc98358591"/>
      <w:bookmarkEnd w:id="23"/>
      <w:bookmarkEnd w:id="24"/>
      <w:r w:rsidRPr="00B942CD">
        <w:rPr>
          <w:rFonts w:cs="Times New Roman"/>
        </w:rPr>
        <w:t>Background of PARP and PARP Inhibitors</w:t>
      </w:r>
      <w:bookmarkEnd w:id="25"/>
    </w:p>
    <w:p w14:paraId="32D63B3A" w14:textId="4A725057" w:rsidR="004733E0" w:rsidRPr="00B942CD" w:rsidRDefault="004733E0" w:rsidP="00AA119C">
      <w:pPr>
        <w:pStyle w:val="20"/>
        <w:widowControl/>
        <w:numPr>
          <w:ilvl w:val="0"/>
          <w:numId w:val="0"/>
        </w:numPr>
        <w:adjustRightInd w:val="0"/>
        <w:snapToGrid w:val="0"/>
        <w:spacing w:beforeLines="50" w:before="120" w:line="288" w:lineRule="auto"/>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Poly (ADP-ribose) polymerase (PARP-1 and PARP-2) is a zinc-finger DNA binding protein used to detect DNA single-strand breaks and promote repair. After detecting DNA damage, PARP can transfer breaks to intracellular signaling and activate base-excision repair (BER) pathway</w:t>
      </w:r>
      <w:r w:rsidRPr="00B942CD">
        <w:rPr>
          <w:rFonts w:ascii="Times New Roman" w:eastAsia="SimSun" w:hAnsi="Times New Roman"/>
          <w:snapToGrid w:val="0"/>
          <w:color w:val="000000" w:themeColor="text1"/>
          <w:kern w:val="0"/>
          <w:szCs w:val="22"/>
          <w:vertAlign w:val="superscript"/>
        </w:rPr>
        <w:t>5</w:t>
      </w:r>
      <w:r w:rsidRPr="00B942CD">
        <w:rPr>
          <w:rFonts w:ascii="Times New Roman" w:eastAsia="SimSun" w:hAnsi="Times New Roman"/>
          <w:snapToGrid w:val="0"/>
          <w:color w:val="000000" w:themeColor="text1"/>
          <w:kern w:val="0"/>
          <w:szCs w:val="22"/>
        </w:rPr>
        <w:t xml:space="preserve">, which is very important for cells with defects (homologous recombination deficiency) in high-fidelity </w:t>
      </w:r>
      <w:r w:rsidRPr="00B942CD">
        <w:rPr>
          <w:rFonts w:ascii="Times New Roman" w:eastAsia="SimSun" w:hAnsi="Times New Roman"/>
          <w:snapToGrid w:val="0"/>
          <w:color w:val="000000" w:themeColor="text1"/>
          <w:kern w:val="0"/>
          <w:szCs w:val="22"/>
        </w:rPr>
        <w:lastRenderedPageBreak/>
        <w:t xml:space="preserve">double-strand DNA repair mechanism. As described above, inactivation of some genes, e.g., </w:t>
      </w:r>
      <w:r w:rsidRPr="00B942CD">
        <w:rPr>
          <w:rFonts w:ascii="Times New Roman" w:eastAsia="SimSun" w:hAnsi="Times New Roman"/>
          <w:i/>
          <w:iCs/>
          <w:snapToGrid w:val="0"/>
          <w:color w:val="000000" w:themeColor="text1"/>
          <w:kern w:val="0"/>
          <w:szCs w:val="22"/>
        </w:rPr>
        <w:t>BRCA</w:t>
      </w:r>
      <w:r w:rsidRPr="00B942CD">
        <w:rPr>
          <w:rFonts w:ascii="Times New Roman" w:eastAsia="SimSun" w:hAnsi="Times New Roman"/>
          <w:snapToGrid w:val="0"/>
          <w:color w:val="000000" w:themeColor="text1"/>
          <w:kern w:val="0"/>
          <w:szCs w:val="22"/>
        </w:rPr>
        <w:t xml:space="preserve"> 1/2 gene and ataxia telangiectasia mutated (</w:t>
      </w:r>
      <w:r w:rsidRPr="00B942CD">
        <w:rPr>
          <w:rFonts w:ascii="Times New Roman" w:eastAsia="SimSun" w:hAnsi="Times New Roman"/>
          <w:i/>
          <w:iCs/>
          <w:snapToGrid w:val="0"/>
          <w:color w:val="000000" w:themeColor="text1"/>
          <w:kern w:val="0"/>
          <w:szCs w:val="22"/>
        </w:rPr>
        <w:t>ATM</w:t>
      </w:r>
      <w:r w:rsidRPr="00B942CD">
        <w:rPr>
          <w:rFonts w:ascii="Times New Roman" w:eastAsia="SimSun" w:hAnsi="Times New Roman"/>
          <w:snapToGrid w:val="0"/>
          <w:color w:val="000000" w:themeColor="text1"/>
          <w:kern w:val="0"/>
          <w:szCs w:val="22"/>
        </w:rPr>
        <w:t>) gene, may lead to HRD. In the context of defects in DNA double-strand repair, cell DNA damage repair will rely more on the single-strand damage repair pathway; therefore, PARP inhibitors can have synergistic and enhanced effect of inducing cell death in ovarian cancer patients with widespread HRD due to germline BRCA mutations, etc., through blockade and inhibition of DNA single-strand damage repair in combination with DNA double-strand repair defects caused by HRD</w:t>
      </w:r>
      <w:r w:rsidRPr="00B942CD">
        <w:rPr>
          <w:rFonts w:ascii="Times New Roman" w:eastAsia="SimSun" w:hAnsi="Times New Roman"/>
          <w:snapToGrid w:val="0"/>
          <w:color w:val="000000" w:themeColor="text1"/>
          <w:kern w:val="0"/>
          <w:szCs w:val="22"/>
          <w:vertAlign w:val="superscript"/>
        </w:rPr>
        <w:t>6</w:t>
      </w:r>
      <w:r w:rsidRPr="00B942CD">
        <w:rPr>
          <w:rFonts w:ascii="Times New Roman" w:eastAsia="SimSun" w:hAnsi="Times New Roman"/>
          <w:snapToGrid w:val="0"/>
          <w:color w:val="000000" w:themeColor="text1"/>
          <w:kern w:val="0"/>
          <w:szCs w:val="22"/>
        </w:rPr>
        <w:t>. At the same time, the mechanism of inducing cell death of PARP inhibitors also suggests that it will also produce anti-cancer effect when applied to ovarian cancer patients with non-BRCA gene abnormality. Pre-clinical in vitro and in vivo studies have proven the efficacy of the target. Therefore, targeted therapy directed at PARP has a solid scientific foundation in patients with ovarian cancer.</w:t>
      </w:r>
    </w:p>
    <w:p w14:paraId="5FAAE11B" w14:textId="7C6E1F81" w:rsidR="004733E0" w:rsidRPr="00B942CD" w:rsidRDefault="004733E0" w:rsidP="00AA119C">
      <w:pPr>
        <w:pStyle w:val="20"/>
        <w:widowControl/>
        <w:numPr>
          <w:ilvl w:val="0"/>
          <w:numId w:val="0"/>
        </w:numPr>
        <w:adjustRightInd w:val="0"/>
        <w:snapToGrid w:val="0"/>
        <w:spacing w:beforeLines="50" w:before="120" w:line="288" w:lineRule="auto"/>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In recent years, multiple clinical studies have showed the efficacy of PARP inhibitors to recurrent ovarian cancer </w:t>
      </w:r>
      <w:r w:rsidRPr="00B942CD">
        <w:rPr>
          <w:rFonts w:ascii="Times New Roman" w:eastAsia="SimSun" w:hAnsi="Times New Roman"/>
          <w:snapToGrid w:val="0"/>
          <w:color w:val="000000" w:themeColor="text1"/>
          <w:kern w:val="0"/>
          <w:szCs w:val="22"/>
          <w:vertAlign w:val="superscript"/>
        </w:rPr>
        <w:t>7-9</w:t>
      </w:r>
      <w:r w:rsidRPr="00B942CD">
        <w:rPr>
          <w:rFonts w:ascii="Times New Roman" w:eastAsia="SimSun" w:hAnsi="Times New Roman"/>
          <w:snapToGrid w:val="0"/>
          <w:color w:val="000000" w:themeColor="text1"/>
          <w:kern w:val="0"/>
          <w:szCs w:val="22"/>
        </w:rPr>
        <w:t xml:space="preserve">. Niraparib is a potent and highly selective PARP-1/2 inhibitor developed by TESARO in the world (except China). In a phase III, randomized, placebo-controlled international multicenter clinical trial that has been completed recently, niraparib, as a maintenance treatment, significantly prolonged PFS of patients with platinum-sensitive recurrent ovarian cancer. To date, this is the first completed phase III confirmatory study that proved the clinical efficacy of PARP inhibitors in patients with recurrent ovarian cancer; what’s more, niraparib showed significant efficacy in ovarian cancer patients carrying germline </w:t>
      </w:r>
      <w:r w:rsidRPr="00B942CD">
        <w:rPr>
          <w:rFonts w:ascii="Times New Roman" w:eastAsia="SimSun" w:hAnsi="Times New Roman"/>
          <w:i/>
          <w:iCs/>
          <w:snapToGrid w:val="0"/>
          <w:color w:val="000000" w:themeColor="text1"/>
          <w:kern w:val="0"/>
          <w:szCs w:val="22"/>
        </w:rPr>
        <w:t>BRCA</w:t>
      </w:r>
      <w:r w:rsidRPr="00B942CD">
        <w:rPr>
          <w:rFonts w:ascii="Times New Roman" w:eastAsia="SimSun" w:hAnsi="Times New Roman"/>
          <w:snapToGrid w:val="0"/>
          <w:color w:val="000000" w:themeColor="text1"/>
          <w:kern w:val="0"/>
          <w:szCs w:val="22"/>
        </w:rPr>
        <w:t xml:space="preserve"> mutation and those carrying non-germline </w:t>
      </w:r>
      <w:r w:rsidRPr="00B942CD">
        <w:rPr>
          <w:rFonts w:ascii="Times New Roman" w:eastAsia="SimSun" w:hAnsi="Times New Roman"/>
          <w:i/>
          <w:iCs/>
          <w:snapToGrid w:val="0"/>
          <w:color w:val="000000" w:themeColor="text1"/>
          <w:kern w:val="0"/>
          <w:szCs w:val="22"/>
        </w:rPr>
        <w:t>BRCA</w:t>
      </w:r>
      <w:r w:rsidRPr="00B942CD">
        <w:rPr>
          <w:rFonts w:ascii="Times New Roman" w:eastAsia="SimSun" w:hAnsi="Times New Roman"/>
          <w:snapToGrid w:val="0"/>
          <w:color w:val="000000" w:themeColor="text1"/>
          <w:kern w:val="0"/>
          <w:szCs w:val="22"/>
        </w:rPr>
        <w:t xml:space="preserve"> mutation</w:t>
      </w:r>
      <w:r w:rsidRPr="00B942CD">
        <w:rPr>
          <w:rFonts w:ascii="Times New Roman" w:eastAsia="SimSun" w:hAnsi="Times New Roman"/>
          <w:snapToGrid w:val="0"/>
          <w:color w:val="000000" w:themeColor="text1"/>
          <w:kern w:val="0"/>
          <w:szCs w:val="22"/>
          <w:vertAlign w:val="superscript"/>
        </w:rPr>
        <w:t>10</w:t>
      </w:r>
      <w:r w:rsidRPr="00B942CD">
        <w:rPr>
          <w:rFonts w:ascii="Times New Roman" w:eastAsia="SimSun" w:hAnsi="Times New Roman"/>
          <w:snapToGrid w:val="0"/>
          <w:color w:val="000000" w:themeColor="text1"/>
          <w:kern w:val="0"/>
          <w:szCs w:val="22"/>
        </w:rPr>
        <w:t xml:space="preserve">. </w:t>
      </w:r>
      <w:r w:rsidRPr="00B942CD">
        <w:rPr>
          <w:rFonts w:ascii="Times New Roman" w:eastAsia="SimSun" w:hAnsi="Times New Roman"/>
          <w:snapToGrid w:val="0"/>
          <w:kern w:val="0"/>
        </w:rPr>
        <w:t>As strongly backed by supporting data as described above, niraparib was granted accelerated review and priority review by FDA in September and December 2016, respectively, and obtained accelerated approval for marketing 3 months in advance by FDA in March 2017 for the maintenance treatment of platinum-sensitive recurrent ovarian cancer,</w:t>
      </w:r>
      <w:bookmarkStart w:id="26" w:name="_Hlk529144338"/>
      <w:r w:rsidR="00255560" w:rsidRPr="00B942CD">
        <w:rPr>
          <w:rFonts w:ascii="Times New Roman" w:eastAsia="SimSun" w:hAnsi="Times New Roman"/>
          <w:snapToGrid w:val="0"/>
          <w:kern w:val="0"/>
        </w:rPr>
        <w:t xml:space="preserve"> </w:t>
      </w:r>
      <w:r w:rsidRPr="00B942CD">
        <w:rPr>
          <w:rFonts w:ascii="Times New Roman" w:eastAsia="SimSun" w:hAnsi="Times New Roman"/>
          <w:snapToGrid w:val="0"/>
          <w:kern w:val="0"/>
        </w:rPr>
        <w:t>and was subsequently approved by the European Medicines Agency (EMA) in November 2017 for maintenance treatment of platinum-sensitive recurrent high-grade serous ovarian cancer.</w:t>
      </w:r>
      <w:bookmarkEnd w:id="26"/>
      <w:r w:rsidRPr="00B942CD">
        <w:rPr>
          <w:rFonts w:ascii="Times New Roman" w:eastAsia="SimSun" w:hAnsi="Times New Roman"/>
          <w:snapToGrid w:val="0"/>
          <w:kern w:val="0"/>
        </w:rPr>
        <w:t xml:space="preserve"> </w:t>
      </w:r>
      <w:r w:rsidRPr="00B942CD">
        <w:rPr>
          <w:rFonts w:ascii="Times New Roman" w:eastAsia="SimSun" w:hAnsi="Times New Roman"/>
          <w:snapToGrid w:val="0"/>
          <w:color w:val="000000" w:themeColor="text1"/>
          <w:kern w:val="0"/>
          <w:szCs w:val="22"/>
        </w:rPr>
        <w:t>In the recently reported study (TOPACIO/KEYNOTE-162: niraparib + PD-1 monoclonal antibody in patients with platinum-resistant recurrent ovarian cancer), the combination of the two drugs has also achieved an objective response rate (ORR) of 18% and a disease control rate (DCR)of 60%, suggesting that niraparib also has good efficacy in platinum-resistant recurrent ovarian cancer. Zai Lab obtained the exclusive right of research &amp; development, production and sales of niraparib in China (including Hong Kong and Macau) in September 2016, with number of ZL-2306.</w:t>
      </w:r>
    </w:p>
    <w:p w14:paraId="398ABC20" w14:textId="722E9923" w:rsidR="004733E0" w:rsidRPr="00B942CD" w:rsidRDefault="004733E0" w:rsidP="00AA119C">
      <w:pPr>
        <w:pStyle w:val="Heading2"/>
        <w:rPr>
          <w:rFonts w:cs="Times New Roman"/>
        </w:rPr>
      </w:pPr>
      <w:bookmarkStart w:id="27" w:name="1.5_Background_on_Homologous_Recombinati"/>
      <w:bookmarkStart w:id="28" w:name="_bookmark8"/>
      <w:bookmarkStart w:id="29" w:name="_Toc98358592"/>
      <w:bookmarkEnd w:id="27"/>
      <w:bookmarkEnd w:id="28"/>
      <w:r w:rsidRPr="00B942CD">
        <w:rPr>
          <w:rFonts w:cs="Times New Roman"/>
        </w:rPr>
        <w:t>Background of Homologous Recombination Deficiency (HRD)</w:t>
      </w:r>
      <w:bookmarkEnd w:id="29"/>
    </w:p>
    <w:p w14:paraId="1A5FE002" w14:textId="10B698B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Complete loss of function or inactivation of both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alleles is often found in women with germline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w:t>
      </w:r>
      <w:proofErr w:type="spellStart"/>
      <w:r w:rsidRPr="00B942CD">
        <w:rPr>
          <w:rFonts w:ascii="Times New Roman" w:eastAsia="SimSun" w:hAnsi="Times New Roman" w:cs="Times New Roman"/>
          <w:i/>
          <w:iCs/>
          <w:snapToGrid w:val="0"/>
          <w:color w:val="000000" w:themeColor="text1"/>
          <w:sz w:val="24"/>
        </w:rPr>
        <w:t>gBRCA</w:t>
      </w:r>
      <w:proofErr w:type="spellEnd"/>
      <w:r w:rsidRPr="00B942CD">
        <w:rPr>
          <w:rFonts w:ascii="Times New Roman" w:eastAsia="SimSun" w:hAnsi="Times New Roman" w:cs="Times New Roman"/>
          <w:snapToGrid w:val="0"/>
          <w:color w:val="000000" w:themeColor="text1"/>
          <w:sz w:val="24"/>
        </w:rPr>
        <w:t xml:space="preserve">) mutations. The loss of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function results in the inhibition of homologous recombination pathways of DNA repair, thus impairing DNA double-strand break repair. Therefore, these tumors often use alternative error-prone DNA repair pathways, such as non-homologous end joining (NHEJ). Therefore, the loss of homologous recombination in ovarian cells significantly contributes to the accumulation of mutations, eventually leading to the </w:t>
      </w:r>
      <w:r w:rsidRPr="00B942CD">
        <w:rPr>
          <w:rFonts w:ascii="Times New Roman" w:eastAsia="SimSun" w:hAnsi="Times New Roman" w:cs="Times New Roman"/>
          <w:snapToGrid w:val="0"/>
          <w:color w:val="000000" w:themeColor="text1"/>
          <w:sz w:val="24"/>
        </w:rPr>
        <w:lastRenderedPageBreak/>
        <w:t xml:space="preserve">occurrence of ovarian neoplasm </w:t>
      </w:r>
      <w:r w:rsidRPr="00B942CD">
        <w:rPr>
          <w:rFonts w:ascii="Times New Roman" w:eastAsia="SimSun" w:hAnsi="Times New Roman" w:cs="Times New Roman"/>
          <w:snapToGrid w:val="0"/>
          <w:color w:val="000000" w:themeColor="text1"/>
          <w:sz w:val="24"/>
          <w:vertAlign w:val="superscript"/>
        </w:rPr>
        <w:t>11</w:t>
      </w:r>
      <w:r w:rsidRPr="00B942CD">
        <w:rPr>
          <w:rFonts w:ascii="Times New Roman" w:eastAsia="SimSun" w:hAnsi="Times New Roman" w:cs="Times New Roman"/>
          <w:snapToGrid w:val="0"/>
          <w:color w:val="000000" w:themeColor="text1"/>
          <w:sz w:val="24"/>
        </w:rPr>
        <w:t xml:space="preserve">. Many DNA repair processes involve PARP-1 and PARP-2 zinc-finger DNA binding enzymes, which can detect DNA damage and convert it into intracellular signals to promote DNA repair. For example, PARP inhibitors can block DNA repair by inhibiting BER. In normal cells, homologous recombination repair pathway can compensate for PARP-mediated BER inhibition, so as to maintain the fidelity of DNA repair. In cells with homologous recombination repair defects, e.g., cells carrying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1 and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2 mutations, inhibition of PARP may lead to non-repairability and replication fork collapse of double strand break, and increase in the use of error-prone pathway NHEJ. The damages may result in instability of genome, finally leading to cell death. Complementarity between the cell deficiency and drug inductive effect is called synergistic lethal effect</w:t>
      </w:r>
      <w:r w:rsidRPr="00B942CD">
        <w:rPr>
          <w:rFonts w:ascii="Times New Roman" w:eastAsia="SimSun" w:hAnsi="Times New Roman" w:cs="Times New Roman"/>
          <w:snapToGrid w:val="0"/>
          <w:color w:val="000000" w:themeColor="text1"/>
          <w:sz w:val="24"/>
          <w:vertAlign w:val="superscript"/>
        </w:rPr>
        <w:t>12</w:t>
      </w:r>
      <w:r w:rsidRPr="00B942CD">
        <w:rPr>
          <w:rFonts w:ascii="Times New Roman" w:eastAsia="SimSun" w:hAnsi="Times New Roman" w:cs="Times New Roman"/>
          <w:snapToGrid w:val="0"/>
          <w:color w:val="000000" w:themeColor="text1"/>
          <w:sz w:val="24"/>
        </w:rPr>
        <w:t>, by which PARP inhibitors can selectively kill cancer cells with homologous recombination deficiency and other DNA repair defects.</w:t>
      </w:r>
    </w:p>
    <w:p w14:paraId="6B217208" w14:textId="77777777" w:rsidR="004733E0" w:rsidRPr="00B942CD" w:rsidRDefault="004733E0" w:rsidP="00AA119C">
      <w:pPr>
        <w:pStyle w:val="Heading2"/>
        <w:rPr>
          <w:rFonts w:cs="Times New Roman"/>
        </w:rPr>
      </w:pPr>
      <w:bookmarkStart w:id="30" w:name="1.6_Background_of_Niraparib"/>
      <w:bookmarkStart w:id="31" w:name="_bookmark9"/>
      <w:bookmarkStart w:id="32" w:name="_Toc98358593"/>
      <w:bookmarkEnd w:id="30"/>
      <w:bookmarkEnd w:id="31"/>
      <w:r w:rsidRPr="00B942CD">
        <w:rPr>
          <w:rFonts w:cs="Times New Roman"/>
        </w:rPr>
        <w:t>Background of Niraparib</w:t>
      </w:r>
      <w:bookmarkEnd w:id="32"/>
    </w:p>
    <w:p w14:paraId="7D209DC8" w14:textId="2951296D"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Niraparib is an oral, potent, highly selective PARP-1 and PARP-2 inhibitor. It can co-crystallize with the catalytic domain of human PARP-1 and inhibit the activities of PARP-1 and PARP-2 in vitro, with a half-maximal inhibitory concentration (IC</w:t>
      </w:r>
      <w:r w:rsidRPr="00B942CD">
        <w:rPr>
          <w:rFonts w:ascii="Times New Roman" w:eastAsia="SimSun" w:hAnsi="Times New Roman" w:cs="Times New Roman"/>
          <w:snapToGrid w:val="0"/>
          <w:color w:val="000000" w:themeColor="text1"/>
          <w:sz w:val="24"/>
          <w:vertAlign w:val="subscript"/>
        </w:rPr>
        <w:t>50</w:t>
      </w:r>
      <w:r w:rsidRPr="00B942CD">
        <w:rPr>
          <w:rFonts w:ascii="Times New Roman" w:eastAsia="SimSun" w:hAnsi="Times New Roman" w:cs="Times New Roman"/>
          <w:snapToGrid w:val="0"/>
          <w:color w:val="000000" w:themeColor="text1"/>
          <w:sz w:val="24"/>
        </w:rPr>
        <w:t xml:space="preserve">) of 3.8 and 2.1 </w:t>
      </w:r>
      <w:proofErr w:type="spellStart"/>
      <w:r w:rsidRPr="00B942CD">
        <w:rPr>
          <w:rFonts w:ascii="Times New Roman" w:eastAsia="SimSun" w:hAnsi="Times New Roman" w:cs="Times New Roman"/>
          <w:snapToGrid w:val="0"/>
          <w:color w:val="000000" w:themeColor="text1"/>
          <w:sz w:val="24"/>
        </w:rPr>
        <w:t>nM</w:t>
      </w:r>
      <w:proofErr w:type="spellEnd"/>
      <w:r w:rsidRPr="00B942CD">
        <w:rPr>
          <w:rFonts w:ascii="Times New Roman" w:eastAsia="SimSun" w:hAnsi="Times New Roman" w:cs="Times New Roman"/>
          <w:snapToGrid w:val="0"/>
          <w:color w:val="000000" w:themeColor="text1"/>
          <w:sz w:val="24"/>
        </w:rPr>
        <w:t xml:space="preserve">, respectively. In the cultured cells, niraparib inhibits PARP-dependent </w:t>
      </w:r>
      <w:proofErr w:type="spellStart"/>
      <w:r w:rsidRPr="00B942CD">
        <w:rPr>
          <w:rFonts w:ascii="Times New Roman" w:eastAsia="SimSun" w:hAnsi="Times New Roman" w:cs="Times New Roman"/>
          <w:snapToGrid w:val="0"/>
          <w:color w:val="000000" w:themeColor="text1"/>
          <w:sz w:val="24"/>
        </w:rPr>
        <w:t>PARylation</w:t>
      </w:r>
      <w:proofErr w:type="spellEnd"/>
      <w:r w:rsidRPr="00B942CD">
        <w:rPr>
          <w:rFonts w:ascii="Times New Roman" w:eastAsia="SimSun" w:hAnsi="Times New Roman" w:cs="Times New Roman"/>
          <w:snapToGrid w:val="0"/>
          <w:color w:val="000000" w:themeColor="text1"/>
          <w:sz w:val="24"/>
        </w:rPr>
        <w:t xml:space="preserve"> caused by DNA damage, with</w:t>
      </w:r>
      <w:r w:rsidR="00F778B6" w:rsidRPr="00B942CD">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snapToGrid w:val="0"/>
          <w:color w:val="000000" w:themeColor="text1"/>
          <w:sz w:val="24"/>
        </w:rPr>
        <w:t>IC</w:t>
      </w:r>
      <w:r w:rsidRPr="00B942CD">
        <w:rPr>
          <w:rFonts w:ascii="Times New Roman" w:eastAsia="SimSun" w:hAnsi="Times New Roman" w:cs="Times New Roman"/>
          <w:snapToGrid w:val="0"/>
          <w:color w:val="000000" w:themeColor="text1"/>
          <w:sz w:val="24"/>
          <w:vertAlign w:val="subscript"/>
        </w:rPr>
        <w:t>50</w:t>
      </w:r>
      <w:r w:rsidRPr="00B942CD">
        <w:rPr>
          <w:rFonts w:ascii="Times New Roman" w:eastAsia="SimSun" w:hAnsi="Times New Roman" w:cs="Times New Roman"/>
          <w:snapToGrid w:val="0"/>
          <w:color w:val="000000" w:themeColor="text1"/>
          <w:sz w:val="24"/>
        </w:rPr>
        <w:t xml:space="preserve"> and IC</w:t>
      </w:r>
      <w:r w:rsidRPr="00B942CD">
        <w:rPr>
          <w:rFonts w:ascii="Times New Roman" w:eastAsia="SimSun" w:hAnsi="Times New Roman" w:cs="Times New Roman"/>
          <w:snapToGrid w:val="0"/>
          <w:color w:val="000000" w:themeColor="text1"/>
          <w:sz w:val="24"/>
          <w:vertAlign w:val="subscript"/>
        </w:rPr>
        <w:t>90</w:t>
      </w:r>
      <w:r w:rsidRPr="00B942CD">
        <w:rPr>
          <w:rFonts w:ascii="Times New Roman" w:eastAsia="SimSun" w:hAnsi="Times New Roman" w:cs="Times New Roman"/>
          <w:snapToGrid w:val="0"/>
          <w:color w:val="000000" w:themeColor="text1"/>
          <w:sz w:val="24"/>
        </w:rPr>
        <w:t xml:space="preserve"> of 4 </w:t>
      </w:r>
      <w:proofErr w:type="spellStart"/>
      <w:r w:rsidRPr="00B942CD">
        <w:rPr>
          <w:rFonts w:ascii="Times New Roman" w:eastAsia="SimSun" w:hAnsi="Times New Roman" w:cs="Times New Roman"/>
          <w:snapToGrid w:val="0"/>
          <w:color w:val="000000" w:themeColor="text1"/>
          <w:sz w:val="24"/>
        </w:rPr>
        <w:t>nM</w:t>
      </w:r>
      <w:proofErr w:type="spellEnd"/>
      <w:r w:rsidRPr="00B942CD">
        <w:rPr>
          <w:rFonts w:ascii="Times New Roman" w:eastAsia="SimSun" w:hAnsi="Times New Roman" w:cs="Times New Roman"/>
          <w:snapToGrid w:val="0"/>
          <w:color w:val="000000" w:themeColor="text1"/>
          <w:sz w:val="24"/>
        </w:rPr>
        <w:t xml:space="preserve"> and 40 </w:t>
      </w:r>
      <w:proofErr w:type="spellStart"/>
      <w:r w:rsidRPr="00B942CD">
        <w:rPr>
          <w:rFonts w:ascii="Times New Roman" w:eastAsia="SimSun" w:hAnsi="Times New Roman" w:cs="Times New Roman"/>
          <w:snapToGrid w:val="0"/>
          <w:color w:val="000000" w:themeColor="text1"/>
          <w:sz w:val="24"/>
        </w:rPr>
        <w:t>nM</w:t>
      </w:r>
      <w:proofErr w:type="spellEnd"/>
      <w:r w:rsidRPr="00B942CD">
        <w:rPr>
          <w:rFonts w:ascii="Times New Roman" w:eastAsia="SimSun" w:hAnsi="Times New Roman" w:cs="Times New Roman"/>
          <w:snapToGrid w:val="0"/>
          <w:color w:val="000000" w:themeColor="text1"/>
          <w:sz w:val="24"/>
        </w:rPr>
        <w:t xml:space="preserve">, respectively. Niraparib has demonstrated selective anti-proliferative activity in cancer cell lines that have been silenced for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1/2 or carry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1/2 mutations, which was 25-200 times higher than their wild type counterparts. Tumors in the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and </w:t>
      </w:r>
      <w:r w:rsidRPr="00B942CD">
        <w:rPr>
          <w:rFonts w:ascii="Times New Roman" w:eastAsia="SimSun" w:hAnsi="Times New Roman" w:cs="Times New Roman"/>
          <w:i/>
          <w:iCs/>
          <w:snapToGrid w:val="0"/>
          <w:color w:val="000000" w:themeColor="text1"/>
          <w:sz w:val="24"/>
        </w:rPr>
        <w:t>ATM</w:t>
      </w:r>
      <w:r w:rsidRPr="00B942CD">
        <w:rPr>
          <w:rFonts w:ascii="Times New Roman" w:eastAsia="SimSun" w:hAnsi="Times New Roman" w:cs="Times New Roman"/>
          <w:snapToGrid w:val="0"/>
          <w:color w:val="000000" w:themeColor="text1"/>
          <w:sz w:val="24"/>
        </w:rPr>
        <w:t xml:space="preserve"> models can regress after xenograft tumor-bearing mice are treated at clinically relevant doses. At these dose levels, 90% PARP inhibition for up to 24 hours can be observed in tumors after a single dose, which is stronger and more lasting than PARP inhibition in PBMC, and the inhibition level in PBMC is 50% or lower by 24 hours post-dose. In addition, niraparib has been evaluated in more than 30 models of ovarian cancer patient-derived xenograft (PDX) and cell line derived tumor xenograft, and tumor regression has been observed in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1/2-mutant xenografts and </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wild-type HRD-positive models. Furthermore, tumor growth inhibition has also been observed in some HRD-negative models.</w:t>
      </w:r>
    </w:p>
    <w:p w14:paraId="6751EBAD" w14:textId="29AF163D" w:rsidR="004733E0" w:rsidRPr="00B942CD" w:rsidRDefault="004733E0" w:rsidP="00AA119C">
      <w:pPr>
        <w:pStyle w:val="Heading3"/>
        <w:rPr>
          <w:rFonts w:cs="Times New Roman"/>
        </w:rPr>
      </w:pPr>
      <w:bookmarkStart w:id="33" w:name="1.6.1_Phase_1_Clinical_Studies"/>
      <w:bookmarkStart w:id="34" w:name="_bookmark10"/>
      <w:bookmarkStart w:id="35" w:name="_Toc98358594"/>
      <w:bookmarkEnd w:id="33"/>
      <w:bookmarkEnd w:id="34"/>
      <w:r w:rsidRPr="00B942CD">
        <w:rPr>
          <w:rFonts w:cs="Times New Roman"/>
        </w:rPr>
        <w:t>Phase I clinical trials</w:t>
      </w:r>
      <w:bookmarkEnd w:id="35"/>
    </w:p>
    <w:p w14:paraId="4CCB4CF3" w14:textId="04C19B4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Five Phase I clinical studies (PN001, PN008, PN011, PN014, PR-30-5015-C) were conducted in 144 patients, as shown in Table 1. Patients participating in these studies received treatment when there are no significant safety concerns or PD evidence, and if the investigator considers such treatment to be in the best interest of the patient, the patient can continue study treatment, including the possibility of conducting the study with niraparib alone or in combination with other drugs.</w:t>
      </w:r>
    </w:p>
    <w:p w14:paraId="2E53DED8" w14:textId="77777777" w:rsidR="004733E0" w:rsidRPr="00B942CD" w:rsidRDefault="004733E0" w:rsidP="00AA119C">
      <w:pPr>
        <w:pStyle w:val="BodyText"/>
        <w:pageBreakBefore/>
        <w:widowControl/>
        <w:autoSpaceDE/>
        <w:autoSpaceDN/>
        <w:adjustRightInd w:val="0"/>
        <w:snapToGrid w:val="0"/>
        <w:spacing w:beforeLines="50" w:before="120" w:line="288" w:lineRule="auto"/>
        <w:ind w:left="0"/>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lastRenderedPageBreak/>
        <w:t>Table 1: Phase I Clinical Trials of Niraparib</w:t>
      </w:r>
    </w:p>
    <w:tbl>
      <w:tblPr>
        <w:tblW w:w="5000" w:type="pct"/>
        <w:tblLook w:val="0000" w:firstRow="0" w:lastRow="0" w:firstColumn="0" w:lastColumn="0" w:noHBand="0" w:noVBand="0"/>
      </w:tblPr>
      <w:tblGrid>
        <w:gridCol w:w="1563"/>
        <w:gridCol w:w="7787"/>
      </w:tblGrid>
      <w:tr w:rsidR="00C04058" w:rsidRPr="00B942CD" w14:paraId="1BDAA24A" w14:textId="77777777" w:rsidTr="00D53C5E">
        <w:tc>
          <w:tcPr>
            <w:tcW w:w="9360" w:type="dxa"/>
            <w:gridSpan w:val="2"/>
            <w:tcBorders>
              <w:top w:val="single" w:sz="4" w:space="0" w:color="auto"/>
              <w:left w:val="single" w:sz="4" w:space="0" w:color="auto"/>
              <w:bottom w:val="single" w:sz="4" w:space="0" w:color="auto"/>
              <w:right w:val="single" w:sz="4" w:space="0" w:color="auto"/>
            </w:tcBorders>
          </w:tcPr>
          <w:p w14:paraId="6298D2C4" w14:textId="126DE38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b/>
                <w:bCs/>
                <w:snapToGrid w:val="0"/>
                <w:color w:val="000000" w:themeColor="text1"/>
                <w:sz w:val="21"/>
                <w:szCs w:val="21"/>
              </w:rPr>
            </w:pPr>
            <w:r w:rsidRPr="00B942CD">
              <w:rPr>
                <w:rFonts w:ascii="Times New Roman" w:eastAsia="SimSun" w:hAnsi="Times New Roman" w:cs="Times New Roman"/>
                <w:b/>
                <w:bCs/>
                <w:snapToGrid w:val="0"/>
                <w:color w:val="000000" w:themeColor="text1"/>
                <w:sz w:val="21"/>
                <w:szCs w:val="21"/>
              </w:rPr>
              <w:t>Phase I</w:t>
            </w:r>
          </w:p>
        </w:tc>
      </w:tr>
      <w:tr w:rsidR="00C04058" w:rsidRPr="00B942CD" w14:paraId="7D32075D" w14:textId="77777777" w:rsidTr="00D53C5E">
        <w:tc>
          <w:tcPr>
            <w:tcW w:w="1564" w:type="dxa"/>
            <w:tcBorders>
              <w:top w:val="nil"/>
              <w:left w:val="single" w:sz="4" w:space="0" w:color="auto"/>
              <w:bottom w:val="single" w:sz="4" w:space="0" w:color="auto"/>
              <w:right w:val="single" w:sz="4" w:space="0" w:color="auto"/>
            </w:tcBorders>
          </w:tcPr>
          <w:p w14:paraId="2D90B8B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PN001</w:t>
            </w:r>
          </w:p>
        </w:tc>
        <w:tc>
          <w:tcPr>
            <w:tcW w:w="7796" w:type="dxa"/>
            <w:tcBorders>
              <w:top w:val="nil"/>
              <w:left w:val="nil"/>
              <w:bottom w:val="single" w:sz="4" w:space="0" w:color="auto"/>
              <w:right w:val="single" w:sz="4" w:space="0" w:color="auto"/>
            </w:tcBorders>
          </w:tcPr>
          <w:p w14:paraId="240C0BE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Phase Ⅰ clinical study of niraparib in patients with advanced solid tumors or hematological malignancies (completed)</w:t>
            </w:r>
          </w:p>
        </w:tc>
      </w:tr>
      <w:tr w:rsidR="00C04058" w:rsidRPr="00B942CD" w14:paraId="4426C4BB" w14:textId="77777777" w:rsidTr="00D53C5E">
        <w:tc>
          <w:tcPr>
            <w:tcW w:w="1564" w:type="dxa"/>
            <w:tcBorders>
              <w:top w:val="nil"/>
              <w:left w:val="single" w:sz="4" w:space="0" w:color="auto"/>
              <w:bottom w:val="single" w:sz="4" w:space="0" w:color="auto"/>
              <w:right w:val="single" w:sz="4" w:space="0" w:color="auto"/>
            </w:tcBorders>
          </w:tcPr>
          <w:p w14:paraId="0351888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PN008</w:t>
            </w:r>
          </w:p>
        </w:tc>
        <w:tc>
          <w:tcPr>
            <w:tcW w:w="7796" w:type="dxa"/>
            <w:tcBorders>
              <w:top w:val="nil"/>
              <w:left w:val="nil"/>
              <w:bottom w:val="single" w:sz="4" w:space="0" w:color="auto"/>
              <w:right w:val="single" w:sz="4" w:space="0" w:color="auto"/>
            </w:tcBorders>
          </w:tcPr>
          <w:p w14:paraId="69F0562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Phase Ⅰ clinical study of niraparib in combination with carboplatin for the treatment of advanced solid tumors (terminated due to non-safety reasons)</w:t>
            </w:r>
          </w:p>
        </w:tc>
      </w:tr>
      <w:tr w:rsidR="00C04058" w:rsidRPr="00B942CD" w14:paraId="09D0E7BB" w14:textId="77777777" w:rsidTr="00D53C5E">
        <w:tc>
          <w:tcPr>
            <w:tcW w:w="1564" w:type="dxa"/>
            <w:tcBorders>
              <w:top w:val="nil"/>
              <w:left w:val="single" w:sz="4" w:space="0" w:color="auto"/>
              <w:bottom w:val="single" w:sz="4" w:space="0" w:color="auto"/>
              <w:right w:val="single" w:sz="4" w:space="0" w:color="auto"/>
            </w:tcBorders>
          </w:tcPr>
          <w:p w14:paraId="1E56163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PN011</w:t>
            </w:r>
          </w:p>
        </w:tc>
        <w:tc>
          <w:tcPr>
            <w:tcW w:w="7796" w:type="dxa"/>
            <w:tcBorders>
              <w:top w:val="nil"/>
              <w:left w:val="nil"/>
              <w:bottom w:val="single" w:sz="4" w:space="0" w:color="auto"/>
              <w:right w:val="single" w:sz="4" w:space="0" w:color="auto"/>
            </w:tcBorders>
          </w:tcPr>
          <w:p w14:paraId="67A0405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Phase Ⅰ clinical study of niraparib in combination with doxorubicin for the treatment of advanced solid tumors (terminated due to non-safety reasons)</w:t>
            </w:r>
          </w:p>
        </w:tc>
      </w:tr>
      <w:tr w:rsidR="00C04058" w:rsidRPr="00B942CD" w14:paraId="35544B39" w14:textId="77777777" w:rsidTr="00D53C5E">
        <w:tc>
          <w:tcPr>
            <w:tcW w:w="1564" w:type="dxa"/>
            <w:tcBorders>
              <w:top w:val="nil"/>
              <w:left w:val="single" w:sz="4" w:space="0" w:color="auto"/>
              <w:bottom w:val="single" w:sz="4" w:space="0" w:color="auto"/>
              <w:right w:val="single" w:sz="4" w:space="0" w:color="auto"/>
            </w:tcBorders>
          </w:tcPr>
          <w:p w14:paraId="2E56A52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PN014</w:t>
            </w:r>
          </w:p>
        </w:tc>
        <w:tc>
          <w:tcPr>
            <w:tcW w:w="7796" w:type="dxa"/>
            <w:tcBorders>
              <w:top w:val="nil"/>
              <w:left w:val="nil"/>
              <w:bottom w:val="single" w:sz="4" w:space="0" w:color="auto"/>
              <w:right w:val="single" w:sz="4" w:space="0" w:color="auto"/>
            </w:tcBorders>
          </w:tcPr>
          <w:p w14:paraId="4D0AE08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Phase Ⅰ clinical study of niraparib in combination with temozolomide for the treatment of advanced solid tumors (completed)</w:t>
            </w:r>
          </w:p>
        </w:tc>
      </w:tr>
      <w:tr w:rsidR="00C04058" w:rsidRPr="00B942CD" w14:paraId="20ABE35A" w14:textId="77777777" w:rsidTr="00D53C5E">
        <w:tc>
          <w:tcPr>
            <w:tcW w:w="1564" w:type="dxa"/>
            <w:tcBorders>
              <w:top w:val="nil"/>
              <w:left w:val="single" w:sz="4" w:space="0" w:color="auto"/>
              <w:bottom w:val="single" w:sz="4" w:space="0" w:color="auto"/>
              <w:right w:val="single" w:sz="4" w:space="0" w:color="auto"/>
            </w:tcBorders>
          </w:tcPr>
          <w:p w14:paraId="7DD69BA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PR-30-5015-C</w:t>
            </w:r>
          </w:p>
        </w:tc>
        <w:tc>
          <w:tcPr>
            <w:tcW w:w="7796" w:type="dxa"/>
            <w:tcBorders>
              <w:top w:val="nil"/>
              <w:left w:val="nil"/>
              <w:bottom w:val="single" w:sz="4" w:space="0" w:color="auto"/>
              <w:right w:val="single" w:sz="4" w:space="0" w:color="auto"/>
            </w:tcBorders>
          </w:tcPr>
          <w:p w14:paraId="2D1F311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Phase I clinical study on absorption, metabolism, and excretion of niraparib in patients with advanced solid tumors (completed)</w:t>
            </w:r>
          </w:p>
        </w:tc>
      </w:tr>
    </w:tbl>
    <w:p w14:paraId="7D3DC7E9" w14:textId="2AB73DAA" w:rsidR="004733E0" w:rsidRPr="00B942CD" w:rsidRDefault="004733E0" w:rsidP="00AA119C">
      <w:pPr>
        <w:pStyle w:val="Heading3"/>
        <w:rPr>
          <w:rFonts w:cs="Times New Roman"/>
        </w:rPr>
      </w:pPr>
      <w:bookmarkStart w:id="36" w:name="1.6.2_Phase_3_Study_(PR-30-5011-C)"/>
      <w:bookmarkStart w:id="37" w:name="_bookmark11"/>
      <w:bookmarkStart w:id="38" w:name="_Toc98358595"/>
      <w:bookmarkEnd w:id="36"/>
      <w:bookmarkEnd w:id="37"/>
      <w:r w:rsidRPr="00B942CD">
        <w:rPr>
          <w:rFonts w:cs="Times New Roman"/>
        </w:rPr>
        <w:t xml:space="preserve">Phase II </w:t>
      </w:r>
      <w:r w:rsidR="00255560" w:rsidRPr="00B942CD">
        <w:rPr>
          <w:rFonts w:cs="Times New Roman"/>
        </w:rPr>
        <w:t xml:space="preserve">clinical trial </w:t>
      </w:r>
      <w:r w:rsidRPr="00B942CD">
        <w:rPr>
          <w:rFonts w:cs="Times New Roman"/>
        </w:rPr>
        <w:t>(</w:t>
      </w:r>
      <w:r w:rsidRPr="00B942CD">
        <w:rPr>
          <w:rFonts w:cs="Times New Roman"/>
          <w:szCs w:val="23"/>
          <w:shd w:val="clear" w:color="auto" w:fill="FFFFFF"/>
        </w:rPr>
        <w:t>PR-30-5020-C</w:t>
      </w:r>
      <w:r w:rsidRPr="00B942CD">
        <w:rPr>
          <w:rFonts w:cs="Times New Roman"/>
        </w:rPr>
        <w:t>) QUADRA</w:t>
      </w:r>
      <w:r w:rsidRPr="00B942CD">
        <w:rPr>
          <w:rFonts w:cs="Times New Roman"/>
          <w:vertAlign w:val="superscript"/>
        </w:rPr>
        <w:t>13</w:t>
      </w:r>
      <w:bookmarkEnd w:id="38"/>
    </w:p>
    <w:p w14:paraId="462B3C24" w14:textId="0F1A3101"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Study PR-30-5020-C is a phase II clinical trial mainly in 463 patients with recurrent high-grade serous ovarian cancer who have received at least three-line therapy. This study is intended to evaluate the anti-cancer activity, tolerability and safety data of niraparib alone in enrolled subjects at this stage. At present, there are still 21 patients receiving treatment in the group, and the enrolled patients have previously received 4 lines of chemotherapy on average, with a median follow-up time of overall survival (OS) of 17.2 months (IQR 14.9-19.8). Thirteen of 47 evaluable patients (who have received three- to four-line chemotherapy, without previous use of PARP inhibitors and with positive HRD status) achieved response with an OS of 28%, a median PFS of 5.5 months (3.5-8.2), and a median duration of sustained response of 9.2 months (5.9 to not achieved).</w:t>
      </w:r>
    </w:p>
    <w:p w14:paraId="03AF0CB8" w14:textId="17540D26"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Table 2 lists the response of all PARP inhibitor-naïve patients according to different BRCA status, other molecular markers and platinum sensitivity. Table 4 summarizes proportion of patients with 24-week clinical benefit according to biomarkers and platinum sensitivity status, and the ratio with previous PFS. Preliminary data from this clinical trial also reveal promising prospects of niraparib monotherapy for ovarian cancer </w:t>
      </w:r>
      <w:r w:rsidRPr="00B942CD">
        <w:rPr>
          <w:rFonts w:ascii="Times New Roman" w:eastAsia="SimSun" w:hAnsi="Times New Roman" w:cs="Times New Roman"/>
          <w:snapToGrid w:val="0"/>
          <w:sz w:val="24"/>
          <w:szCs w:val="24"/>
          <w:vertAlign w:val="superscript"/>
        </w:rPr>
        <w:t>13</w:t>
      </w:r>
      <w:r w:rsidRPr="00B942CD">
        <w:rPr>
          <w:rFonts w:ascii="Times New Roman" w:eastAsia="SimSun" w:hAnsi="Times New Roman" w:cs="Times New Roman"/>
          <w:snapToGrid w:val="0"/>
          <w:sz w:val="24"/>
          <w:szCs w:val="24"/>
        </w:rPr>
        <w:t>.</w:t>
      </w:r>
    </w:p>
    <w:p w14:paraId="6D87A7F0" w14:textId="77777777" w:rsidR="004733E0" w:rsidRPr="00B942CD" w:rsidRDefault="004733E0" w:rsidP="00AA119C">
      <w:pPr>
        <w:pStyle w:val="BodyText"/>
        <w:widowControl/>
        <w:autoSpaceDE/>
        <w:autoSpaceDN/>
        <w:adjustRightInd w:val="0"/>
        <w:snapToGrid w:val="0"/>
        <w:spacing w:beforeLines="50" w:before="120" w:line="288" w:lineRule="auto"/>
        <w:ind w:left="0"/>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Table 2 Response of niraparib monotherapy for recurrent ovarian cancer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1"/>
        <w:gridCol w:w="1825"/>
        <w:gridCol w:w="1825"/>
        <w:gridCol w:w="1829"/>
      </w:tblGrid>
      <w:tr w:rsidR="00D37D13" w:rsidRPr="00B942CD" w14:paraId="3E1F5D1B" w14:textId="77777777" w:rsidTr="00D37D13">
        <w:tc>
          <w:tcPr>
            <w:tcW w:w="2070" w:type="pct"/>
          </w:tcPr>
          <w:p w14:paraId="08428BC4" w14:textId="77777777" w:rsidR="004733E0" w:rsidRPr="00B942CD" w:rsidRDefault="004733E0" w:rsidP="00AA119C">
            <w:pPr>
              <w:widowControl/>
              <w:autoSpaceDE/>
              <w:autoSpaceDN/>
              <w:adjustRightInd w:val="0"/>
              <w:snapToGrid w:val="0"/>
              <w:spacing w:beforeLines="15" w:before="36" w:line="276" w:lineRule="auto"/>
              <w:rPr>
                <w:rFonts w:ascii="Times New Roman" w:eastAsia="SimSun" w:hAnsi="Times New Roman" w:cs="Times New Roman"/>
                <w:snapToGrid w:val="0"/>
                <w:color w:val="000000" w:themeColor="text1"/>
                <w:sz w:val="21"/>
                <w:szCs w:val="21"/>
              </w:rPr>
            </w:pPr>
            <w:bookmarkStart w:id="39" w:name="_Hlk5972253"/>
          </w:p>
        </w:tc>
        <w:tc>
          <w:tcPr>
            <w:tcW w:w="976" w:type="pct"/>
          </w:tcPr>
          <w:p w14:paraId="7BF88F21" w14:textId="0E891C56"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BRCA-mutated (n = 63)</w:t>
            </w:r>
          </w:p>
        </w:tc>
        <w:tc>
          <w:tcPr>
            <w:tcW w:w="976" w:type="pct"/>
          </w:tcPr>
          <w:p w14:paraId="0997D64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positive* (n = 189)</w:t>
            </w:r>
          </w:p>
        </w:tc>
        <w:tc>
          <w:tcPr>
            <w:tcW w:w="978" w:type="pct"/>
          </w:tcPr>
          <w:p w14:paraId="2104543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negative or unknown (n = 230)</w:t>
            </w:r>
          </w:p>
        </w:tc>
      </w:tr>
      <w:tr w:rsidR="00D37D13" w:rsidRPr="00B942CD" w14:paraId="4CC59E8C" w14:textId="77777777" w:rsidTr="00D37D13">
        <w:tc>
          <w:tcPr>
            <w:tcW w:w="2070" w:type="pct"/>
          </w:tcPr>
          <w:p w14:paraId="5443A535" w14:textId="3D10C53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Sensitive to the latest platinum-based chemotherapy</w:t>
            </w:r>
          </w:p>
        </w:tc>
        <w:tc>
          <w:tcPr>
            <w:tcW w:w="976" w:type="pct"/>
          </w:tcPr>
          <w:p w14:paraId="4225B84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7/18 (39%)</w:t>
            </w:r>
          </w:p>
        </w:tc>
        <w:tc>
          <w:tcPr>
            <w:tcW w:w="976" w:type="pct"/>
          </w:tcPr>
          <w:p w14:paraId="3C1B1CF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14/53 (26%)</w:t>
            </w:r>
          </w:p>
        </w:tc>
        <w:tc>
          <w:tcPr>
            <w:tcW w:w="978" w:type="pct"/>
          </w:tcPr>
          <w:p w14:paraId="7733DB4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2/52 (4%)</w:t>
            </w:r>
          </w:p>
          <w:p w14:paraId="1B70ADBB" w14:textId="77777777" w:rsidR="004733E0" w:rsidRPr="00B942CD" w:rsidRDefault="004733E0" w:rsidP="00AA119C">
            <w:pPr>
              <w:widowControl/>
              <w:autoSpaceDE/>
              <w:autoSpaceDN/>
              <w:adjustRightInd w:val="0"/>
              <w:snapToGrid w:val="0"/>
              <w:spacing w:beforeLines="15" w:before="36" w:line="276" w:lineRule="auto"/>
              <w:rPr>
                <w:rFonts w:ascii="Times New Roman" w:eastAsia="SimSun" w:hAnsi="Times New Roman" w:cs="Times New Roman"/>
                <w:snapToGrid w:val="0"/>
                <w:color w:val="000000" w:themeColor="text1"/>
                <w:sz w:val="21"/>
                <w:szCs w:val="21"/>
                <w:lang w:eastAsia="zh-CN"/>
              </w:rPr>
            </w:pPr>
          </w:p>
        </w:tc>
      </w:tr>
      <w:tr w:rsidR="00D37D13" w:rsidRPr="00B942CD" w14:paraId="04DDF30F" w14:textId="77777777" w:rsidTr="00D37D13">
        <w:tc>
          <w:tcPr>
            <w:tcW w:w="2070" w:type="pct"/>
          </w:tcPr>
          <w:p w14:paraId="546042DD" w14:textId="4769BA3F"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Resistant to or fail platinum-based chemotherapy</w:t>
            </w:r>
          </w:p>
        </w:tc>
        <w:tc>
          <w:tcPr>
            <w:tcW w:w="976" w:type="pct"/>
          </w:tcPr>
          <w:p w14:paraId="0BF2089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10/37 (27%)</w:t>
            </w:r>
          </w:p>
        </w:tc>
        <w:tc>
          <w:tcPr>
            <w:tcW w:w="976" w:type="pct"/>
          </w:tcPr>
          <w:p w14:paraId="5F40E07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12/120 (10%)</w:t>
            </w:r>
          </w:p>
        </w:tc>
        <w:tc>
          <w:tcPr>
            <w:tcW w:w="978" w:type="pct"/>
          </w:tcPr>
          <w:p w14:paraId="56F15F3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5/169 (3%)</w:t>
            </w:r>
          </w:p>
        </w:tc>
      </w:tr>
      <w:tr w:rsidR="00D37D13" w:rsidRPr="00B942CD" w14:paraId="2F7C55E6" w14:textId="77777777" w:rsidTr="00D37D13">
        <w:tc>
          <w:tcPr>
            <w:tcW w:w="2070" w:type="pct"/>
          </w:tcPr>
          <w:p w14:paraId="51C23D85" w14:textId="2A1F1FE3"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It is unknown whether patients are sensitive to platinum-based chemotherapy</w:t>
            </w:r>
          </w:p>
        </w:tc>
        <w:tc>
          <w:tcPr>
            <w:tcW w:w="976" w:type="pct"/>
          </w:tcPr>
          <w:p w14:paraId="23BF049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1/8 (13%)</w:t>
            </w:r>
          </w:p>
        </w:tc>
        <w:tc>
          <w:tcPr>
            <w:tcW w:w="976" w:type="pct"/>
          </w:tcPr>
          <w:p w14:paraId="721EDBB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3/16 (19%)</w:t>
            </w:r>
          </w:p>
        </w:tc>
        <w:tc>
          <w:tcPr>
            <w:tcW w:w="978" w:type="pct"/>
          </w:tcPr>
          <w:p w14:paraId="24DF8EF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1/9 (11%)</w:t>
            </w:r>
          </w:p>
        </w:tc>
      </w:tr>
      <w:tr w:rsidR="00D37D13" w:rsidRPr="00B942CD" w14:paraId="597EAC4B" w14:textId="77777777" w:rsidTr="00D37D13">
        <w:tc>
          <w:tcPr>
            <w:tcW w:w="2070" w:type="pct"/>
          </w:tcPr>
          <w:p w14:paraId="4FF82CE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All patients</w:t>
            </w:r>
          </w:p>
        </w:tc>
        <w:tc>
          <w:tcPr>
            <w:tcW w:w="976" w:type="pct"/>
          </w:tcPr>
          <w:p w14:paraId="7EE047C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18/63 (29%)</w:t>
            </w:r>
          </w:p>
        </w:tc>
        <w:tc>
          <w:tcPr>
            <w:tcW w:w="976" w:type="pct"/>
          </w:tcPr>
          <w:p w14:paraId="7D2F7D2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29/189 (15%)</w:t>
            </w:r>
          </w:p>
        </w:tc>
        <w:tc>
          <w:tcPr>
            <w:tcW w:w="978" w:type="pct"/>
          </w:tcPr>
          <w:p w14:paraId="21E140C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8/230 (3%)</w:t>
            </w:r>
          </w:p>
        </w:tc>
      </w:tr>
      <w:tr w:rsidR="00C04058" w:rsidRPr="00B942CD" w14:paraId="23D6A2BA" w14:textId="77777777" w:rsidTr="00D37D13">
        <w:tc>
          <w:tcPr>
            <w:tcW w:w="5000" w:type="pct"/>
            <w:gridSpan w:val="4"/>
            <w:tcBorders>
              <w:left w:val="nil"/>
              <w:bottom w:val="nil"/>
              <w:right w:val="nil"/>
            </w:tcBorders>
          </w:tcPr>
          <w:p w14:paraId="6BA49435" w14:textId="17D2197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positive = homologous recombination deficiency,</w:t>
            </w:r>
            <w:r w:rsidR="00F778B6"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*HRD positive patients include those with BRCA-mutated and non-BRCA-mutated tumors.</w:t>
            </w:r>
          </w:p>
        </w:tc>
      </w:tr>
    </w:tbl>
    <w:bookmarkEnd w:id="39"/>
    <w:p w14:paraId="7C2D7B94" w14:textId="0274B369" w:rsidR="004733E0" w:rsidRPr="00B942CD" w:rsidRDefault="004733E0" w:rsidP="00AA119C">
      <w:pPr>
        <w:pStyle w:val="BodyText"/>
        <w:widowControl/>
        <w:autoSpaceDE/>
        <w:autoSpaceDN/>
        <w:adjustRightInd w:val="0"/>
        <w:snapToGrid w:val="0"/>
        <w:spacing w:beforeLines="50" w:before="120" w:line="288" w:lineRule="auto"/>
        <w:ind w:left="0"/>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lastRenderedPageBreak/>
        <w:t xml:space="preserve">Table 3 Summary of proportion of patients with 24-week clinical benefit by biomarkers and platinum sensitivity status, and </w:t>
      </w:r>
      <w:r w:rsidR="00255560" w:rsidRPr="00B942CD">
        <w:rPr>
          <w:rFonts w:ascii="Times New Roman" w:eastAsia="SimSun" w:hAnsi="Times New Roman" w:cs="Times New Roman"/>
          <w:b/>
          <w:snapToGrid w:val="0"/>
          <w:color w:val="000000" w:themeColor="text1"/>
          <w:sz w:val="24"/>
        </w:rPr>
        <w:t>PFS ratio (relative to previous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842"/>
        <w:gridCol w:w="1843"/>
      </w:tblGrid>
      <w:tr w:rsidR="00C04058" w:rsidRPr="00B942CD" w14:paraId="256BD6DB" w14:textId="77777777" w:rsidTr="005029AD">
        <w:tc>
          <w:tcPr>
            <w:tcW w:w="3823" w:type="dxa"/>
          </w:tcPr>
          <w:p w14:paraId="77EADDF0" w14:textId="77777777" w:rsidR="004733E0" w:rsidRPr="00B942CD" w:rsidRDefault="004733E0" w:rsidP="00AA119C">
            <w:pPr>
              <w:widowControl/>
              <w:autoSpaceDE/>
              <w:autoSpaceDN/>
              <w:adjustRightInd w:val="0"/>
              <w:snapToGrid w:val="0"/>
              <w:spacing w:beforeLines="15" w:before="36" w:line="276" w:lineRule="auto"/>
              <w:rPr>
                <w:rFonts w:ascii="Times New Roman" w:eastAsia="SimSun" w:hAnsi="Times New Roman" w:cs="Times New Roman"/>
                <w:snapToGrid w:val="0"/>
                <w:color w:val="000000" w:themeColor="text1"/>
                <w:sz w:val="21"/>
                <w:szCs w:val="21"/>
                <w:lang w:eastAsia="zh-CN"/>
              </w:rPr>
            </w:pPr>
          </w:p>
        </w:tc>
        <w:tc>
          <w:tcPr>
            <w:tcW w:w="1842" w:type="dxa"/>
          </w:tcPr>
          <w:p w14:paraId="08514617" w14:textId="32EE09F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BRCA-mutated (n = 63)</w:t>
            </w:r>
          </w:p>
        </w:tc>
        <w:tc>
          <w:tcPr>
            <w:tcW w:w="1842" w:type="dxa"/>
          </w:tcPr>
          <w:p w14:paraId="30FA843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positive* (n = 189)</w:t>
            </w:r>
          </w:p>
        </w:tc>
        <w:tc>
          <w:tcPr>
            <w:tcW w:w="1843" w:type="dxa"/>
          </w:tcPr>
          <w:p w14:paraId="15B03EF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negative or unknown (n = 230)</w:t>
            </w:r>
          </w:p>
        </w:tc>
      </w:tr>
      <w:tr w:rsidR="00C04058" w:rsidRPr="00B942CD" w14:paraId="3CE088F3" w14:textId="77777777" w:rsidTr="005029AD">
        <w:tc>
          <w:tcPr>
            <w:tcW w:w="3823" w:type="dxa"/>
          </w:tcPr>
          <w:p w14:paraId="351E5C96" w14:textId="710200F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Sensitive to the latest platinum-based chemotherapy</w:t>
            </w:r>
          </w:p>
        </w:tc>
        <w:tc>
          <w:tcPr>
            <w:tcW w:w="1842" w:type="dxa"/>
          </w:tcPr>
          <w:p w14:paraId="68D2B5D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10/18 (56%)</w:t>
            </w:r>
          </w:p>
        </w:tc>
        <w:tc>
          <w:tcPr>
            <w:tcW w:w="1842" w:type="dxa"/>
          </w:tcPr>
          <w:p w14:paraId="7696E0A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21/53 (40%) </w:t>
            </w:r>
          </w:p>
        </w:tc>
        <w:tc>
          <w:tcPr>
            <w:tcW w:w="1843" w:type="dxa"/>
          </w:tcPr>
          <w:p w14:paraId="153567E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10/52 (19%)</w:t>
            </w:r>
          </w:p>
        </w:tc>
      </w:tr>
      <w:tr w:rsidR="00C04058" w:rsidRPr="00B942CD" w14:paraId="4B030918" w14:textId="77777777" w:rsidTr="005029AD">
        <w:tc>
          <w:tcPr>
            <w:tcW w:w="3823" w:type="dxa"/>
          </w:tcPr>
          <w:p w14:paraId="0CF29F4F" w14:textId="74EB8CD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Resistant to or fail platinum-based chemotherapy</w:t>
            </w:r>
          </w:p>
        </w:tc>
        <w:tc>
          <w:tcPr>
            <w:tcW w:w="1842" w:type="dxa"/>
          </w:tcPr>
          <w:p w14:paraId="52D642A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2/37 (32%) </w:t>
            </w:r>
          </w:p>
        </w:tc>
        <w:tc>
          <w:tcPr>
            <w:tcW w:w="1842" w:type="dxa"/>
          </w:tcPr>
          <w:p w14:paraId="00C91B2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24/120 (20%) </w:t>
            </w:r>
          </w:p>
        </w:tc>
        <w:tc>
          <w:tcPr>
            <w:tcW w:w="1843" w:type="dxa"/>
          </w:tcPr>
          <w:p w14:paraId="3E22758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18/169 (11%)</w:t>
            </w:r>
          </w:p>
        </w:tc>
      </w:tr>
      <w:tr w:rsidR="00C04058" w:rsidRPr="00B942CD" w14:paraId="42E7518F" w14:textId="77777777" w:rsidTr="005029AD">
        <w:tc>
          <w:tcPr>
            <w:tcW w:w="3823" w:type="dxa"/>
          </w:tcPr>
          <w:p w14:paraId="4E80AF3D" w14:textId="0152921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It is unknown whether patients are sensitive to platinum-based chemotherapy</w:t>
            </w:r>
          </w:p>
        </w:tc>
        <w:tc>
          <w:tcPr>
            <w:tcW w:w="1842" w:type="dxa"/>
          </w:tcPr>
          <w:p w14:paraId="39CFA8F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2/8 (25%) </w:t>
            </w:r>
          </w:p>
        </w:tc>
        <w:tc>
          <w:tcPr>
            <w:tcW w:w="1842" w:type="dxa"/>
          </w:tcPr>
          <w:p w14:paraId="6E92554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5/16 (31%) </w:t>
            </w:r>
          </w:p>
        </w:tc>
        <w:tc>
          <w:tcPr>
            <w:tcW w:w="1843" w:type="dxa"/>
          </w:tcPr>
          <w:p w14:paraId="7EDEC2E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5/9 (56%)</w:t>
            </w:r>
          </w:p>
        </w:tc>
      </w:tr>
      <w:tr w:rsidR="00C04058" w:rsidRPr="00B942CD" w14:paraId="18134F02" w14:textId="77777777" w:rsidTr="005029AD">
        <w:tc>
          <w:tcPr>
            <w:tcW w:w="3823" w:type="dxa"/>
          </w:tcPr>
          <w:p w14:paraId="3F30C5B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All patients</w:t>
            </w:r>
          </w:p>
        </w:tc>
        <w:tc>
          <w:tcPr>
            <w:tcW w:w="1842" w:type="dxa"/>
          </w:tcPr>
          <w:p w14:paraId="4D1E1DD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24/63 (38%) </w:t>
            </w:r>
          </w:p>
        </w:tc>
        <w:tc>
          <w:tcPr>
            <w:tcW w:w="1842" w:type="dxa"/>
          </w:tcPr>
          <w:p w14:paraId="176B1CC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50/189 (26%) </w:t>
            </w:r>
          </w:p>
        </w:tc>
        <w:tc>
          <w:tcPr>
            <w:tcW w:w="1843" w:type="dxa"/>
          </w:tcPr>
          <w:p w14:paraId="033B616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33/230 (14%)</w:t>
            </w:r>
          </w:p>
        </w:tc>
      </w:tr>
      <w:tr w:rsidR="00C04058" w:rsidRPr="00B942CD" w14:paraId="66FE1CDF" w14:textId="77777777" w:rsidTr="005029AD">
        <w:tc>
          <w:tcPr>
            <w:tcW w:w="3823" w:type="dxa"/>
          </w:tcPr>
          <w:p w14:paraId="37CABCDF" w14:textId="57BAE8B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Patients with stable condition and PFS ratio (relative to previous one) &gt; 1.3</w:t>
            </w:r>
          </w:p>
        </w:tc>
        <w:tc>
          <w:tcPr>
            <w:tcW w:w="1842" w:type="dxa"/>
          </w:tcPr>
          <w:p w14:paraId="77BC89E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9/25 (36%) </w:t>
            </w:r>
          </w:p>
        </w:tc>
        <w:tc>
          <w:tcPr>
            <w:tcW w:w="1842" w:type="dxa"/>
          </w:tcPr>
          <w:p w14:paraId="170278E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23/72 (32%) </w:t>
            </w:r>
          </w:p>
        </w:tc>
        <w:tc>
          <w:tcPr>
            <w:tcW w:w="1843" w:type="dxa"/>
          </w:tcPr>
          <w:p w14:paraId="54E4C24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39/103 (38%)</w:t>
            </w:r>
          </w:p>
        </w:tc>
      </w:tr>
      <w:tr w:rsidR="00C04058" w:rsidRPr="00B942CD" w14:paraId="38F9127C" w14:textId="77777777" w:rsidTr="005029AD">
        <w:tc>
          <w:tcPr>
            <w:tcW w:w="3823" w:type="dxa"/>
          </w:tcPr>
          <w:p w14:paraId="3DA67340" w14:textId="387EEAC8"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Patients with stable condition and PFS ratio (relative to previous one)</w:t>
            </w:r>
            <w:r w:rsidR="00A001B6"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&gt; 1.0</w:t>
            </w:r>
          </w:p>
        </w:tc>
        <w:tc>
          <w:tcPr>
            <w:tcW w:w="1842" w:type="dxa"/>
          </w:tcPr>
          <w:p w14:paraId="35A028B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11/25 (44%) </w:t>
            </w:r>
          </w:p>
        </w:tc>
        <w:tc>
          <w:tcPr>
            <w:tcW w:w="1842" w:type="dxa"/>
          </w:tcPr>
          <w:p w14:paraId="5C47568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30/72 (42%) </w:t>
            </w:r>
          </w:p>
        </w:tc>
        <w:tc>
          <w:tcPr>
            <w:tcW w:w="1843" w:type="dxa"/>
          </w:tcPr>
          <w:p w14:paraId="37CFC65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47/103 (46%)</w:t>
            </w:r>
          </w:p>
        </w:tc>
      </w:tr>
      <w:tr w:rsidR="00C04058" w:rsidRPr="00B942CD" w14:paraId="289F327B" w14:textId="77777777" w:rsidTr="005029AD">
        <w:tc>
          <w:tcPr>
            <w:tcW w:w="9350" w:type="dxa"/>
            <w:gridSpan w:val="4"/>
            <w:tcBorders>
              <w:left w:val="nil"/>
              <w:bottom w:val="nil"/>
              <w:right w:val="nil"/>
            </w:tcBorders>
          </w:tcPr>
          <w:p w14:paraId="4646E3D5" w14:textId="7801DD5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HRD positive = homologous recombination deficiency,</w:t>
            </w:r>
            <w:r w:rsidR="00A001B6"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*HRD positive patients include those with BRCA-mutated and non-BRCA-mutated tumors.</w:t>
            </w:r>
          </w:p>
        </w:tc>
      </w:tr>
    </w:tbl>
    <w:p w14:paraId="7E6052D3" w14:textId="1E1EDCCA" w:rsidR="004733E0" w:rsidRPr="00B942CD" w:rsidRDefault="004733E0" w:rsidP="00AA119C">
      <w:pPr>
        <w:pStyle w:val="Heading3"/>
        <w:rPr>
          <w:rFonts w:cs="Times New Roman"/>
        </w:rPr>
      </w:pPr>
      <w:bookmarkStart w:id="40" w:name="_Toc98358596"/>
      <w:r w:rsidRPr="00B942CD">
        <w:rPr>
          <w:rFonts w:cs="Times New Roman"/>
        </w:rPr>
        <w:t xml:space="preserve">Phase III </w:t>
      </w:r>
      <w:r w:rsidR="00255560" w:rsidRPr="00B942CD">
        <w:rPr>
          <w:rFonts w:cs="Times New Roman"/>
        </w:rPr>
        <w:t>clinical trial</w:t>
      </w:r>
      <w:r w:rsidRPr="00B942CD">
        <w:rPr>
          <w:rFonts w:cs="Times New Roman"/>
        </w:rPr>
        <w:t xml:space="preserve"> (</w:t>
      </w:r>
      <w:bookmarkStart w:id="41" w:name="OLE_LINK1"/>
      <w:r w:rsidRPr="00B942CD">
        <w:rPr>
          <w:rFonts w:cs="Times New Roman"/>
        </w:rPr>
        <w:t>PR-30-5011-C</w:t>
      </w:r>
      <w:bookmarkEnd w:id="41"/>
      <w:r w:rsidRPr="00B942CD">
        <w:rPr>
          <w:rFonts w:cs="Times New Roman"/>
        </w:rPr>
        <w:t>) NOVA10</w:t>
      </w:r>
      <w:bookmarkEnd w:id="40"/>
    </w:p>
    <w:p w14:paraId="5056670E" w14:textId="1F60277C"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Study PR-30-5011-C is a double-blind, randomized (2:1), placebo-controlled study in histologically confirmed platinum-sensitive high-grade serous ovarian cancer patients with or without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ms</w:t>
      </w:r>
      <w:proofErr w:type="spellEnd"/>
      <w:r w:rsidRPr="00B942CD">
        <w:rPr>
          <w:rFonts w:ascii="Times New Roman" w:eastAsia="SimSun" w:hAnsi="Times New Roman" w:cs="Times New Roman"/>
          <w:snapToGrid w:val="0"/>
          <w:color w:val="000000" w:themeColor="text1"/>
          <w:sz w:val="24"/>
        </w:rPr>
        <w:t xml:space="preserve"> and who have responded to their most recent chemotherapy containing a platinum agent. These patients were enrolled and grouped prospectively by comprehensive Myriad BRAC Analysis</w:t>
      </w:r>
      <w:r w:rsidRPr="00B942CD">
        <w:rPr>
          <w:rFonts w:ascii="Times New Roman" w:eastAsia="SimSun" w:hAnsi="Times New Roman" w:cs="Times New Roman"/>
          <w:snapToGrid w:val="0"/>
          <w:color w:val="000000" w:themeColor="text1"/>
          <w:sz w:val="24"/>
          <w:vertAlign w:val="superscript"/>
        </w:rPr>
        <w:t>®</w:t>
      </w:r>
      <w:r w:rsidRPr="00B942CD">
        <w:rPr>
          <w:rFonts w:ascii="Times New Roman" w:eastAsia="SimSun" w:hAnsi="Times New Roman" w:cs="Times New Roman"/>
          <w:snapToGrid w:val="0"/>
          <w:color w:val="000000" w:themeColor="text1"/>
          <w:sz w:val="24"/>
        </w:rPr>
        <w:t xml:space="preserve"> results. The patient must have received at least 2 previous courses of platinum-containing chemotherapy, have responded to the last treatment, and have no measurable lesion of &gt; 2 cm after the last treatment, with normal CA-125 (or decrease &gt; 90%). The primary objective of this study is to evaluate efficacy of niraparib as maintenance therapy in patients who have platinum-sensitive recurrent high-grade serous ovarian cancer as assessed by the PFS. Stratified statistical analysis of PFS in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was carried out. First, the HRD-positive tumor group was tested. If the first test result was statistically significant, then the overall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was tested subsequently. There were 2 independent patient cohorts in this study: 1 cohort of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patients and 1 cohort of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patients. These patients received study treatment on Day 1 and every cycle (28 days) thereafter until discontinuation of study treatment. Three capsules of niraparib or placebo (strength of 100 mg)</w:t>
      </w:r>
      <w:r w:rsidR="00A001B6" w:rsidRPr="00B942CD">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snapToGrid w:val="0"/>
          <w:color w:val="000000" w:themeColor="text1"/>
          <w:sz w:val="24"/>
        </w:rPr>
        <w:t xml:space="preserve">were orally administered once daily (QD) continuously. A total of 203 patients were enrolled in the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and 350 patients were enrolled in the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Overall, 553 patients were randomized to niraparib (n=372) or placebo (n=181). Preliminary efficacy data (as of the data cut-off of 30May2016) of ITT population (n=553) and safety population (n=546) are available. Two hundred and sixty-six patients are still on treatment; and the enrollment has been closed for this study.</w:t>
      </w:r>
    </w:p>
    <w:p w14:paraId="1DBC6E69" w14:textId="0923A31B"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 xml:space="preserve"> In all three prospectively defined main patient populations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HRD-positive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and overall non-</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mut</w:t>
      </w:r>
      <w:proofErr w:type="spellEnd"/>
      <w:r w:rsidRPr="00B942CD">
        <w:rPr>
          <w:rFonts w:ascii="Times New Roman" w:eastAsia="SimSun" w:hAnsi="Times New Roman" w:cs="Times New Roman"/>
          <w:snapToGrid w:val="0"/>
          <w:color w:val="000000" w:themeColor="text1"/>
          <w:sz w:val="24"/>
        </w:rPr>
        <w:t xml:space="preserve"> cohort) of this study, niraparib had the primary study endpoint (PFS) prolonged relative to placebo, as shown in Table 4.</w:t>
      </w:r>
    </w:p>
    <w:p w14:paraId="60E48251" w14:textId="046650E1" w:rsidR="004733E0" w:rsidRPr="00B942CD" w:rsidRDefault="004733E0" w:rsidP="00AA119C">
      <w:pPr>
        <w:widowControl/>
        <w:autoSpaceDE/>
        <w:autoSpaceDN/>
        <w:adjustRightInd w:val="0"/>
        <w:snapToGrid w:val="0"/>
        <w:spacing w:beforeLines="50" w:before="120" w:line="288" w:lineRule="auto"/>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Table 4: PFS for the primary efficacy cohorts (ITT population, N = 553)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0"/>
        <w:gridCol w:w="1558"/>
        <w:gridCol w:w="1844"/>
        <w:gridCol w:w="1322"/>
        <w:gridCol w:w="1322"/>
        <w:gridCol w:w="1324"/>
      </w:tblGrid>
      <w:tr w:rsidR="006C2636" w:rsidRPr="00B942CD" w14:paraId="7EDD4D23" w14:textId="77777777" w:rsidTr="00F61B27">
        <w:tc>
          <w:tcPr>
            <w:tcW w:w="1059" w:type="pct"/>
            <w:vMerge w:val="restart"/>
          </w:tcPr>
          <w:p w14:paraId="702825D6"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Treatment</w:t>
            </w:r>
          </w:p>
        </w:tc>
        <w:tc>
          <w:tcPr>
            <w:tcW w:w="833" w:type="pct"/>
            <w:vMerge w:val="restart"/>
          </w:tcPr>
          <w:p w14:paraId="4F406D5D"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Median </w:t>
            </w:r>
            <w:proofErr w:type="spellStart"/>
            <w:r w:rsidRPr="00B942CD">
              <w:rPr>
                <w:rFonts w:ascii="Times New Roman" w:eastAsia="SimSun" w:hAnsi="Times New Roman" w:cs="Times New Roman"/>
                <w:snapToGrid w:val="0"/>
                <w:color w:val="000000" w:themeColor="text1"/>
                <w:sz w:val="21"/>
                <w:szCs w:val="21"/>
              </w:rPr>
              <w:t>PFSa</w:t>
            </w:r>
            <w:proofErr w:type="spellEnd"/>
            <w:r w:rsidRPr="00B942CD">
              <w:rPr>
                <w:rFonts w:ascii="Times New Roman" w:eastAsia="SimSun" w:hAnsi="Times New Roman" w:cs="Times New Roman"/>
                <w:snapToGrid w:val="0"/>
                <w:color w:val="000000" w:themeColor="text1"/>
                <w:sz w:val="21"/>
                <w:szCs w:val="21"/>
              </w:rPr>
              <w:t xml:space="preserve"> (95% CI) (month)</w:t>
            </w:r>
          </w:p>
        </w:tc>
        <w:tc>
          <w:tcPr>
            <w:tcW w:w="986" w:type="pct"/>
            <w:vMerge w:val="restart"/>
          </w:tcPr>
          <w:p w14:paraId="75B074E7" w14:textId="6439754B"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Hazard Ratio (95%</w:t>
            </w:r>
          </w:p>
          <w:p w14:paraId="0D81C63F"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b/>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CI), P value c</w:t>
            </w:r>
          </w:p>
        </w:tc>
        <w:tc>
          <w:tcPr>
            <w:tcW w:w="2122" w:type="pct"/>
            <w:gridSpan w:val="3"/>
          </w:tcPr>
          <w:p w14:paraId="5E4E59F1" w14:textId="1830E256"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Percentage of patients without progression or death at following time points</w:t>
            </w:r>
            <w:r w:rsidR="00A001B6"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d:</w:t>
            </w:r>
          </w:p>
        </w:tc>
      </w:tr>
      <w:tr w:rsidR="00B61960" w:rsidRPr="00B942CD" w14:paraId="1F8D78BC" w14:textId="77777777" w:rsidTr="00F61B27">
        <w:tc>
          <w:tcPr>
            <w:tcW w:w="1059" w:type="pct"/>
            <w:vMerge/>
            <w:tcBorders>
              <w:top w:val="nil"/>
            </w:tcBorders>
          </w:tcPr>
          <w:p w14:paraId="0AE528B6" w14:textId="77777777" w:rsidR="004733E0" w:rsidRPr="00B942CD" w:rsidRDefault="004733E0" w:rsidP="00AA119C">
            <w:pPr>
              <w:widowControl/>
              <w:autoSpaceDE/>
              <w:autoSpaceDN/>
              <w:adjustRightInd w:val="0"/>
              <w:snapToGrid w:val="0"/>
              <w:spacing w:beforeLines="15" w:before="36" w:line="276" w:lineRule="auto"/>
              <w:rPr>
                <w:rFonts w:ascii="Times New Roman" w:eastAsia="SimSun" w:hAnsi="Times New Roman" w:cs="Times New Roman"/>
                <w:snapToGrid w:val="0"/>
                <w:color w:val="000000" w:themeColor="text1"/>
                <w:sz w:val="21"/>
                <w:szCs w:val="21"/>
                <w:lang w:eastAsia="zh-CN"/>
              </w:rPr>
            </w:pPr>
          </w:p>
        </w:tc>
        <w:tc>
          <w:tcPr>
            <w:tcW w:w="833" w:type="pct"/>
            <w:vMerge/>
            <w:tcBorders>
              <w:top w:val="nil"/>
            </w:tcBorders>
          </w:tcPr>
          <w:p w14:paraId="14577E4D" w14:textId="77777777" w:rsidR="004733E0" w:rsidRPr="00B942CD" w:rsidRDefault="004733E0" w:rsidP="00AA119C">
            <w:pPr>
              <w:widowControl/>
              <w:autoSpaceDE/>
              <w:autoSpaceDN/>
              <w:adjustRightInd w:val="0"/>
              <w:snapToGrid w:val="0"/>
              <w:spacing w:beforeLines="15" w:before="36" w:line="276" w:lineRule="auto"/>
              <w:rPr>
                <w:rFonts w:ascii="Times New Roman" w:eastAsia="SimSun" w:hAnsi="Times New Roman" w:cs="Times New Roman"/>
                <w:snapToGrid w:val="0"/>
                <w:color w:val="000000" w:themeColor="text1"/>
                <w:sz w:val="21"/>
                <w:szCs w:val="21"/>
                <w:lang w:eastAsia="zh-CN"/>
              </w:rPr>
            </w:pPr>
          </w:p>
        </w:tc>
        <w:tc>
          <w:tcPr>
            <w:tcW w:w="986" w:type="pct"/>
            <w:vMerge/>
            <w:tcBorders>
              <w:top w:val="nil"/>
            </w:tcBorders>
          </w:tcPr>
          <w:p w14:paraId="7B94FB9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lang w:eastAsia="zh-CN"/>
              </w:rPr>
            </w:pPr>
          </w:p>
        </w:tc>
        <w:tc>
          <w:tcPr>
            <w:tcW w:w="707" w:type="pct"/>
          </w:tcPr>
          <w:p w14:paraId="1D845208"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6 months</w:t>
            </w:r>
          </w:p>
        </w:tc>
        <w:tc>
          <w:tcPr>
            <w:tcW w:w="707" w:type="pct"/>
          </w:tcPr>
          <w:p w14:paraId="784BBAB8"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12 months</w:t>
            </w:r>
          </w:p>
        </w:tc>
        <w:tc>
          <w:tcPr>
            <w:tcW w:w="707" w:type="pct"/>
          </w:tcPr>
          <w:p w14:paraId="0C471F6E"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18 months</w:t>
            </w:r>
          </w:p>
        </w:tc>
      </w:tr>
      <w:tr w:rsidR="00C04058" w:rsidRPr="00B942CD" w14:paraId="4A0AD5A0" w14:textId="77777777" w:rsidTr="00B61960">
        <w:tc>
          <w:tcPr>
            <w:tcW w:w="5000" w:type="pct"/>
            <w:gridSpan w:val="6"/>
          </w:tcPr>
          <w:p w14:paraId="115D7980" w14:textId="32929187" w:rsidR="004733E0" w:rsidRPr="00B942CD" w:rsidRDefault="004733E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b/>
                <w:bCs/>
                <w:snapToGrid w:val="0"/>
                <w:color w:val="000000" w:themeColor="text1"/>
                <w:sz w:val="21"/>
                <w:szCs w:val="21"/>
              </w:rPr>
              <w:t>g</w:t>
            </w:r>
            <w:r w:rsidRPr="00B942CD">
              <w:rPr>
                <w:rFonts w:ascii="Times New Roman" w:eastAsia="SimSun" w:hAnsi="Times New Roman" w:cs="Times New Roman"/>
                <w:b/>
                <w:bCs/>
                <w:i/>
                <w:snapToGrid w:val="0"/>
                <w:color w:val="000000" w:themeColor="text1"/>
                <w:sz w:val="21"/>
                <w:szCs w:val="21"/>
              </w:rPr>
              <w:t>BRCA</w:t>
            </w:r>
            <w:r w:rsidRPr="00B942CD">
              <w:rPr>
                <w:rFonts w:ascii="Times New Roman" w:eastAsia="SimSun" w:hAnsi="Times New Roman" w:cs="Times New Roman"/>
                <w:b/>
                <w:bCs/>
                <w:snapToGrid w:val="0"/>
                <w:color w:val="000000" w:themeColor="text1"/>
                <w:sz w:val="21"/>
                <w:szCs w:val="21"/>
              </w:rPr>
              <w:t>mut</w:t>
            </w:r>
            <w:proofErr w:type="spellEnd"/>
            <w:r w:rsidRPr="00B942CD">
              <w:rPr>
                <w:rFonts w:ascii="Times New Roman" w:eastAsia="SimSun" w:hAnsi="Times New Roman" w:cs="Times New Roman"/>
                <w:snapToGrid w:val="0"/>
                <w:color w:val="000000" w:themeColor="text1"/>
                <w:sz w:val="21"/>
                <w:szCs w:val="21"/>
              </w:rPr>
              <w:t xml:space="preserve"> cohort</w:t>
            </w:r>
          </w:p>
        </w:tc>
      </w:tr>
      <w:tr w:rsidR="00B61960" w:rsidRPr="00B942CD" w14:paraId="7944B95E" w14:textId="77777777" w:rsidTr="00F61B27">
        <w:tc>
          <w:tcPr>
            <w:tcW w:w="1059" w:type="pct"/>
          </w:tcPr>
          <w:p w14:paraId="1CB248D3" w14:textId="77777777" w:rsidR="004733E0" w:rsidRPr="00B942CD" w:rsidRDefault="004733E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Niraparib (n = 138)</w:t>
            </w:r>
          </w:p>
        </w:tc>
        <w:tc>
          <w:tcPr>
            <w:tcW w:w="833" w:type="pct"/>
          </w:tcPr>
          <w:p w14:paraId="7EA07721"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21.0 (12.9, NE)</w:t>
            </w:r>
          </w:p>
        </w:tc>
        <w:tc>
          <w:tcPr>
            <w:tcW w:w="986" w:type="pct"/>
            <w:vMerge w:val="restart"/>
          </w:tcPr>
          <w:p w14:paraId="449D424F" w14:textId="28F6DD45"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0.27 (0.173,</w:t>
            </w:r>
            <w:r w:rsidR="00FB1BB7"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0.410)</w:t>
            </w:r>
          </w:p>
          <w:p w14:paraId="60059DF3"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 &lt; 0.0001</w:t>
            </w:r>
          </w:p>
        </w:tc>
        <w:tc>
          <w:tcPr>
            <w:tcW w:w="707" w:type="pct"/>
          </w:tcPr>
          <w:p w14:paraId="52895788"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80%</w:t>
            </w:r>
          </w:p>
        </w:tc>
        <w:tc>
          <w:tcPr>
            <w:tcW w:w="707" w:type="pct"/>
          </w:tcPr>
          <w:p w14:paraId="79EFD797"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62%</w:t>
            </w:r>
          </w:p>
        </w:tc>
        <w:tc>
          <w:tcPr>
            <w:tcW w:w="707" w:type="pct"/>
          </w:tcPr>
          <w:p w14:paraId="012EBE3C"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50%</w:t>
            </w:r>
          </w:p>
        </w:tc>
      </w:tr>
      <w:tr w:rsidR="00B61960" w:rsidRPr="00B942CD" w14:paraId="7CAE5417" w14:textId="77777777" w:rsidTr="00F61B27">
        <w:tc>
          <w:tcPr>
            <w:tcW w:w="1059" w:type="pct"/>
          </w:tcPr>
          <w:p w14:paraId="5C88467B" w14:textId="06F898EF"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Placebo</w:t>
            </w:r>
          </w:p>
          <w:p w14:paraId="7304C14F" w14:textId="0070B77B"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(n=65)</w:t>
            </w:r>
          </w:p>
        </w:tc>
        <w:tc>
          <w:tcPr>
            <w:tcW w:w="833" w:type="pct"/>
          </w:tcPr>
          <w:p w14:paraId="1878F1BB"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5.5 (3.8, 7.2)</w:t>
            </w:r>
          </w:p>
        </w:tc>
        <w:tc>
          <w:tcPr>
            <w:tcW w:w="986" w:type="pct"/>
            <w:vMerge/>
            <w:tcBorders>
              <w:top w:val="nil"/>
            </w:tcBorders>
          </w:tcPr>
          <w:p w14:paraId="72DE5A7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
        </w:tc>
        <w:tc>
          <w:tcPr>
            <w:tcW w:w="707" w:type="pct"/>
          </w:tcPr>
          <w:p w14:paraId="57425928"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43%</w:t>
            </w:r>
          </w:p>
        </w:tc>
        <w:tc>
          <w:tcPr>
            <w:tcW w:w="707" w:type="pct"/>
          </w:tcPr>
          <w:p w14:paraId="2763352A"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16%</w:t>
            </w:r>
          </w:p>
        </w:tc>
        <w:tc>
          <w:tcPr>
            <w:tcW w:w="707" w:type="pct"/>
          </w:tcPr>
          <w:p w14:paraId="23FB59BC"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16%</w:t>
            </w:r>
          </w:p>
        </w:tc>
      </w:tr>
      <w:tr w:rsidR="00C04058" w:rsidRPr="00B942CD" w14:paraId="244510A2" w14:textId="77777777" w:rsidTr="00B61960">
        <w:tc>
          <w:tcPr>
            <w:tcW w:w="5000" w:type="pct"/>
            <w:gridSpan w:val="6"/>
          </w:tcPr>
          <w:p w14:paraId="46DCEB8B" w14:textId="3BE5A52F" w:rsidR="004733E0" w:rsidRPr="00B942CD" w:rsidRDefault="00B6196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b/>
                <w:snapToGrid w:val="0"/>
                <w:color w:val="000000" w:themeColor="text1"/>
                <w:sz w:val="21"/>
                <w:szCs w:val="21"/>
              </w:rPr>
              <w:t>HRDpos</w:t>
            </w:r>
            <w:proofErr w:type="spellEnd"/>
            <w:r w:rsidRPr="00B942CD">
              <w:rPr>
                <w:rFonts w:ascii="Times New Roman" w:eastAsia="SimSun" w:hAnsi="Times New Roman" w:cs="Times New Roman"/>
                <w:b/>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cohort</w:t>
            </w:r>
          </w:p>
        </w:tc>
      </w:tr>
      <w:tr w:rsidR="00B61960" w:rsidRPr="00B942CD" w14:paraId="3503566C" w14:textId="77777777" w:rsidTr="00F61B27">
        <w:tc>
          <w:tcPr>
            <w:tcW w:w="1059" w:type="pct"/>
          </w:tcPr>
          <w:p w14:paraId="089BE83A" w14:textId="050C0417" w:rsidR="004733E0" w:rsidRPr="00B942CD" w:rsidRDefault="00B6196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Niraparib (n = 106)</w:t>
            </w:r>
          </w:p>
        </w:tc>
        <w:tc>
          <w:tcPr>
            <w:tcW w:w="833" w:type="pct"/>
          </w:tcPr>
          <w:p w14:paraId="6028B696"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12.9 (8.1, 15.9)</w:t>
            </w:r>
          </w:p>
        </w:tc>
        <w:tc>
          <w:tcPr>
            <w:tcW w:w="986" w:type="pct"/>
            <w:vMerge w:val="restart"/>
          </w:tcPr>
          <w:p w14:paraId="0E76D026" w14:textId="6FDF7DD2"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0.38 (0.243,</w:t>
            </w:r>
            <w:r w:rsidR="00FB1BB7"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0.586)</w:t>
            </w:r>
          </w:p>
          <w:p w14:paraId="7F1BF580"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 &lt; 0.0001</w:t>
            </w:r>
          </w:p>
        </w:tc>
        <w:tc>
          <w:tcPr>
            <w:tcW w:w="707" w:type="pct"/>
          </w:tcPr>
          <w:p w14:paraId="6EA63C70"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69%</w:t>
            </w:r>
          </w:p>
        </w:tc>
        <w:tc>
          <w:tcPr>
            <w:tcW w:w="707" w:type="pct"/>
          </w:tcPr>
          <w:p w14:paraId="7A698826"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51%</w:t>
            </w:r>
          </w:p>
        </w:tc>
        <w:tc>
          <w:tcPr>
            <w:tcW w:w="707" w:type="pct"/>
          </w:tcPr>
          <w:p w14:paraId="3D991690"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37%</w:t>
            </w:r>
          </w:p>
        </w:tc>
      </w:tr>
      <w:tr w:rsidR="00B61960" w:rsidRPr="00B942CD" w14:paraId="61C55FBB" w14:textId="77777777" w:rsidTr="00F61B27">
        <w:tc>
          <w:tcPr>
            <w:tcW w:w="1059" w:type="pct"/>
          </w:tcPr>
          <w:p w14:paraId="5C174B58" w14:textId="27F985E5"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Placebo</w:t>
            </w:r>
          </w:p>
          <w:p w14:paraId="04B24E35" w14:textId="592005B9"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(n=56)</w:t>
            </w:r>
          </w:p>
        </w:tc>
        <w:tc>
          <w:tcPr>
            <w:tcW w:w="833" w:type="pct"/>
          </w:tcPr>
          <w:p w14:paraId="476EF58F"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3.8 (3.5, 5.7)</w:t>
            </w:r>
          </w:p>
        </w:tc>
        <w:tc>
          <w:tcPr>
            <w:tcW w:w="986" w:type="pct"/>
            <w:vMerge/>
            <w:tcBorders>
              <w:top w:val="nil"/>
            </w:tcBorders>
          </w:tcPr>
          <w:p w14:paraId="06CF528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
        </w:tc>
        <w:tc>
          <w:tcPr>
            <w:tcW w:w="707" w:type="pct"/>
          </w:tcPr>
          <w:p w14:paraId="5A9DEE3E"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35%</w:t>
            </w:r>
          </w:p>
        </w:tc>
        <w:tc>
          <w:tcPr>
            <w:tcW w:w="707" w:type="pct"/>
          </w:tcPr>
          <w:p w14:paraId="77C99B42"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13%</w:t>
            </w:r>
          </w:p>
        </w:tc>
        <w:tc>
          <w:tcPr>
            <w:tcW w:w="707" w:type="pct"/>
          </w:tcPr>
          <w:p w14:paraId="0C5631E9"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9%</w:t>
            </w:r>
          </w:p>
        </w:tc>
      </w:tr>
      <w:tr w:rsidR="00C04058" w:rsidRPr="00B942CD" w14:paraId="673DABD5" w14:textId="77777777" w:rsidTr="00B61960">
        <w:tc>
          <w:tcPr>
            <w:tcW w:w="5000" w:type="pct"/>
            <w:gridSpan w:val="6"/>
          </w:tcPr>
          <w:p w14:paraId="6BF66997" w14:textId="6A8D0F9F" w:rsidR="004733E0" w:rsidRPr="00B942CD" w:rsidRDefault="00B6196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Non-</w:t>
            </w:r>
            <w:proofErr w:type="spellStart"/>
            <w:r w:rsidRPr="00B942CD">
              <w:rPr>
                <w:rFonts w:ascii="Times New Roman" w:eastAsia="SimSun" w:hAnsi="Times New Roman" w:cs="Times New Roman"/>
                <w:b/>
                <w:bCs/>
                <w:snapToGrid w:val="0"/>
                <w:color w:val="000000" w:themeColor="text1"/>
                <w:sz w:val="21"/>
                <w:szCs w:val="21"/>
              </w:rPr>
              <w:t>g</w:t>
            </w:r>
            <w:r w:rsidRPr="00B942CD">
              <w:rPr>
                <w:rFonts w:ascii="Times New Roman" w:eastAsia="SimSun" w:hAnsi="Times New Roman" w:cs="Times New Roman"/>
                <w:b/>
                <w:bCs/>
                <w:i/>
                <w:snapToGrid w:val="0"/>
                <w:color w:val="000000" w:themeColor="text1"/>
                <w:sz w:val="21"/>
                <w:szCs w:val="21"/>
              </w:rPr>
              <w:t>BRCA</w:t>
            </w:r>
            <w:r w:rsidRPr="00B942CD">
              <w:rPr>
                <w:rFonts w:ascii="Times New Roman" w:eastAsia="SimSun" w:hAnsi="Times New Roman" w:cs="Times New Roman"/>
                <w:b/>
                <w:bCs/>
                <w:snapToGrid w:val="0"/>
                <w:color w:val="000000" w:themeColor="text1"/>
                <w:sz w:val="21"/>
                <w:szCs w:val="21"/>
              </w:rPr>
              <w:t>mut</w:t>
            </w:r>
            <w:proofErr w:type="spellEnd"/>
            <w:r w:rsidRPr="00B942CD">
              <w:rPr>
                <w:rFonts w:ascii="Times New Roman" w:eastAsia="SimSun" w:hAnsi="Times New Roman" w:cs="Times New Roman"/>
                <w:snapToGrid w:val="0"/>
                <w:color w:val="000000" w:themeColor="text1"/>
                <w:sz w:val="21"/>
                <w:szCs w:val="21"/>
              </w:rPr>
              <w:t xml:space="preserve"> cohort</w:t>
            </w:r>
          </w:p>
        </w:tc>
      </w:tr>
      <w:tr w:rsidR="00B61960" w:rsidRPr="00B942CD" w14:paraId="48E2F824" w14:textId="77777777" w:rsidTr="00F61B27">
        <w:tc>
          <w:tcPr>
            <w:tcW w:w="1059" w:type="pct"/>
          </w:tcPr>
          <w:p w14:paraId="43F5EC76" w14:textId="1116EF1D" w:rsidR="004733E0" w:rsidRPr="00B942CD" w:rsidRDefault="00B61960" w:rsidP="00AA119C">
            <w:pPr>
              <w:pStyle w:val="TableParagraph"/>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Niraparib (n = 234)</w:t>
            </w:r>
          </w:p>
        </w:tc>
        <w:tc>
          <w:tcPr>
            <w:tcW w:w="833" w:type="pct"/>
          </w:tcPr>
          <w:p w14:paraId="4C7D3BCA"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9.3 (7.2, 11.2)</w:t>
            </w:r>
          </w:p>
        </w:tc>
        <w:tc>
          <w:tcPr>
            <w:tcW w:w="986" w:type="pct"/>
            <w:vMerge w:val="restart"/>
          </w:tcPr>
          <w:p w14:paraId="6938E6FF" w14:textId="10B35BA4"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0.45 (0.338,</w:t>
            </w:r>
            <w:r w:rsidR="00FB1BB7" w:rsidRPr="00B942CD">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0.607)</w:t>
            </w:r>
          </w:p>
          <w:p w14:paraId="4702B328"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 &lt; 0.0001</w:t>
            </w:r>
          </w:p>
        </w:tc>
        <w:tc>
          <w:tcPr>
            <w:tcW w:w="707" w:type="pct"/>
          </w:tcPr>
          <w:p w14:paraId="4D9FDC4C"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61%</w:t>
            </w:r>
          </w:p>
        </w:tc>
        <w:tc>
          <w:tcPr>
            <w:tcW w:w="707" w:type="pct"/>
          </w:tcPr>
          <w:p w14:paraId="08D3367D"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41%</w:t>
            </w:r>
          </w:p>
        </w:tc>
        <w:tc>
          <w:tcPr>
            <w:tcW w:w="707" w:type="pct"/>
          </w:tcPr>
          <w:p w14:paraId="29DE1BF3"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30%</w:t>
            </w:r>
          </w:p>
        </w:tc>
      </w:tr>
      <w:tr w:rsidR="00B61960" w:rsidRPr="00B942CD" w14:paraId="3E52C6DB" w14:textId="77777777" w:rsidTr="00F61B27">
        <w:tc>
          <w:tcPr>
            <w:tcW w:w="1059" w:type="pct"/>
          </w:tcPr>
          <w:p w14:paraId="46566621" w14:textId="24E82BD4"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Placebo</w:t>
            </w:r>
          </w:p>
          <w:p w14:paraId="7B98CCC9" w14:textId="56D94D1E" w:rsidR="004733E0" w:rsidRPr="00B942CD" w:rsidRDefault="00B6196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(n=116)</w:t>
            </w:r>
          </w:p>
        </w:tc>
        <w:tc>
          <w:tcPr>
            <w:tcW w:w="833" w:type="pct"/>
          </w:tcPr>
          <w:p w14:paraId="2FF54231"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3.9 (3.7, 5.5)</w:t>
            </w:r>
          </w:p>
        </w:tc>
        <w:tc>
          <w:tcPr>
            <w:tcW w:w="986" w:type="pct"/>
            <w:vMerge/>
            <w:tcBorders>
              <w:top w:val="nil"/>
            </w:tcBorders>
          </w:tcPr>
          <w:p w14:paraId="6EF91F5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
        </w:tc>
        <w:tc>
          <w:tcPr>
            <w:tcW w:w="707" w:type="pct"/>
          </w:tcPr>
          <w:p w14:paraId="66349975"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36%</w:t>
            </w:r>
          </w:p>
        </w:tc>
        <w:tc>
          <w:tcPr>
            <w:tcW w:w="707" w:type="pct"/>
          </w:tcPr>
          <w:p w14:paraId="0AF00EB9"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14%</w:t>
            </w:r>
          </w:p>
        </w:tc>
        <w:tc>
          <w:tcPr>
            <w:tcW w:w="707" w:type="pct"/>
          </w:tcPr>
          <w:p w14:paraId="3671944B" w14:textId="77777777" w:rsidR="004733E0" w:rsidRPr="00B942CD" w:rsidRDefault="004733E0" w:rsidP="00AA119C">
            <w:pPr>
              <w:pStyle w:val="TableParagraph"/>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12%</w:t>
            </w:r>
          </w:p>
        </w:tc>
      </w:tr>
    </w:tbl>
    <w:p w14:paraId="08A38F96" w14:textId="67C77C4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Source: PR-30-5011-C (NOVA main study) CSR</w:t>
      </w:r>
    </w:p>
    <w:p w14:paraId="05C820AC" w14:textId="7A08D6B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Abbreviations: </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 xml:space="preserve"> = Breast cancer susceptibility gene; CI = Confidence interval; </w:t>
      </w:r>
      <w:proofErr w:type="spellStart"/>
      <w:r w:rsidRPr="00B942CD">
        <w:rPr>
          <w:rFonts w:ascii="Times New Roman" w:eastAsia="SimSun" w:hAnsi="Times New Roman" w:cs="Times New Roman"/>
          <w:snapToGrid w:val="0"/>
          <w:color w:val="000000" w:themeColor="text1"/>
          <w:sz w:val="21"/>
          <w:szCs w:val="21"/>
        </w:rPr>
        <w:t>g</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mut</w:t>
      </w:r>
      <w:proofErr w:type="spellEnd"/>
      <w:r w:rsidRPr="00B942CD">
        <w:rPr>
          <w:rFonts w:ascii="Times New Roman" w:eastAsia="SimSun" w:hAnsi="Times New Roman" w:cs="Times New Roman"/>
          <w:snapToGrid w:val="0"/>
          <w:color w:val="000000" w:themeColor="text1"/>
          <w:sz w:val="21"/>
          <w:szCs w:val="21"/>
        </w:rPr>
        <w:t xml:space="preserve"> = Germline </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 xml:space="preserve"> mutation; </w:t>
      </w:r>
      <w:proofErr w:type="spellStart"/>
      <w:r w:rsidRPr="00B942CD">
        <w:rPr>
          <w:rFonts w:ascii="Times New Roman" w:eastAsia="SimSun" w:hAnsi="Times New Roman" w:cs="Times New Roman"/>
          <w:snapToGrid w:val="0"/>
          <w:color w:val="000000" w:themeColor="text1"/>
          <w:sz w:val="21"/>
          <w:szCs w:val="21"/>
        </w:rPr>
        <w:t>HRDpos</w:t>
      </w:r>
      <w:proofErr w:type="spellEnd"/>
      <w:r w:rsidRPr="00B942CD">
        <w:rPr>
          <w:rFonts w:ascii="Times New Roman" w:eastAsia="SimSun" w:hAnsi="Times New Roman" w:cs="Times New Roman"/>
          <w:snapToGrid w:val="0"/>
          <w:color w:val="000000" w:themeColor="text1"/>
          <w:sz w:val="21"/>
          <w:szCs w:val="21"/>
        </w:rPr>
        <w:t xml:space="preserve"> = Homologous recombination deficiency positive; ITT = Intent-to-treat; NE = Not estimated; non-</w:t>
      </w:r>
      <w:proofErr w:type="spellStart"/>
      <w:r w:rsidRPr="00B942CD">
        <w:rPr>
          <w:rFonts w:ascii="Times New Roman" w:eastAsia="SimSun" w:hAnsi="Times New Roman" w:cs="Times New Roman"/>
          <w:snapToGrid w:val="0"/>
          <w:color w:val="000000" w:themeColor="text1"/>
          <w:sz w:val="21"/>
          <w:szCs w:val="21"/>
        </w:rPr>
        <w:t>g</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mut</w:t>
      </w:r>
      <w:proofErr w:type="spellEnd"/>
      <w:r w:rsidRPr="00B942CD">
        <w:rPr>
          <w:rFonts w:ascii="Times New Roman" w:eastAsia="SimSun" w:hAnsi="Times New Roman" w:cs="Times New Roman"/>
          <w:snapToGrid w:val="0"/>
          <w:color w:val="000000" w:themeColor="text1"/>
          <w:sz w:val="21"/>
          <w:szCs w:val="21"/>
        </w:rPr>
        <w:t xml:space="preserve"> = non-germline </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 xml:space="preserve"> mutation; PFS = Progression-free survival</w:t>
      </w:r>
    </w:p>
    <w:p w14:paraId="699A1C48" w14:textId="4022321A" w:rsidR="004733E0" w:rsidRPr="00B942CD" w:rsidRDefault="004733E0" w:rsidP="004C08C9">
      <w:pPr>
        <w:pStyle w:val="ListParagraph"/>
        <w:widowControl/>
        <w:numPr>
          <w:ilvl w:val="0"/>
          <w:numId w:val="42"/>
        </w:numPr>
        <w:autoSpaceDE/>
        <w:autoSpaceDN/>
        <w:adjustRightInd w:val="0"/>
        <w:snapToGrid w:val="0"/>
        <w:spacing w:beforeLines="15" w:before="36" w:line="276" w:lineRule="auto"/>
        <w:ind w:hangingChars="20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PFS is defined as the time from randomization to progression or death.</w:t>
      </w:r>
    </w:p>
    <w:p w14:paraId="583BE007" w14:textId="4A39FC2B" w:rsidR="004733E0" w:rsidRPr="00B942CD" w:rsidRDefault="004733E0" w:rsidP="004C08C9">
      <w:pPr>
        <w:pStyle w:val="ListParagraph"/>
        <w:widowControl/>
        <w:numPr>
          <w:ilvl w:val="0"/>
          <w:numId w:val="42"/>
        </w:numPr>
        <w:autoSpaceDE/>
        <w:autoSpaceDN/>
        <w:adjustRightInd w:val="0"/>
        <w:snapToGrid w:val="0"/>
        <w:spacing w:beforeLines="15" w:before="36" w:line="276" w:lineRule="auto"/>
        <w:ind w:hangingChars="20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Niraparib: placebo, based on the stratified Cox proportional hazard model using stratification factors of randomization.</w:t>
      </w:r>
    </w:p>
    <w:p w14:paraId="0C0E5FA3" w14:textId="2D8BD870" w:rsidR="004733E0" w:rsidRPr="00B942CD" w:rsidRDefault="004733E0" w:rsidP="004C08C9">
      <w:pPr>
        <w:pStyle w:val="ListParagraph"/>
        <w:widowControl/>
        <w:numPr>
          <w:ilvl w:val="0"/>
          <w:numId w:val="42"/>
        </w:numPr>
        <w:autoSpaceDE/>
        <w:autoSpaceDN/>
        <w:adjustRightInd w:val="0"/>
        <w:snapToGrid w:val="0"/>
        <w:spacing w:beforeLines="15" w:before="36" w:line="276" w:lineRule="auto"/>
        <w:ind w:hangingChars="20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Based on stratified Log rank test using stratification factors of randomization.</w:t>
      </w:r>
    </w:p>
    <w:p w14:paraId="1E77A3B1" w14:textId="68FAF9DB" w:rsidR="004733E0" w:rsidRPr="00B942CD" w:rsidRDefault="004733E0" w:rsidP="004C08C9">
      <w:pPr>
        <w:pStyle w:val="ListParagraph"/>
        <w:widowControl/>
        <w:numPr>
          <w:ilvl w:val="0"/>
          <w:numId w:val="42"/>
        </w:numPr>
        <w:autoSpaceDE/>
        <w:autoSpaceDN/>
        <w:adjustRightInd w:val="0"/>
        <w:snapToGrid w:val="0"/>
        <w:spacing w:beforeLines="15" w:before="36" w:line="276" w:lineRule="auto"/>
        <w:ind w:hangingChars="20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Product-limit estimate. Confidence intervals were constructed using logarithmic transformation.</w:t>
      </w:r>
    </w:p>
    <w:p w14:paraId="6ECF8EF8" w14:textId="2FA25F46"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Secondary endpoints, including chemotherapy-free interval (CFI), time to first subsequent therapy (TFST) and progression-free survival 2 (PFS2), confirmed that niraparib had PFS benefit in both cohorts</w:t>
      </w:r>
      <w:r w:rsidRPr="00B942CD">
        <w:rPr>
          <w:rFonts w:ascii="Times New Roman" w:eastAsia="SimSun" w:hAnsi="Times New Roman" w:cs="Times New Roman"/>
          <w:snapToGrid w:val="0"/>
          <w:color w:val="000000" w:themeColor="text1"/>
          <w:sz w:val="24"/>
          <w:szCs w:val="24"/>
          <w:vertAlign w:val="superscript"/>
        </w:rPr>
        <w:t>18</w:t>
      </w:r>
      <w:r w:rsidRPr="00B942CD">
        <w:rPr>
          <w:rFonts w:ascii="Times New Roman" w:eastAsia="SimSun" w:hAnsi="Times New Roman" w:cs="Times New Roman"/>
          <w:snapToGrid w:val="0"/>
          <w:color w:val="000000" w:themeColor="text1"/>
          <w:sz w:val="24"/>
          <w:szCs w:val="24"/>
        </w:rPr>
        <w:t>, which proved that niraparib did not reduce the response to subsequent therapy, and also proved the continuous treatment effect of niraparib. There was no evidence that niraparib treatment had an adverse effect on OS.</w:t>
      </w:r>
    </w:p>
    <w:p w14:paraId="2BACBFD9" w14:textId="032DD8D9"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No deaths were reported during the study. The majority of patients in both cohorts experienced at least 1 TEAE, including all 367 patients (100%) treated with niraparib and 171 patients (95.5%) treated with placebo (Table 5). Table 5 lists Grade 3/4 AEs occurring in ≥ 5% patients.</w:t>
      </w:r>
    </w:p>
    <w:p w14:paraId="1D48B622" w14:textId="10E4BD33" w:rsidR="004733E0" w:rsidRPr="00B942CD" w:rsidRDefault="004733E0" w:rsidP="00AA119C">
      <w:pPr>
        <w:pageBreakBefore/>
        <w:widowControl/>
        <w:autoSpaceDE/>
        <w:autoSpaceDN/>
        <w:adjustRightInd w:val="0"/>
        <w:snapToGrid w:val="0"/>
        <w:spacing w:beforeLines="50" w:before="120" w:line="288" w:lineRule="auto"/>
        <w:jc w:val="center"/>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b/>
          <w:snapToGrid w:val="0"/>
          <w:color w:val="000000" w:themeColor="text1"/>
          <w:sz w:val="24"/>
        </w:rPr>
        <w:lastRenderedPageBreak/>
        <w:t>Table 5: AE Summary of PR-30-5011-C NOVA Main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3117"/>
        <w:gridCol w:w="3117"/>
      </w:tblGrid>
      <w:tr w:rsidR="00C04058" w:rsidRPr="00B942CD" w14:paraId="7D65114A" w14:textId="77777777" w:rsidTr="00A0624A">
        <w:tc>
          <w:tcPr>
            <w:tcW w:w="1666" w:type="pct"/>
          </w:tcPr>
          <w:p w14:paraId="09800913" w14:textId="323B022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AEs</w:t>
            </w:r>
          </w:p>
        </w:tc>
        <w:tc>
          <w:tcPr>
            <w:tcW w:w="1667" w:type="pct"/>
          </w:tcPr>
          <w:p w14:paraId="0FE8E5C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Niraparib N = 367 n (%)</w:t>
            </w:r>
          </w:p>
        </w:tc>
        <w:tc>
          <w:tcPr>
            <w:tcW w:w="1667" w:type="pct"/>
          </w:tcPr>
          <w:p w14:paraId="74C324BB" w14:textId="1CCD8A1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Placebo N = 179 n (%)</w:t>
            </w:r>
          </w:p>
        </w:tc>
      </w:tr>
      <w:tr w:rsidR="00C04058" w:rsidRPr="00B942CD" w14:paraId="2EB22ED3" w14:textId="77777777" w:rsidTr="00A0624A">
        <w:tc>
          <w:tcPr>
            <w:tcW w:w="1666" w:type="pct"/>
          </w:tcPr>
          <w:p w14:paraId="295551B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Any TEAEs </w:t>
            </w:r>
          </w:p>
        </w:tc>
        <w:tc>
          <w:tcPr>
            <w:tcW w:w="1667" w:type="pct"/>
          </w:tcPr>
          <w:p w14:paraId="492CFA3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367 (100.0)</w:t>
            </w:r>
          </w:p>
        </w:tc>
        <w:tc>
          <w:tcPr>
            <w:tcW w:w="1667" w:type="pct"/>
          </w:tcPr>
          <w:p w14:paraId="5D87681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171 (95.5)</w:t>
            </w:r>
          </w:p>
        </w:tc>
      </w:tr>
      <w:tr w:rsidR="00C04058" w:rsidRPr="00B942CD" w14:paraId="772B3D5E" w14:textId="77777777" w:rsidTr="00A0624A">
        <w:tc>
          <w:tcPr>
            <w:tcW w:w="1666" w:type="pct"/>
          </w:tcPr>
          <w:p w14:paraId="04BB2C0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Nausea </w:t>
            </w:r>
          </w:p>
        </w:tc>
        <w:tc>
          <w:tcPr>
            <w:tcW w:w="1667" w:type="pct"/>
          </w:tcPr>
          <w:p w14:paraId="1B948DB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270 (73.6) </w:t>
            </w:r>
          </w:p>
        </w:tc>
        <w:tc>
          <w:tcPr>
            <w:tcW w:w="1667" w:type="pct"/>
          </w:tcPr>
          <w:p w14:paraId="2D0D6D6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63 (35.2)</w:t>
            </w:r>
          </w:p>
        </w:tc>
      </w:tr>
      <w:tr w:rsidR="00C04058" w:rsidRPr="00B942CD" w14:paraId="1D2B6937" w14:textId="77777777" w:rsidTr="00A0624A">
        <w:tc>
          <w:tcPr>
            <w:tcW w:w="1666" w:type="pct"/>
          </w:tcPr>
          <w:p w14:paraId="50DE3263" w14:textId="1437C05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Anaemia</w:t>
            </w:r>
            <w:proofErr w:type="spellEnd"/>
            <w:r w:rsidRPr="00B942CD">
              <w:rPr>
                <w:rFonts w:ascii="Times New Roman" w:eastAsia="SimSun" w:hAnsi="Times New Roman" w:cs="Times New Roman"/>
                <w:snapToGrid w:val="0"/>
                <w:color w:val="000000" w:themeColor="text1"/>
                <w:sz w:val="21"/>
                <w:szCs w:val="21"/>
              </w:rPr>
              <w:t xml:space="preserve"> </w:t>
            </w:r>
          </w:p>
        </w:tc>
        <w:tc>
          <w:tcPr>
            <w:tcW w:w="1667" w:type="pct"/>
          </w:tcPr>
          <w:p w14:paraId="773FE7E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178 (48.5)</w:t>
            </w:r>
          </w:p>
        </w:tc>
        <w:tc>
          <w:tcPr>
            <w:tcW w:w="1667" w:type="pct"/>
          </w:tcPr>
          <w:p w14:paraId="69AFED3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 (6.7)</w:t>
            </w:r>
          </w:p>
        </w:tc>
      </w:tr>
      <w:tr w:rsidR="00C04058" w:rsidRPr="00B942CD" w14:paraId="728B7923" w14:textId="77777777" w:rsidTr="00A0624A">
        <w:tc>
          <w:tcPr>
            <w:tcW w:w="1666" w:type="pct"/>
          </w:tcPr>
          <w:p w14:paraId="2570127D" w14:textId="39D9B818"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Platelets decreased</w:t>
            </w:r>
          </w:p>
        </w:tc>
        <w:tc>
          <w:tcPr>
            <w:tcW w:w="1667" w:type="pct"/>
          </w:tcPr>
          <w:p w14:paraId="5781FF0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169 (46.0) </w:t>
            </w:r>
          </w:p>
        </w:tc>
        <w:tc>
          <w:tcPr>
            <w:tcW w:w="1667" w:type="pct"/>
          </w:tcPr>
          <w:p w14:paraId="3121A38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 (3.4)</w:t>
            </w:r>
          </w:p>
        </w:tc>
      </w:tr>
      <w:tr w:rsidR="00C04058" w:rsidRPr="00B942CD" w14:paraId="4CE106BB" w14:textId="77777777" w:rsidTr="00A0624A">
        <w:tc>
          <w:tcPr>
            <w:tcW w:w="1666" w:type="pct"/>
          </w:tcPr>
          <w:p w14:paraId="6BB320A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Fatigue </w:t>
            </w:r>
          </w:p>
        </w:tc>
        <w:tc>
          <w:tcPr>
            <w:tcW w:w="1667" w:type="pct"/>
          </w:tcPr>
          <w:p w14:paraId="51F8D16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168 (45.8)</w:t>
            </w:r>
          </w:p>
        </w:tc>
        <w:tc>
          <w:tcPr>
            <w:tcW w:w="1667" w:type="pct"/>
          </w:tcPr>
          <w:p w14:paraId="5187414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58 (32.4)</w:t>
            </w:r>
          </w:p>
        </w:tc>
      </w:tr>
      <w:tr w:rsidR="00C04058" w:rsidRPr="00B942CD" w14:paraId="78FC1EA9" w14:textId="77777777" w:rsidTr="00A0624A">
        <w:tc>
          <w:tcPr>
            <w:tcW w:w="1666" w:type="pct"/>
          </w:tcPr>
          <w:p w14:paraId="6FCC130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Constipation </w:t>
            </w:r>
          </w:p>
        </w:tc>
        <w:tc>
          <w:tcPr>
            <w:tcW w:w="1667" w:type="pct"/>
          </w:tcPr>
          <w:p w14:paraId="03026D8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146 (39.8)</w:t>
            </w:r>
          </w:p>
        </w:tc>
        <w:tc>
          <w:tcPr>
            <w:tcW w:w="1667" w:type="pct"/>
          </w:tcPr>
          <w:p w14:paraId="0F317FA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36 (20.1)</w:t>
            </w:r>
          </w:p>
        </w:tc>
      </w:tr>
      <w:tr w:rsidR="00C04058" w:rsidRPr="00B942CD" w14:paraId="11BDBF63" w14:textId="77777777" w:rsidTr="00A0624A">
        <w:tc>
          <w:tcPr>
            <w:tcW w:w="1666" w:type="pct"/>
          </w:tcPr>
          <w:p w14:paraId="7B31322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Vomiting </w:t>
            </w:r>
          </w:p>
        </w:tc>
        <w:tc>
          <w:tcPr>
            <w:tcW w:w="1667" w:type="pct"/>
          </w:tcPr>
          <w:p w14:paraId="295EE10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126 (34.3) </w:t>
            </w:r>
          </w:p>
        </w:tc>
        <w:tc>
          <w:tcPr>
            <w:tcW w:w="1667" w:type="pct"/>
          </w:tcPr>
          <w:p w14:paraId="37ECC7E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29 (16.2)</w:t>
            </w:r>
          </w:p>
        </w:tc>
      </w:tr>
      <w:tr w:rsidR="00C04058" w:rsidRPr="00B942CD" w14:paraId="3496817A" w14:textId="77777777" w:rsidTr="00A0624A">
        <w:tc>
          <w:tcPr>
            <w:tcW w:w="1666" w:type="pct"/>
          </w:tcPr>
          <w:p w14:paraId="376403F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Headache </w:t>
            </w:r>
          </w:p>
        </w:tc>
        <w:tc>
          <w:tcPr>
            <w:tcW w:w="1667" w:type="pct"/>
          </w:tcPr>
          <w:p w14:paraId="12F9141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95 (25.9)</w:t>
            </w:r>
          </w:p>
        </w:tc>
        <w:tc>
          <w:tcPr>
            <w:tcW w:w="1667" w:type="pct"/>
          </w:tcPr>
          <w:p w14:paraId="7885804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 (9.5)</w:t>
            </w:r>
          </w:p>
        </w:tc>
      </w:tr>
      <w:tr w:rsidR="00C04058" w:rsidRPr="00B942CD" w14:paraId="246C2BF0" w14:textId="77777777" w:rsidTr="00A0624A">
        <w:tc>
          <w:tcPr>
            <w:tcW w:w="1666" w:type="pct"/>
          </w:tcPr>
          <w:p w14:paraId="0CF1F7F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Decreased appetite </w:t>
            </w:r>
          </w:p>
        </w:tc>
        <w:tc>
          <w:tcPr>
            <w:tcW w:w="1667" w:type="pct"/>
          </w:tcPr>
          <w:p w14:paraId="39C2A5F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93 (25.3) </w:t>
            </w:r>
          </w:p>
        </w:tc>
        <w:tc>
          <w:tcPr>
            <w:tcW w:w="1667" w:type="pct"/>
          </w:tcPr>
          <w:p w14:paraId="7B66738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26 (14.5)</w:t>
            </w:r>
          </w:p>
        </w:tc>
      </w:tr>
      <w:tr w:rsidR="00C04058" w:rsidRPr="00B942CD" w14:paraId="1726EA27" w14:textId="77777777" w:rsidTr="00A0624A">
        <w:tc>
          <w:tcPr>
            <w:tcW w:w="1666" w:type="pct"/>
          </w:tcPr>
          <w:p w14:paraId="64DE5AB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Insomnia</w:t>
            </w:r>
          </w:p>
        </w:tc>
        <w:tc>
          <w:tcPr>
            <w:tcW w:w="1667" w:type="pct"/>
          </w:tcPr>
          <w:p w14:paraId="414C32F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89 (24.3) </w:t>
            </w:r>
          </w:p>
        </w:tc>
        <w:tc>
          <w:tcPr>
            <w:tcW w:w="1667" w:type="pct"/>
          </w:tcPr>
          <w:p w14:paraId="234B346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 (7.3)</w:t>
            </w:r>
          </w:p>
        </w:tc>
      </w:tr>
      <w:tr w:rsidR="00C04058" w:rsidRPr="00B942CD" w14:paraId="21DDB0D2" w14:textId="77777777" w:rsidTr="00A0624A">
        <w:tc>
          <w:tcPr>
            <w:tcW w:w="1666" w:type="pct"/>
          </w:tcPr>
          <w:p w14:paraId="4AF1A89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Abdominal pain </w:t>
            </w:r>
          </w:p>
        </w:tc>
        <w:tc>
          <w:tcPr>
            <w:tcW w:w="1667" w:type="pct"/>
          </w:tcPr>
          <w:p w14:paraId="33DE960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83 (22.6)</w:t>
            </w:r>
          </w:p>
        </w:tc>
        <w:tc>
          <w:tcPr>
            <w:tcW w:w="1667" w:type="pct"/>
          </w:tcPr>
          <w:p w14:paraId="7D2F7D0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53 (29.6)</w:t>
            </w:r>
          </w:p>
        </w:tc>
      </w:tr>
      <w:tr w:rsidR="00C04058" w:rsidRPr="00B942CD" w14:paraId="5801E342" w14:textId="77777777" w:rsidTr="00A0624A">
        <w:tc>
          <w:tcPr>
            <w:tcW w:w="1666" w:type="pct"/>
          </w:tcPr>
          <w:p w14:paraId="50D5323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Platelet count decreased </w:t>
            </w:r>
          </w:p>
        </w:tc>
        <w:tc>
          <w:tcPr>
            <w:tcW w:w="1667" w:type="pct"/>
          </w:tcPr>
          <w:p w14:paraId="1DF5591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74 (20.2)</w:t>
            </w:r>
          </w:p>
        </w:tc>
        <w:tc>
          <w:tcPr>
            <w:tcW w:w="1667" w:type="pct"/>
          </w:tcPr>
          <w:p w14:paraId="686724F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 (2.2)</w:t>
            </w:r>
          </w:p>
        </w:tc>
      </w:tr>
      <w:tr w:rsidR="00C04058" w:rsidRPr="00B942CD" w14:paraId="7B5B9569" w14:textId="77777777" w:rsidTr="00A0624A">
        <w:tc>
          <w:tcPr>
            <w:tcW w:w="1666" w:type="pct"/>
          </w:tcPr>
          <w:p w14:paraId="5B78386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Difficulty breathing </w:t>
            </w:r>
          </w:p>
        </w:tc>
        <w:tc>
          <w:tcPr>
            <w:tcW w:w="1667" w:type="pct"/>
          </w:tcPr>
          <w:p w14:paraId="2E19016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71 (19.3) </w:t>
            </w:r>
          </w:p>
        </w:tc>
        <w:tc>
          <w:tcPr>
            <w:tcW w:w="1667" w:type="pct"/>
          </w:tcPr>
          <w:p w14:paraId="10572CB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15 (8.4)</w:t>
            </w:r>
          </w:p>
        </w:tc>
      </w:tr>
      <w:tr w:rsidR="00C04058" w:rsidRPr="00B942CD" w14:paraId="55CFD7C0" w14:textId="77777777" w:rsidTr="00A0624A">
        <w:tc>
          <w:tcPr>
            <w:tcW w:w="1666" w:type="pct"/>
          </w:tcPr>
          <w:p w14:paraId="037FE60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Hypertension </w:t>
            </w:r>
          </w:p>
        </w:tc>
        <w:tc>
          <w:tcPr>
            <w:tcW w:w="1667" w:type="pct"/>
          </w:tcPr>
          <w:p w14:paraId="5CA8E21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71 (19.3) </w:t>
            </w:r>
          </w:p>
        </w:tc>
        <w:tc>
          <w:tcPr>
            <w:tcW w:w="1667" w:type="pct"/>
          </w:tcPr>
          <w:p w14:paraId="55F5E7F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 (4.5)</w:t>
            </w:r>
          </w:p>
        </w:tc>
      </w:tr>
      <w:tr w:rsidR="00C04058" w:rsidRPr="00B942CD" w14:paraId="046AE7F2" w14:textId="77777777" w:rsidTr="00A0624A">
        <w:tc>
          <w:tcPr>
            <w:tcW w:w="1666" w:type="pct"/>
          </w:tcPr>
          <w:p w14:paraId="2194BA5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Diarrhea </w:t>
            </w:r>
          </w:p>
        </w:tc>
        <w:tc>
          <w:tcPr>
            <w:tcW w:w="1667" w:type="pct"/>
          </w:tcPr>
          <w:p w14:paraId="61BE64E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70 (19.1)</w:t>
            </w:r>
          </w:p>
        </w:tc>
        <w:tc>
          <w:tcPr>
            <w:tcW w:w="1667" w:type="pct"/>
          </w:tcPr>
          <w:p w14:paraId="60324AC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37 (20.7)</w:t>
            </w:r>
          </w:p>
        </w:tc>
      </w:tr>
      <w:tr w:rsidR="00C04058" w:rsidRPr="00B942CD" w14:paraId="1A090E2D" w14:textId="77777777" w:rsidTr="00A0624A">
        <w:tc>
          <w:tcPr>
            <w:tcW w:w="1666" w:type="pct"/>
          </w:tcPr>
          <w:p w14:paraId="1450DED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Neutrophils reduced </w:t>
            </w:r>
          </w:p>
        </w:tc>
        <w:tc>
          <w:tcPr>
            <w:tcW w:w="1667" w:type="pct"/>
          </w:tcPr>
          <w:p w14:paraId="7D82CE1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66 (18.0) </w:t>
            </w:r>
          </w:p>
        </w:tc>
        <w:tc>
          <w:tcPr>
            <w:tcW w:w="1667" w:type="pct"/>
          </w:tcPr>
          <w:p w14:paraId="1E28B08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 (3.4)</w:t>
            </w:r>
          </w:p>
        </w:tc>
      </w:tr>
      <w:tr w:rsidR="00C04058" w:rsidRPr="00B942CD" w14:paraId="75D08AF5" w14:textId="77777777" w:rsidTr="00A0624A">
        <w:tc>
          <w:tcPr>
            <w:tcW w:w="1666" w:type="pct"/>
          </w:tcPr>
          <w:p w14:paraId="687193B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Dizzy </w:t>
            </w:r>
          </w:p>
        </w:tc>
        <w:tc>
          <w:tcPr>
            <w:tcW w:w="1667" w:type="pct"/>
          </w:tcPr>
          <w:p w14:paraId="683D86C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61 (16.6) </w:t>
            </w:r>
          </w:p>
        </w:tc>
        <w:tc>
          <w:tcPr>
            <w:tcW w:w="1667" w:type="pct"/>
          </w:tcPr>
          <w:p w14:paraId="1B67BD2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 (7.3)</w:t>
            </w:r>
          </w:p>
        </w:tc>
      </w:tr>
      <w:tr w:rsidR="00C04058" w:rsidRPr="00B942CD" w14:paraId="23F3A945" w14:textId="77777777" w:rsidTr="00A0624A">
        <w:tc>
          <w:tcPr>
            <w:tcW w:w="1666" w:type="pct"/>
          </w:tcPr>
          <w:p w14:paraId="5C6FDAA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Weakness </w:t>
            </w:r>
          </w:p>
        </w:tc>
        <w:tc>
          <w:tcPr>
            <w:tcW w:w="1667" w:type="pct"/>
          </w:tcPr>
          <w:p w14:paraId="4A23359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58 (15.8) </w:t>
            </w:r>
          </w:p>
        </w:tc>
        <w:tc>
          <w:tcPr>
            <w:tcW w:w="1667" w:type="pct"/>
          </w:tcPr>
          <w:p w14:paraId="43CCD42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16 (8.9)</w:t>
            </w:r>
          </w:p>
        </w:tc>
      </w:tr>
      <w:tr w:rsidR="00C04058" w:rsidRPr="00B942CD" w14:paraId="12F7AF9B" w14:textId="77777777" w:rsidTr="00A0624A">
        <w:tc>
          <w:tcPr>
            <w:tcW w:w="1666" w:type="pct"/>
          </w:tcPr>
          <w:p w14:paraId="55B1926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Cough </w:t>
            </w:r>
          </w:p>
        </w:tc>
        <w:tc>
          <w:tcPr>
            <w:tcW w:w="1667" w:type="pct"/>
          </w:tcPr>
          <w:p w14:paraId="18499D0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55 (15.0) </w:t>
            </w:r>
          </w:p>
        </w:tc>
        <w:tc>
          <w:tcPr>
            <w:tcW w:w="1667" w:type="pct"/>
          </w:tcPr>
          <w:p w14:paraId="5B1A172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 (4.5)</w:t>
            </w:r>
          </w:p>
        </w:tc>
      </w:tr>
      <w:tr w:rsidR="00C04058" w:rsidRPr="00B942CD" w14:paraId="02E3520E" w14:textId="77777777" w:rsidTr="00A0624A">
        <w:tc>
          <w:tcPr>
            <w:tcW w:w="1666" w:type="pct"/>
          </w:tcPr>
          <w:p w14:paraId="43187EC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Back pain </w:t>
            </w:r>
          </w:p>
        </w:tc>
        <w:tc>
          <w:tcPr>
            <w:tcW w:w="1667" w:type="pct"/>
          </w:tcPr>
          <w:p w14:paraId="1DC3D43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49 (13.4) </w:t>
            </w:r>
          </w:p>
        </w:tc>
        <w:tc>
          <w:tcPr>
            <w:tcW w:w="1667" w:type="pct"/>
          </w:tcPr>
          <w:p w14:paraId="7CAFE4A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 (11.7)</w:t>
            </w:r>
          </w:p>
        </w:tc>
      </w:tr>
      <w:tr w:rsidR="00C04058" w:rsidRPr="00B942CD" w14:paraId="1C485079" w14:textId="77777777" w:rsidTr="00A0624A">
        <w:tc>
          <w:tcPr>
            <w:tcW w:w="1666" w:type="pct"/>
          </w:tcPr>
          <w:p w14:paraId="65CF9AE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Neutrophil count decreased </w:t>
            </w:r>
          </w:p>
        </w:tc>
        <w:tc>
          <w:tcPr>
            <w:tcW w:w="1667" w:type="pct"/>
          </w:tcPr>
          <w:p w14:paraId="68769C7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49 (13.4) </w:t>
            </w:r>
          </w:p>
        </w:tc>
        <w:tc>
          <w:tcPr>
            <w:tcW w:w="1667" w:type="pct"/>
          </w:tcPr>
          <w:p w14:paraId="295E289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 (2.8)</w:t>
            </w:r>
          </w:p>
        </w:tc>
      </w:tr>
      <w:tr w:rsidR="00C04058" w:rsidRPr="00B942CD" w14:paraId="6F9D6108" w14:textId="77777777" w:rsidTr="00A0624A">
        <w:tc>
          <w:tcPr>
            <w:tcW w:w="1666" w:type="pct"/>
          </w:tcPr>
          <w:p w14:paraId="1D43F21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Arthralgia</w:t>
            </w:r>
          </w:p>
        </w:tc>
        <w:tc>
          <w:tcPr>
            <w:tcW w:w="1667" w:type="pct"/>
          </w:tcPr>
          <w:p w14:paraId="52AB6F2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43 (11.7) </w:t>
            </w:r>
          </w:p>
        </w:tc>
        <w:tc>
          <w:tcPr>
            <w:tcW w:w="1667" w:type="pct"/>
          </w:tcPr>
          <w:p w14:paraId="15D38B8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22 (12.3)</w:t>
            </w:r>
          </w:p>
        </w:tc>
      </w:tr>
      <w:tr w:rsidR="00C04058" w:rsidRPr="00B942CD" w14:paraId="40286884" w14:textId="77777777" w:rsidTr="00A0624A">
        <w:tc>
          <w:tcPr>
            <w:tcW w:w="1666" w:type="pct"/>
          </w:tcPr>
          <w:p w14:paraId="03A074A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Dyspepsia</w:t>
            </w:r>
          </w:p>
        </w:tc>
        <w:tc>
          <w:tcPr>
            <w:tcW w:w="1667" w:type="pct"/>
          </w:tcPr>
          <w:p w14:paraId="3DA90BF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42 (11.4) </w:t>
            </w:r>
          </w:p>
        </w:tc>
        <w:tc>
          <w:tcPr>
            <w:tcW w:w="1667" w:type="pct"/>
          </w:tcPr>
          <w:p w14:paraId="193C7A3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 (9.5)</w:t>
            </w:r>
          </w:p>
        </w:tc>
      </w:tr>
      <w:tr w:rsidR="00C04058" w:rsidRPr="00B942CD" w14:paraId="156E3804" w14:textId="77777777" w:rsidTr="00A0624A">
        <w:tc>
          <w:tcPr>
            <w:tcW w:w="1666" w:type="pct"/>
          </w:tcPr>
          <w:p w14:paraId="693E6B1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Nasopharyngitis </w:t>
            </w:r>
          </w:p>
        </w:tc>
        <w:tc>
          <w:tcPr>
            <w:tcW w:w="1667" w:type="pct"/>
          </w:tcPr>
          <w:p w14:paraId="1A9E403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41 (11.2) </w:t>
            </w:r>
          </w:p>
        </w:tc>
        <w:tc>
          <w:tcPr>
            <w:tcW w:w="1667" w:type="pct"/>
          </w:tcPr>
          <w:p w14:paraId="4412846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 (7.3)</w:t>
            </w:r>
          </w:p>
        </w:tc>
      </w:tr>
      <w:tr w:rsidR="00C04058" w:rsidRPr="00B942CD" w14:paraId="233EFBC1" w14:textId="77777777" w:rsidTr="00A0624A">
        <w:tc>
          <w:tcPr>
            <w:tcW w:w="1666" w:type="pct"/>
          </w:tcPr>
          <w:p w14:paraId="4067A7B4" w14:textId="2D92D7E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Urinary tract infection </w:t>
            </w:r>
          </w:p>
        </w:tc>
        <w:tc>
          <w:tcPr>
            <w:tcW w:w="1667" w:type="pct"/>
          </w:tcPr>
          <w:p w14:paraId="63996B5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38 (10.4) </w:t>
            </w:r>
          </w:p>
        </w:tc>
        <w:tc>
          <w:tcPr>
            <w:tcW w:w="1667" w:type="pct"/>
          </w:tcPr>
          <w:p w14:paraId="0FB80FB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 (6.1)</w:t>
            </w:r>
          </w:p>
        </w:tc>
      </w:tr>
      <w:tr w:rsidR="00C04058" w:rsidRPr="00B942CD" w14:paraId="0C9A2516" w14:textId="77777777" w:rsidTr="00A0624A">
        <w:tc>
          <w:tcPr>
            <w:tcW w:w="1666" w:type="pct"/>
          </w:tcPr>
          <w:p w14:paraId="424CD7A8" w14:textId="7078544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Palpitation </w:t>
            </w:r>
          </w:p>
        </w:tc>
        <w:tc>
          <w:tcPr>
            <w:tcW w:w="1667" w:type="pct"/>
          </w:tcPr>
          <w:p w14:paraId="18FA18E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38 (10.4) </w:t>
            </w:r>
          </w:p>
        </w:tc>
        <w:tc>
          <w:tcPr>
            <w:tcW w:w="1667" w:type="pct"/>
          </w:tcPr>
          <w:p w14:paraId="4D99493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 (1.7)</w:t>
            </w:r>
          </w:p>
        </w:tc>
      </w:tr>
      <w:tr w:rsidR="00C04058" w:rsidRPr="00B942CD" w14:paraId="72E6747C" w14:textId="77777777" w:rsidTr="00A0624A">
        <w:tc>
          <w:tcPr>
            <w:tcW w:w="1666" w:type="pct"/>
          </w:tcPr>
          <w:p w14:paraId="108D84A0"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Taste disorder</w:t>
            </w:r>
          </w:p>
        </w:tc>
        <w:tc>
          <w:tcPr>
            <w:tcW w:w="1667" w:type="pct"/>
          </w:tcPr>
          <w:p w14:paraId="2025BA7B"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 xml:space="preserve">37 (10.1) </w:t>
            </w:r>
          </w:p>
        </w:tc>
        <w:tc>
          <w:tcPr>
            <w:tcW w:w="1667" w:type="pct"/>
          </w:tcPr>
          <w:p w14:paraId="626FB7A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 (3.9)</w:t>
            </w:r>
          </w:p>
        </w:tc>
      </w:tr>
      <w:tr w:rsidR="00C04058" w:rsidRPr="00B942CD" w14:paraId="2EB82391" w14:textId="77777777" w:rsidTr="00A0624A">
        <w:tc>
          <w:tcPr>
            <w:tcW w:w="1666" w:type="pct"/>
          </w:tcPr>
          <w:p w14:paraId="0E0FB6E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Myalgia </w:t>
            </w:r>
          </w:p>
        </w:tc>
        <w:tc>
          <w:tcPr>
            <w:tcW w:w="1667" w:type="pct"/>
          </w:tcPr>
          <w:p w14:paraId="0BE981E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30 (8.2)</w:t>
            </w:r>
          </w:p>
        </w:tc>
        <w:tc>
          <w:tcPr>
            <w:tcW w:w="1667" w:type="pct"/>
          </w:tcPr>
          <w:p w14:paraId="182A6D8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18 (10.1)</w:t>
            </w:r>
          </w:p>
        </w:tc>
      </w:tr>
      <w:tr w:rsidR="002B2947" w:rsidRPr="00B942CD" w14:paraId="247F2F0B" w14:textId="77777777" w:rsidTr="00A0624A">
        <w:tc>
          <w:tcPr>
            <w:tcW w:w="1666" w:type="pct"/>
          </w:tcPr>
          <w:p w14:paraId="6939378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Abdominal distention </w:t>
            </w:r>
          </w:p>
        </w:tc>
        <w:tc>
          <w:tcPr>
            <w:tcW w:w="1667" w:type="pct"/>
          </w:tcPr>
          <w:p w14:paraId="53135B2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28 (7.6)</w:t>
            </w:r>
          </w:p>
        </w:tc>
        <w:tc>
          <w:tcPr>
            <w:tcW w:w="1667" w:type="pct"/>
          </w:tcPr>
          <w:p w14:paraId="289CDAB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22 (12.3)</w:t>
            </w:r>
          </w:p>
        </w:tc>
      </w:tr>
    </w:tbl>
    <w:p w14:paraId="2FEC0630" w14:textId="5346D0CF"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Summary of hematologic AEs: At present, the common AEs of PARP inhibitors used clinically are hematologic AEs, including thrombocytopenia, neutropenia and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Hematologic AEs have also been summarized in our clinical study set.</w:t>
      </w:r>
    </w:p>
    <w:p w14:paraId="0CB63EE6" w14:textId="11F57C28" w:rsidR="004733E0" w:rsidRPr="00B942CD" w:rsidRDefault="004733E0" w:rsidP="004C08C9">
      <w:pPr>
        <w:pStyle w:val="ListParagraph"/>
        <w:widowControl/>
        <w:numPr>
          <w:ilvl w:val="0"/>
          <w:numId w:val="28"/>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Thrombocytopenia: overall, 186/384 (49%) patients had thrombocytopenia in the ovarian cancer study; of these, 28% had Grade 3 or higher thrombocytopenia and 8% had SAEs. Inter-study data analysis showed the highest incidence of all grades and Grade 3 or higher thrombocytopenia events in the QTc sub-study. The RADAR analysis after NOVA showed that the ratio of Grade 3 or higher thrombocytopenia events in patients </w:t>
      </w:r>
      <w:r w:rsidRPr="00B942CD">
        <w:rPr>
          <w:rFonts w:ascii="Times New Roman" w:eastAsia="SimSun" w:hAnsi="Times New Roman" w:cs="Times New Roman"/>
          <w:snapToGrid w:val="0"/>
          <w:color w:val="000000" w:themeColor="text1"/>
          <w:sz w:val="24"/>
          <w:szCs w:val="24"/>
        </w:rPr>
        <w:lastRenderedPageBreak/>
        <w:t>with body weight ≥ 77 kg and platelet count &gt; 150,000/</w:t>
      </w:r>
      <w:proofErr w:type="spellStart"/>
      <w:r w:rsidRPr="00B942CD">
        <w:rPr>
          <w:rFonts w:ascii="Times New Roman" w:eastAsia="SimSun" w:hAnsi="Times New Roman" w:cs="Times New Roman"/>
          <w:snapToGrid w:val="0"/>
          <w:color w:val="000000" w:themeColor="text1"/>
          <w:sz w:val="24"/>
          <w:szCs w:val="24"/>
        </w:rPr>
        <w:t>uL</w:t>
      </w:r>
      <w:proofErr w:type="spellEnd"/>
      <w:r w:rsidRPr="00B942CD">
        <w:rPr>
          <w:rFonts w:ascii="Times New Roman" w:eastAsia="SimSun" w:hAnsi="Times New Roman" w:cs="Times New Roman"/>
          <w:snapToGrid w:val="0"/>
          <w:color w:val="000000" w:themeColor="text1"/>
          <w:sz w:val="24"/>
          <w:szCs w:val="24"/>
        </w:rPr>
        <w:t xml:space="preserve"> to those with body weight &lt; 77 kg or platelet count &lt; 150,000/ul was 39.3%: 16.1%, and the differentiated selection of starting dose was performed in both the subsequent PRIMA clinical trial and QUADRA clinical trial according to body weight and platelet count. In patients with body weight &lt; 77 kg or platelet count </w:t>
      </w:r>
      <w:r w:rsidR="00CA5AF8" w:rsidRPr="00B942CD">
        <w:rPr>
          <w:rFonts w:ascii="Times New Roman" w:eastAsia="SimSun" w:hAnsi="Times New Roman" w:cs="Times New Roman"/>
          <w:snapToGrid w:val="0"/>
          <w:color w:val="000000" w:themeColor="text1"/>
          <w:sz w:val="24"/>
          <w:szCs w:val="24"/>
        </w:rPr>
        <w:t>&lt;</w:t>
      </w:r>
      <w:r w:rsidRPr="00B942CD">
        <w:rPr>
          <w:rFonts w:ascii="Times New Roman" w:eastAsia="SimSun" w:hAnsi="Times New Roman" w:cs="Times New Roman"/>
          <w:snapToGrid w:val="0"/>
          <w:color w:val="000000" w:themeColor="text1"/>
          <w:sz w:val="24"/>
          <w:szCs w:val="24"/>
        </w:rPr>
        <w:t>150,000/</w:t>
      </w:r>
      <w:proofErr w:type="spellStart"/>
      <w:r w:rsidRPr="00B942CD">
        <w:rPr>
          <w:rFonts w:ascii="Times New Roman" w:eastAsia="SimSun" w:hAnsi="Times New Roman" w:cs="Times New Roman"/>
          <w:snapToGrid w:val="0"/>
          <w:color w:val="000000" w:themeColor="text1"/>
          <w:sz w:val="24"/>
          <w:szCs w:val="24"/>
        </w:rPr>
        <w:t>uL</w:t>
      </w:r>
      <w:proofErr w:type="spellEnd"/>
      <w:r w:rsidRPr="00B942CD">
        <w:rPr>
          <w:rFonts w:ascii="Times New Roman" w:eastAsia="SimSun" w:hAnsi="Times New Roman" w:cs="Times New Roman"/>
          <w:snapToGrid w:val="0"/>
          <w:color w:val="000000" w:themeColor="text1"/>
          <w:sz w:val="24"/>
          <w:szCs w:val="24"/>
        </w:rPr>
        <w:t>, niraparib 200 mg QD was selected as the starting dose, and the safety data was improved. Generally, thrombocytopenia could be managed clinically, and only a few patients discontinued the study drug due to the TEAE; a total of 12 patients (3%) in the NOVA study discontinued the study drug due to abnormal laboratory results, and similar incidences were observed in each study. According to the requirements of the protocol, dose interruption and reduction of study drug were required for patients with platelet count low. The study drug was interrupted in 133 patients (35%) and the dose was reduced in 62 patients (16%) due to the AE.</w:t>
      </w:r>
    </w:p>
    <w:p w14:paraId="4697C0C4" w14:textId="696B0BCE" w:rsidR="004733E0" w:rsidRPr="00B942CD" w:rsidRDefault="004733E0" w:rsidP="004C08C9">
      <w:pPr>
        <w:pStyle w:val="ListParagraph"/>
        <w:widowControl/>
        <w:numPr>
          <w:ilvl w:val="0"/>
          <w:numId w:val="28"/>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szCs w:val="24"/>
        </w:rPr>
      </w:pP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Including macrocytic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w:t>
      </w:r>
      <w:proofErr w:type="spellStart"/>
      <w:r w:rsidRPr="00B942CD">
        <w:rPr>
          <w:rFonts w:ascii="Times New Roman" w:eastAsia="SimSun" w:hAnsi="Times New Roman" w:cs="Times New Roman"/>
          <w:snapToGrid w:val="0"/>
          <w:color w:val="000000" w:themeColor="text1"/>
          <w:sz w:val="24"/>
          <w:szCs w:val="24"/>
        </w:rPr>
        <w:t>aregenerative</w:t>
      </w:r>
      <w:proofErr w:type="spellEnd"/>
      <w:r w:rsidRPr="00B942CD">
        <w:rPr>
          <w:rFonts w:ascii="Times New Roman" w:eastAsia="SimSun" w:hAnsi="Times New Roman" w:cs="Times New Roman"/>
          <w:snapToGrid w:val="0"/>
          <w:color w:val="000000" w:themeColor="text1"/>
          <w:sz w:val="24"/>
          <w:szCs w:val="24"/>
        </w:rPr>
        <w:t xml:space="preserve">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normochromic normocytic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and </w:t>
      </w:r>
      <w:proofErr w:type="spellStart"/>
      <w:r w:rsidRPr="00B942CD">
        <w:rPr>
          <w:rFonts w:ascii="Times New Roman" w:eastAsia="SimSun" w:hAnsi="Times New Roman" w:cs="Times New Roman"/>
          <w:snapToGrid w:val="0"/>
          <w:color w:val="000000" w:themeColor="text1"/>
          <w:sz w:val="24"/>
          <w:szCs w:val="24"/>
        </w:rPr>
        <w:t>haemoglobin</w:t>
      </w:r>
      <w:proofErr w:type="spellEnd"/>
      <w:r w:rsidRPr="00B942CD">
        <w:rPr>
          <w:rFonts w:ascii="Times New Roman" w:eastAsia="SimSun" w:hAnsi="Times New Roman" w:cs="Times New Roman"/>
          <w:snapToGrid w:val="0"/>
          <w:color w:val="000000" w:themeColor="text1"/>
          <w:sz w:val="24"/>
          <w:szCs w:val="24"/>
        </w:rPr>
        <w:t xml:space="preserve"> decreased. Overall, 173/384 (45%) patients reported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events in the ovarian cancer treatment study set; of these, 21% reported Grade 3 or higher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and 3% reported SAEs. Generally,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events could be managed clinically, and only a few patients discontinued the study drug due to the TEAE; a total of 5 patients (1%) discontinued the study drug due to abnormal laboratory results in the ovarian cancer treatment study set. According to the requirements of the protocol, dose interruption and reduction of study drug were required for patients with low </w:t>
      </w:r>
      <w:proofErr w:type="spellStart"/>
      <w:r w:rsidRPr="00B942CD">
        <w:rPr>
          <w:rFonts w:ascii="Times New Roman" w:eastAsia="SimSun" w:hAnsi="Times New Roman" w:cs="Times New Roman"/>
          <w:snapToGrid w:val="0"/>
          <w:color w:val="000000" w:themeColor="text1"/>
          <w:sz w:val="24"/>
          <w:szCs w:val="24"/>
        </w:rPr>
        <w:t>haemoglobin</w:t>
      </w:r>
      <w:proofErr w:type="spellEnd"/>
      <w:r w:rsidRPr="00B942CD">
        <w:rPr>
          <w:rFonts w:ascii="Times New Roman" w:eastAsia="SimSun" w:hAnsi="Times New Roman" w:cs="Times New Roman"/>
          <w:snapToGrid w:val="0"/>
          <w:color w:val="000000" w:themeColor="text1"/>
          <w:sz w:val="24"/>
          <w:szCs w:val="24"/>
        </w:rPr>
        <w:t>. The study drug was interrupted in 50 patients (13%) and the dose was reduced in 20 patients (5%) due to the AE.</w:t>
      </w:r>
    </w:p>
    <w:p w14:paraId="46CAF66B" w14:textId="487F6391" w:rsidR="004733E0" w:rsidRPr="00B942CD" w:rsidRDefault="004733E0" w:rsidP="004C08C9">
      <w:pPr>
        <w:pStyle w:val="ListParagraph"/>
        <w:widowControl/>
        <w:numPr>
          <w:ilvl w:val="0"/>
          <w:numId w:val="28"/>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Neutropenia: Overall, 83/384 (22%) patients reported neutropenia events in the ovarian cancer treatment study set; of these, 14% reported Grade 3 or higher neutropenia and 2% reported SAEs. Review of various studies showed that the overall incidence of neutropenia event was higher in Study PN001 and Sub-study QTc, and the incidence of Grade 3 or higher events was the highest in Sub-study QTc. Generally, neutropenia could be managed clinically, and only a few patients discontinued the study drug due to the TEAE; a total of only 2 patients (&lt; 1%) discontinued the study drug due to this abnormal laboratory result in the ovarian cancer treatment study set. According to the requirements of the protocol, dose interruption and reduction of study drug were required for patients with absolute neutrophil count (ANC) decreased. The study drug was interrupted in 35 patients (9%) and the dose was reduced in 13 patients (3%) due to the AE. </w:t>
      </w:r>
    </w:p>
    <w:p w14:paraId="735C5131" w14:textId="5A1B9494" w:rsidR="004733E0" w:rsidRPr="00B942CD" w:rsidRDefault="004733E0" w:rsidP="00AA119C">
      <w:pPr>
        <w:pStyle w:val="Heading2"/>
        <w:rPr>
          <w:rFonts w:cs="Times New Roman"/>
        </w:rPr>
      </w:pPr>
      <w:bookmarkStart w:id="42" w:name="1.7_PARP_and_mTOR_inhibitors"/>
      <w:bookmarkStart w:id="43" w:name="_bookmark12"/>
      <w:bookmarkStart w:id="44" w:name="_Toc98358597"/>
      <w:bookmarkEnd w:id="42"/>
      <w:bookmarkEnd w:id="43"/>
      <w:r w:rsidRPr="00B942CD">
        <w:rPr>
          <w:rFonts w:cs="Times New Roman"/>
        </w:rPr>
        <w:t>Background of application of anti‑angiogenic agents in ovarian cancer field</w:t>
      </w:r>
      <w:bookmarkEnd w:id="44"/>
    </w:p>
    <w:p w14:paraId="37A3BB57" w14:textId="38DA5B4F"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Protein Tyrosine Kinase (PTK) signaling pathway is related to the proliferation, differentiation and migration of tumor cells. The interference or blocking of PTK pathway can be used to affect the growth of tumor cells </w:t>
      </w:r>
      <w:r w:rsidRPr="00B942CD">
        <w:rPr>
          <w:rFonts w:ascii="Times New Roman" w:eastAsia="SimSun" w:hAnsi="Times New Roman" w:cs="Times New Roman"/>
          <w:snapToGrid w:val="0"/>
          <w:sz w:val="24"/>
          <w:szCs w:val="24"/>
          <w:vertAlign w:val="superscript"/>
        </w:rPr>
        <w:t>14</w:t>
      </w:r>
      <w:r w:rsidRPr="00B942CD">
        <w:rPr>
          <w:rFonts w:ascii="Times New Roman" w:eastAsia="SimSun" w:hAnsi="Times New Roman" w:cs="Times New Roman"/>
          <w:snapToGrid w:val="0"/>
          <w:sz w:val="24"/>
          <w:szCs w:val="24"/>
        </w:rPr>
        <w:t xml:space="preserve">. Of these, vascular endothelial growth factor (VEGF) is the main </w:t>
      </w:r>
      <w:r w:rsidRPr="00B942CD">
        <w:rPr>
          <w:rFonts w:ascii="Times New Roman" w:eastAsia="SimSun" w:hAnsi="Times New Roman" w:cs="Times New Roman"/>
          <w:snapToGrid w:val="0"/>
          <w:sz w:val="24"/>
          <w:szCs w:val="24"/>
        </w:rPr>
        <w:lastRenderedPageBreak/>
        <w:t>related mediator. VEGF promotes the proliferation and migration of vascular endothelial cells from abnormal tumors and increases the permeability of abnormal vessels by binding to VEGF receptor (VEGFR), while anti-angiogenic agents play a role in trimming and normalizing tumor neovascularization. Angiogenesis is an extremely complex process that requires the involvement of the vasculature, circulating endothelial cells, and pro-angiogenic mediators, including VEGF. Among them, VEGF/VEGFR is an important signaling pathway. VEGF activates intracellular signaling pathway by binding to VEGFR-l and VEGFR-2 expressed in tissue epithelial cells, leading to the proliferation of vascular endothelial cells and the neovascularization. The expression of VEGF is associated with the progression and stage of malignant tumors, ascites formation, shortened tumor-free survival, and poor overall prognosis. Immunohistochemical tests show that VEGF is expressed in tumors and metastatic tissues, and can be detected in malignant ascites and serum. The expressions of VEGF and VEGFR detected in tumor patients are independent prognostic factors.</w:t>
      </w:r>
    </w:p>
    <w:p w14:paraId="1F56B9DF" w14:textId="664DBB8A"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Bevacizumab (Avastin) is a recombinant humanized immunoglobulin G1 (IgG1) monoclonal antibody, which can bind VEGF-A, inhibit its binding with VEGF receptor -2 (VEGFR-2), and then inhibit the biological effects of VEGF, including affecting vascular permeability, proliferation, migration and survival of endothelial cells, so as to achieve the effect of inhibiting tumor angiogenesis, growth and metastasis. In studies GOG213 and GOG218, the addition of bevacizumab did not bring the OS benefit, but the prolongation of PFS was statistically different from that in placebo group when compared to the traditional carboplatin plus paclitaxel regimen. Bevacizumab has been recommended by the US NCCN guidelines for the maintenance treatment of ovarian cancer </w:t>
      </w:r>
      <w:r w:rsidRPr="00B942CD">
        <w:rPr>
          <w:rFonts w:ascii="Times New Roman" w:eastAsia="SimSun" w:hAnsi="Times New Roman" w:cs="Times New Roman"/>
          <w:snapToGrid w:val="0"/>
          <w:sz w:val="24"/>
          <w:szCs w:val="24"/>
          <w:vertAlign w:val="superscript"/>
        </w:rPr>
        <w:t>15</w:t>
      </w:r>
      <w:r w:rsidRPr="00B942CD">
        <w:rPr>
          <w:rFonts w:ascii="Times New Roman" w:eastAsia="SimSun" w:hAnsi="Times New Roman" w:cs="Times New Roman"/>
          <w:snapToGrid w:val="0"/>
          <w:sz w:val="24"/>
          <w:szCs w:val="24"/>
        </w:rPr>
        <w:t>.</w:t>
      </w:r>
    </w:p>
    <w:p w14:paraId="5D255B81" w14:textId="4F207985"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proofErr w:type="spellStart"/>
      <w:r w:rsidRPr="00B942CD">
        <w:rPr>
          <w:rFonts w:ascii="Times New Roman" w:eastAsia="SimSun" w:hAnsi="Times New Roman" w:cs="Times New Roman"/>
          <w:snapToGrid w:val="0"/>
          <w:sz w:val="24"/>
          <w:szCs w:val="24"/>
        </w:rPr>
        <w:t>Cediranib</w:t>
      </w:r>
      <w:proofErr w:type="spellEnd"/>
      <w:r w:rsidRPr="00B942CD">
        <w:rPr>
          <w:rFonts w:ascii="Times New Roman" w:eastAsia="SimSun" w:hAnsi="Times New Roman" w:cs="Times New Roman"/>
          <w:snapToGrid w:val="0"/>
          <w:sz w:val="24"/>
          <w:szCs w:val="24"/>
        </w:rPr>
        <w:t xml:space="preserve"> is an oral tyrosine kinase inhibitor (TKI) of VEGF receptors, which mainly inhibits VEGFR-1/2/3 and PDGFR. From 2011 to 2013, a phase II clinical trial was conducted in the United States to compare </w:t>
      </w:r>
      <w:proofErr w:type="spellStart"/>
      <w:r w:rsidRPr="00B942CD">
        <w:rPr>
          <w:rFonts w:ascii="Times New Roman" w:eastAsia="SimSun" w:hAnsi="Times New Roman" w:cs="Times New Roman"/>
          <w:snapToGrid w:val="0"/>
          <w:sz w:val="24"/>
          <w:szCs w:val="24"/>
        </w:rPr>
        <w:t>cediranib</w:t>
      </w:r>
      <w:proofErr w:type="spellEnd"/>
      <w:r w:rsidRPr="00B942CD">
        <w:rPr>
          <w:rFonts w:ascii="Times New Roman" w:eastAsia="SimSun" w:hAnsi="Times New Roman" w:cs="Times New Roman"/>
          <w:snapToGrid w:val="0"/>
          <w:sz w:val="24"/>
          <w:szCs w:val="24"/>
        </w:rPr>
        <w:t xml:space="preserve"> plus olaparib compared with olaparib alone in patients with platinum-sensitive recurrent ovarian cancer </w:t>
      </w:r>
      <w:r w:rsidRPr="00B942CD">
        <w:rPr>
          <w:rFonts w:ascii="Times New Roman" w:eastAsia="SimSun" w:hAnsi="Times New Roman" w:cs="Times New Roman"/>
          <w:snapToGrid w:val="0"/>
          <w:sz w:val="24"/>
          <w:szCs w:val="24"/>
          <w:vertAlign w:val="superscript"/>
        </w:rPr>
        <w:t>16</w:t>
      </w:r>
      <w:r w:rsidRPr="00B942CD">
        <w:rPr>
          <w:rFonts w:ascii="Times New Roman" w:eastAsia="SimSun" w:hAnsi="Times New Roman" w:cs="Times New Roman"/>
          <w:snapToGrid w:val="0"/>
          <w:sz w:val="24"/>
          <w:szCs w:val="24"/>
        </w:rPr>
        <w:t xml:space="preserve">. In this trial, 90 patients were included and randomized to receive </w:t>
      </w:r>
      <w:proofErr w:type="spellStart"/>
      <w:r w:rsidRPr="00B942CD">
        <w:rPr>
          <w:rFonts w:ascii="Times New Roman" w:eastAsia="SimSun" w:hAnsi="Times New Roman" w:cs="Times New Roman"/>
          <w:snapToGrid w:val="0"/>
          <w:sz w:val="24"/>
          <w:szCs w:val="24"/>
        </w:rPr>
        <w:t>cediranib</w:t>
      </w:r>
      <w:proofErr w:type="spellEnd"/>
      <w:r w:rsidRPr="00B942CD">
        <w:rPr>
          <w:rFonts w:ascii="Times New Roman" w:eastAsia="SimSun" w:hAnsi="Times New Roman" w:cs="Times New Roman"/>
          <w:snapToGrid w:val="0"/>
          <w:sz w:val="24"/>
          <w:szCs w:val="24"/>
        </w:rPr>
        <w:t xml:space="preserve"> plus olaparib or olaparib alone according to the ratio of 1:1. After an average follow-up of 46 months, the PFS (16.5 months) of the combination therapy group was significantly different from that (8.2 months) of the monotherapy group</w:t>
      </w:r>
      <w:r w:rsidR="00A001B6" w:rsidRPr="00B942CD">
        <w:rPr>
          <w:rFonts w:ascii="Times New Roman" w:eastAsia="SimSun" w:hAnsi="Times New Roman" w:cs="Times New Roman"/>
          <w:snapToGrid w:val="0"/>
          <w:sz w:val="24"/>
          <w:szCs w:val="24"/>
        </w:rPr>
        <w:t xml:space="preserve"> </w:t>
      </w:r>
      <w:r w:rsidRPr="00B942CD">
        <w:rPr>
          <w:rFonts w:ascii="Times New Roman" w:eastAsia="SimSun" w:hAnsi="Times New Roman" w:cs="Times New Roman"/>
          <w:snapToGrid w:val="0"/>
          <w:sz w:val="24"/>
          <w:szCs w:val="24"/>
        </w:rPr>
        <w:t xml:space="preserve">(HR 0.50 CI 0.3-0.83 P = 0.006). In the retrospective analysis based on BRCA factor, the PFSs of the combination therapy group and the monotherapy group in 47 </w:t>
      </w:r>
      <w:proofErr w:type="spellStart"/>
      <w:r w:rsidRPr="00B942CD">
        <w:rPr>
          <w:rFonts w:ascii="Times New Roman" w:eastAsia="SimSun" w:hAnsi="Times New Roman" w:cs="Times New Roman"/>
          <w:snapToGrid w:val="0"/>
          <w:sz w:val="24"/>
          <w:szCs w:val="24"/>
        </w:rPr>
        <w:t>BRCAm</w:t>
      </w:r>
      <w:proofErr w:type="spellEnd"/>
      <w:r w:rsidRPr="00B942CD">
        <w:rPr>
          <w:rFonts w:ascii="Times New Roman" w:eastAsia="SimSun" w:hAnsi="Times New Roman" w:cs="Times New Roman"/>
          <w:snapToGrid w:val="0"/>
          <w:sz w:val="24"/>
          <w:szCs w:val="24"/>
        </w:rPr>
        <w:t xml:space="preserve"> patients were 16.4 months and 16.5 months, respectively, and the HR was 0.76 (CI: 0.38-1.49, p=0.42), without significant difference; in 43 </w:t>
      </w:r>
      <w:proofErr w:type="spellStart"/>
      <w:r w:rsidRPr="00B942CD">
        <w:rPr>
          <w:rFonts w:ascii="Times New Roman" w:eastAsia="SimSun" w:hAnsi="Times New Roman" w:cs="Times New Roman"/>
          <w:snapToGrid w:val="0"/>
          <w:sz w:val="24"/>
          <w:szCs w:val="24"/>
        </w:rPr>
        <w:t>BRCAwt</w:t>
      </w:r>
      <w:proofErr w:type="spellEnd"/>
      <w:r w:rsidRPr="00B942CD">
        <w:rPr>
          <w:rFonts w:ascii="Times New Roman" w:eastAsia="SimSun" w:hAnsi="Times New Roman" w:cs="Times New Roman"/>
          <w:snapToGrid w:val="0"/>
          <w:sz w:val="24"/>
          <w:szCs w:val="24"/>
        </w:rPr>
        <w:t xml:space="preserve"> or unknown cases, the PFS of patients in the combination therapy group was significantly better than that in the monotherapy group (23.7 months vs 5.7 months HR 0.31 CI 0.15-0.66, P = 0.0013). In BRCA positive group (n=47), the ORR was 63% for olaparib alone (maintenance) versus 84% in the combination (P = 0.19), while in </w:t>
      </w:r>
      <w:proofErr w:type="spellStart"/>
      <w:r w:rsidRPr="00B942CD">
        <w:rPr>
          <w:rFonts w:ascii="Times New Roman" w:eastAsia="SimSun" w:hAnsi="Times New Roman" w:cs="Times New Roman"/>
          <w:snapToGrid w:val="0"/>
          <w:sz w:val="24"/>
          <w:szCs w:val="24"/>
        </w:rPr>
        <w:t>BRCAwt</w:t>
      </w:r>
      <w:proofErr w:type="spellEnd"/>
      <w:r w:rsidRPr="00B942CD">
        <w:rPr>
          <w:rFonts w:ascii="Times New Roman" w:eastAsia="SimSun" w:hAnsi="Times New Roman" w:cs="Times New Roman"/>
          <w:snapToGrid w:val="0"/>
          <w:sz w:val="24"/>
          <w:szCs w:val="24"/>
        </w:rPr>
        <w:t xml:space="preserve"> group, this figure was 32% versus 76% (P = 0.006), or 47.8%: 79.6% (P = 0.002) in the overall population.</w:t>
      </w:r>
    </w:p>
    <w:p w14:paraId="7D34463E" w14:textId="5EB0398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lastRenderedPageBreak/>
        <w:t xml:space="preserve">According to the existing data, some anti-angiogenic agents for the maintenance treatment of ovarian cancer can benefit patients to different extents. Bevacizumab has been recommended by the NCCN guidelines for the maintenance treatment of ovarian cancer. Other new and not yet marketed TKI inhibitors such as </w:t>
      </w:r>
      <w:proofErr w:type="spellStart"/>
      <w:r w:rsidRPr="00B942CD">
        <w:rPr>
          <w:rFonts w:ascii="Times New Roman" w:eastAsia="SimSun" w:hAnsi="Times New Roman" w:cs="Times New Roman"/>
          <w:snapToGrid w:val="0"/>
          <w:sz w:val="24"/>
          <w:szCs w:val="24"/>
        </w:rPr>
        <w:t>Cediranib</w:t>
      </w:r>
      <w:proofErr w:type="spellEnd"/>
      <w:r w:rsidRPr="00B942CD">
        <w:rPr>
          <w:rFonts w:ascii="Times New Roman" w:eastAsia="SimSun" w:hAnsi="Times New Roman" w:cs="Times New Roman"/>
          <w:snapToGrid w:val="0"/>
          <w:sz w:val="24"/>
          <w:szCs w:val="24"/>
        </w:rPr>
        <w:t xml:space="preserve"> have also shown good efficacy when co-administered with PARP inhibitors in trials. Chemotherapeutic agents are inconvenient to be administrated, with high toxicity, which are difficulties in the treatment of patients with recurrent ovarian cancer. In the studies based on platinum-resistant recurrent ovarian cancer, a treatment mode </w:t>
      </w:r>
      <w:r w:rsidR="00255560" w:rsidRPr="00B942CD">
        <w:rPr>
          <w:rFonts w:ascii="Times New Roman" w:eastAsia="SimSun" w:hAnsi="Times New Roman" w:cs="Times New Roman"/>
          <w:snapToGrid w:val="0"/>
          <w:sz w:val="24"/>
          <w:szCs w:val="24"/>
        </w:rPr>
        <w:t xml:space="preserve">that has side effects significantly reduced with </w:t>
      </w:r>
      <w:r w:rsidRPr="00B942CD">
        <w:rPr>
          <w:rFonts w:ascii="Times New Roman" w:eastAsia="SimSun" w:hAnsi="Times New Roman" w:cs="Times New Roman"/>
          <w:snapToGrid w:val="0"/>
          <w:sz w:val="24"/>
          <w:szCs w:val="24"/>
        </w:rPr>
        <w:t>equivalent efficacy</w:t>
      </w:r>
      <w:r w:rsidR="00255560" w:rsidRPr="00B942CD">
        <w:rPr>
          <w:rFonts w:ascii="Times New Roman" w:eastAsia="SimSun" w:hAnsi="Times New Roman" w:cs="Times New Roman"/>
          <w:snapToGrid w:val="0"/>
          <w:sz w:val="24"/>
          <w:szCs w:val="24"/>
        </w:rPr>
        <w:t xml:space="preserve"> </w:t>
      </w:r>
      <w:r w:rsidRPr="00B942CD">
        <w:rPr>
          <w:rFonts w:ascii="Times New Roman" w:eastAsia="SimSun" w:hAnsi="Times New Roman" w:cs="Times New Roman"/>
          <w:snapToGrid w:val="0"/>
          <w:sz w:val="24"/>
          <w:szCs w:val="24"/>
        </w:rPr>
        <w:t>is urgently needed. The early clinical trials of TKI inhibitors and PARP inhibitors have suggested that this combination may bring similar efficacy, smaller toxic and side effects, and give patients a longer chemotherapy-free interval, which is worthy of further exploration.</w:t>
      </w:r>
    </w:p>
    <w:p w14:paraId="5977A551" w14:textId="77777777" w:rsidR="004733E0" w:rsidRPr="00B942CD" w:rsidRDefault="004733E0" w:rsidP="00AA119C">
      <w:pPr>
        <w:pStyle w:val="Heading2"/>
        <w:rPr>
          <w:rFonts w:cs="Times New Roman"/>
        </w:rPr>
      </w:pPr>
      <w:bookmarkStart w:id="45" w:name="_Toc98358598"/>
      <w:r w:rsidRPr="00B942CD">
        <w:rPr>
          <w:rFonts w:cs="Times New Roman"/>
        </w:rPr>
        <w:t>Background of Anlotinib</w:t>
      </w:r>
      <w:bookmarkEnd w:id="45"/>
    </w:p>
    <w:p w14:paraId="5E0E0ABC" w14:textId="4EADACA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Anlotinib is a multi-targeted receptor tyrosine kinase inhibitor, which has significant inhibitory activity against angiogenesis related kinases, such as VEGFR1/2/3, FGFR1/2/3, and other tumor-related (e.g. cell proliferation) kinases such as PDGFRα/β, c-Kit, Ret, etc. It has broad spectrum of inhibitory action on tumor angiogenesis (such as Met, FGFR1/2/3). It can also target some kinases under study, such as Aurora-B, c-FMS, DDR1, and also has obvious inhibitory activity. It also has significant inhibitory activity against multiple kinase mutants, such as PDGFRα, </w:t>
      </w:r>
      <w:proofErr w:type="spellStart"/>
      <w:r w:rsidRPr="00B942CD">
        <w:rPr>
          <w:rFonts w:ascii="Times New Roman" w:eastAsia="SimSun" w:hAnsi="Times New Roman" w:cs="Times New Roman"/>
          <w:snapToGrid w:val="0"/>
          <w:sz w:val="24"/>
          <w:szCs w:val="24"/>
        </w:rPr>
        <w:t>cKit</w:t>
      </w:r>
      <w:proofErr w:type="spellEnd"/>
      <w:r w:rsidRPr="00B942CD">
        <w:rPr>
          <w:rFonts w:ascii="Times New Roman" w:eastAsia="SimSun" w:hAnsi="Times New Roman" w:cs="Times New Roman"/>
          <w:snapToGrid w:val="0"/>
          <w:sz w:val="24"/>
          <w:szCs w:val="24"/>
        </w:rPr>
        <w:t>, Met, EGFR. The inhibitory activity against mutants is even more potent than that against wild-type counterparts.</w:t>
      </w:r>
    </w:p>
    <w:p w14:paraId="5BBEC73B" w14:textId="24964109"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Anlotinib hydrochloride capsule is a multi-target receptor tyrosine kinase inhibitor developed by Chia Tai </w:t>
      </w:r>
      <w:proofErr w:type="spellStart"/>
      <w:r w:rsidRPr="00B942CD">
        <w:rPr>
          <w:rFonts w:ascii="Times New Roman" w:eastAsia="SimSun" w:hAnsi="Times New Roman" w:cs="Times New Roman"/>
          <w:snapToGrid w:val="0"/>
          <w:color w:val="000000" w:themeColor="text1"/>
          <w:sz w:val="24"/>
          <w:szCs w:val="24"/>
        </w:rPr>
        <w:t>Tianqing</w:t>
      </w:r>
      <w:proofErr w:type="spellEnd"/>
      <w:r w:rsidRPr="00B942CD">
        <w:rPr>
          <w:rFonts w:ascii="Times New Roman" w:eastAsia="SimSun" w:hAnsi="Times New Roman" w:cs="Times New Roman"/>
          <w:snapToGrid w:val="0"/>
          <w:color w:val="000000" w:themeColor="text1"/>
          <w:sz w:val="24"/>
          <w:szCs w:val="24"/>
        </w:rPr>
        <w:t xml:space="preserve"> Pharmaceutical Group Co., Ltd., with independent intellectual property rights. In March 2011, it obtained the approval for clinical study from China Food and Drug Administration (SFDA: 2011L00661). Since May 2011, the phase I tolerability and pharmacokinetics study and the preliminary efficacy study of colorectal cancer have been completed in the Cancer Hospital, Chinese Academy of Medical Sciences. Meanwhile, multi-center phase II clinical studies of medullary thyroid cancer, soft tissue sarcoma, non-small cell lung cancer, and renal clear cell carcinoma, etc. have been conducted in China.</w:t>
      </w:r>
    </w:p>
    <w:p w14:paraId="40EE02B7" w14:textId="68B0D850"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rPr>
        <w:t xml:space="preserve">Due to the effective prolongation of OS and PFS by anlotinib for advanced NSCLC patients who have failed first-line and second-line treatment in phase III trial (ALTER0303) </w:t>
      </w:r>
      <w:r w:rsidRPr="00B942CD">
        <w:rPr>
          <w:rFonts w:ascii="Times New Roman" w:eastAsia="SimSun" w:hAnsi="Times New Roman" w:cs="Times New Roman"/>
          <w:snapToGrid w:val="0"/>
          <w:color w:val="000000" w:themeColor="text1"/>
          <w:sz w:val="24"/>
          <w:vertAlign w:val="superscript"/>
        </w:rPr>
        <w:t>17</w:t>
      </w:r>
      <w:r w:rsidRPr="00B942CD">
        <w:rPr>
          <w:rFonts w:ascii="Times New Roman" w:eastAsia="SimSun" w:hAnsi="Times New Roman" w:cs="Times New Roman"/>
          <w:snapToGrid w:val="0"/>
          <w:color w:val="000000" w:themeColor="text1"/>
          <w:sz w:val="24"/>
        </w:rPr>
        <w:t xml:space="preserve">, anlotinib was formally approved in May 2018 for the treatment of advanced NSCLC patients who have failed first- and second-line treatment </w:t>
      </w:r>
      <w:r w:rsidRPr="00B942CD">
        <w:rPr>
          <w:rFonts w:ascii="Times New Roman" w:eastAsia="SimSun" w:hAnsi="Times New Roman" w:cs="Times New Roman"/>
          <w:snapToGrid w:val="0"/>
          <w:color w:val="000000" w:themeColor="text1"/>
          <w:sz w:val="24"/>
          <w:vertAlign w:val="superscript"/>
        </w:rPr>
        <w:t>18</w:t>
      </w:r>
      <w:r w:rsidRPr="00B942CD">
        <w:rPr>
          <w:rFonts w:ascii="Times New Roman" w:eastAsia="SimSun" w:hAnsi="Times New Roman" w:cs="Times New Roman"/>
          <w:snapToGrid w:val="0"/>
          <w:color w:val="000000" w:themeColor="text1"/>
          <w:sz w:val="24"/>
        </w:rPr>
        <w:t>.</w:t>
      </w:r>
    </w:p>
    <w:p w14:paraId="05EB0FFC" w14:textId="798C442C"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ALTER0303 study enrolled patients with locally advanced/metastatic non-small cell lung cancer who have progressed or are intolerant after receiving at least 2 kinds of systemic chemotherapy. EGFR-mutant or ALK-positive patients should have progressed or are intolerant after receiving corresponding targeted drug treatment. The ECOG score was 0 - 1 point; patients with bleeding tendencies, poorly controlled hypertension, abnormal coagulation function, and a 24-h urinary </w:t>
      </w:r>
      <w:r w:rsidRPr="00B942CD">
        <w:rPr>
          <w:rFonts w:ascii="Times New Roman" w:eastAsia="SimSun" w:hAnsi="Times New Roman" w:cs="Times New Roman"/>
          <w:snapToGrid w:val="0"/>
          <w:color w:val="000000" w:themeColor="text1"/>
          <w:sz w:val="24"/>
          <w:szCs w:val="24"/>
        </w:rPr>
        <w:lastRenderedPageBreak/>
        <w:t xml:space="preserve">protein quantitation of &gt; 1.0 g were excluded from the trial. Two hundred and ninety-four patients were orally administered with anlotinib at </w:t>
      </w:r>
      <w:r w:rsidR="00255560" w:rsidRPr="00B942CD">
        <w:rPr>
          <w:rFonts w:ascii="Times New Roman" w:eastAsia="SimSun" w:hAnsi="Times New Roman" w:cs="Times New Roman"/>
          <w:snapToGrid w:val="0"/>
          <w:color w:val="000000" w:themeColor="text1"/>
          <w:sz w:val="24"/>
          <w:szCs w:val="24"/>
        </w:rPr>
        <w:t>a</w:t>
      </w:r>
      <w:r w:rsidRPr="00B942CD">
        <w:rPr>
          <w:rFonts w:ascii="Times New Roman" w:eastAsia="SimSun" w:hAnsi="Times New Roman" w:cs="Times New Roman"/>
          <w:snapToGrid w:val="0"/>
          <w:color w:val="000000" w:themeColor="text1"/>
          <w:sz w:val="24"/>
          <w:szCs w:val="24"/>
        </w:rPr>
        <w:t xml:space="preserve"> starting dose of 12 mg once daily (on for 2 weeks and off for 1 week), with a cycle of 3 weeks (21 days). 57.14% (168/294) subjects were treated for 6 cycles or more. Dose reduction (from 12 mg to 10 mg) occurred in 25 patients (8.50%) of the anlotinib group, and the second reduction (from 10 mg to 8 mg) occurred in 3 patients (1.02%). The main AEs leading to dose reduction were hand and foot skin reaction, hypertension, diarrhea, anorexia, stomatitis, function liver abnormal, proteinuria, lipids blood increased, and asthenia.</w:t>
      </w:r>
    </w:p>
    <w:p w14:paraId="25D0E06F" w14:textId="340DDC3D"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In the anlotinib group and the placebo group, the incidences of all grade AEs were 97.28% and 88.11%, respectively, and those of grade 3 and higher AEs were 47.28% and 18.18%, respectively. Table 6 presents adverse reactions with the incidence of ≥ 10% and Grade 3 or higher adverse reactions with the incidence of ≥ 2% (classified per NCI-CTC AE4.0) in the anlotinib and placebo groups in the ALTER0303 study.</w:t>
      </w:r>
    </w:p>
    <w:p w14:paraId="593ECA67" w14:textId="12C6DEC3" w:rsidR="004733E0" w:rsidRPr="00B942CD" w:rsidRDefault="004733E0" w:rsidP="00AA119C">
      <w:pPr>
        <w:widowControl/>
        <w:autoSpaceDE/>
        <w:autoSpaceDN/>
        <w:adjustRightInd w:val="0"/>
        <w:snapToGrid w:val="0"/>
        <w:spacing w:beforeLines="50" w:before="120" w:line="288" w:lineRule="auto"/>
        <w:jc w:val="center"/>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b/>
          <w:bCs/>
          <w:snapToGrid w:val="0"/>
          <w:color w:val="000000" w:themeColor="text1"/>
          <w:sz w:val="24"/>
        </w:rPr>
        <w:t>Table 6 Summary of AEs of ALTER0303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354"/>
        <w:gridCol w:w="1354"/>
        <w:gridCol w:w="1354"/>
        <w:gridCol w:w="1352"/>
      </w:tblGrid>
      <w:tr w:rsidR="008C7679" w:rsidRPr="00B942CD" w14:paraId="2E939089" w14:textId="77777777" w:rsidTr="008C7679">
        <w:trPr>
          <w:tblHeader/>
        </w:trPr>
        <w:tc>
          <w:tcPr>
            <w:tcW w:w="2105" w:type="pct"/>
            <w:vMerge w:val="restart"/>
            <w:vAlign w:val="center"/>
          </w:tcPr>
          <w:p w14:paraId="58E7C794" w14:textId="725CA711"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AEs</w:t>
            </w:r>
          </w:p>
        </w:tc>
        <w:tc>
          <w:tcPr>
            <w:tcW w:w="1448" w:type="pct"/>
            <w:gridSpan w:val="2"/>
            <w:vAlign w:val="center"/>
          </w:tcPr>
          <w:p w14:paraId="4EE063C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Anlotinib (N = 294) n %</w:t>
            </w:r>
          </w:p>
        </w:tc>
        <w:tc>
          <w:tcPr>
            <w:tcW w:w="1448" w:type="pct"/>
            <w:gridSpan w:val="2"/>
            <w:vAlign w:val="center"/>
          </w:tcPr>
          <w:p w14:paraId="1160185E" w14:textId="16839B48"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Placebo (N=143) n%</w:t>
            </w:r>
          </w:p>
        </w:tc>
      </w:tr>
      <w:tr w:rsidR="006C2636" w:rsidRPr="00B942CD" w14:paraId="16CE0F9C" w14:textId="77777777" w:rsidTr="008C7679">
        <w:trPr>
          <w:tblHeader/>
        </w:trPr>
        <w:tc>
          <w:tcPr>
            <w:tcW w:w="2105" w:type="pct"/>
            <w:vMerge/>
            <w:vAlign w:val="center"/>
          </w:tcPr>
          <w:p w14:paraId="6E1CAF0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lang w:eastAsia="zh-CN"/>
              </w:rPr>
            </w:pPr>
          </w:p>
        </w:tc>
        <w:tc>
          <w:tcPr>
            <w:tcW w:w="724" w:type="pct"/>
            <w:vAlign w:val="center"/>
          </w:tcPr>
          <w:p w14:paraId="5D74C3B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All grades</w:t>
            </w:r>
          </w:p>
        </w:tc>
        <w:tc>
          <w:tcPr>
            <w:tcW w:w="724" w:type="pct"/>
            <w:vAlign w:val="center"/>
          </w:tcPr>
          <w:p w14:paraId="63861C1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≥3</w:t>
            </w:r>
          </w:p>
        </w:tc>
        <w:tc>
          <w:tcPr>
            <w:tcW w:w="724" w:type="pct"/>
            <w:vAlign w:val="center"/>
          </w:tcPr>
          <w:p w14:paraId="2AEFECC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All grades</w:t>
            </w:r>
          </w:p>
        </w:tc>
        <w:tc>
          <w:tcPr>
            <w:tcW w:w="724" w:type="pct"/>
            <w:vAlign w:val="center"/>
          </w:tcPr>
          <w:p w14:paraId="515A788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≥3</w:t>
            </w:r>
          </w:p>
        </w:tc>
      </w:tr>
      <w:tr w:rsidR="006C2636" w:rsidRPr="00B942CD" w14:paraId="1758A685" w14:textId="77777777" w:rsidTr="008C7679">
        <w:tc>
          <w:tcPr>
            <w:tcW w:w="2105" w:type="pct"/>
            <w:vAlign w:val="center"/>
          </w:tcPr>
          <w:p w14:paraId="7A399B3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Asthenia</w:t>
            </w:r>
          </w:p>
        </w:tc>
        <w:tc>
          <w:tcPr>
            <w:tcW w:w="724" w:type="pct"/>
            <w:vAlign w:val="center"/>
          </w:tcPr>
          <w:p w14:paraId="0F04EBD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150(51.02)</w:t>
            </w:r>
          </w:p>
        </w:tc>
        <w:tc>
          <w:tcPr>
            <w:tcW w:w="724" w:type="pct"/>
            <w:vAlign w:val="center"/>
          </w:tcPr>
          <w:p w14:paraId="4AD7928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4B1E456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38(26.57)</w:t>
            </w:r>
          </w:p>
        </w:tc>
        <w:tc>
          <w:tcPr>
            <w:tcW w:w="724" w:type="pct"/>
            <w:vAlign w:val="center"/>
          </w:tcPr>
          <w:p w14:paraId="635A396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60BEF1B6" w14:textId="77777777" w:rsidTr="008C7679">
        <w:tc>
          <w:tcPr>
            <w:tcW w:w="2105" w:type="pct"/>
            <w:vAlign w:val="center"/>
          </w:tcPr>
          <w:p w14:paraId="3EF8F31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Decreased appetite</w:t>
            </w:r>
          </w:p>
        </w:tc>
        <w:tc>
          <w:tcPr>
            <w:tcW w:w="724" w:type="pct"/>
            <w:vAlign w:val="center"/>
          </w:tcPr>
          <w:p w14:paraId="6F928AB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133(45.24)</w:t>
            </w:r>
          </w:p>
        </w:tc>
        <w:tc>
          <w:tcPr>
            <w:tcW w:w="724" w:type="pct"/>
            <w:vAlign w:val="center"/>
          </w:tcPr>
          <w:p w14:paraId="63E0E57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3(1.02)</w:t>
            </w:r>
          </w:p>
        </w:tc>
        <w:tc>
          <w:tcPr>
            <w:tcW w:w="724" w:type="pct"/>
            <w:vAlign w:val="center"/>
          </w:tcPr>
          <w:p w14:paraId="45CF4B9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43(30.07)</w:t>
            </w:r>
          </w:p>
        </w:tc>
        <w:tc>
          <w:tcPr>
            <w:tcW w:w="724" w:type="pct"/>
            <w:vAlign w:val="center"/>
          </w:tcPr>
          <w:p w14:paraId="3C92A48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r>
      <w:tr w:rsidR="006C2636" w:rsidRPr="00B942CD" w14:paraId="2FDF9C52" w14:textId="77777777" w:rsidTr="008C7679">
        <w:tc>
          <w:tcPr>
            <w:tcW w:w="2105" w:type="pct"/>
            <w:vAlign w:val="center"/>
          </w:tcPr>
          <w:p w14:paraId="184BBA1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Weight decreased</w:t>
            </w:r>
          </w:p>
        </w:tc>
        <w:tc>
          <w:tcPr>
            <w:tcW w:w="724" w:type="pct"/>
            <w:vAlign w:val="center"/>
          </w:tcPr>
          <w:p w14:paraId="2C2E0E0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66(22.45)</w:t>
            </w:r>
          </w:p>
        </w:tc>
        <w:tc>
          <w:tcPr>
            <w:tcW w:w="724" w:type="pct"/>
            <w:vAlign w:val="center"/>
          </w:tcPr>
          <w:p w14:paraId="7DDD9D1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39E0D7D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12(8.39)</w:t>
            </w:r>
          </w:p>
        </w:tc>
        <w:tc>
          <w:tcPr>
            <w:tcW w:w="724" w:type="pct"/>
            <w:vAlign w:val="center"/>
          </w:tcPr>
          <w:p w14:paraId="01C64F5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7F33FB7C" w14:textId="77777777" w:rsidTr="008C7679">
        <w:tc>
          <w:tcPr>
            <w:tcW w:w="2105" w:type="pct"/>
            <w:vAlign w:val="center"/>
          </w:tcPr>
          <w:p w14:paraId="307CC11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Pain</w:t>
            </w:r>
          </w:p>
        </w:tc>
        <w:tc>
          <w:tcPr>
            <w:tcW w:w="724" w:type="pct"/>
            <w:vAlign w:val="center"/>
          </w:tcPr>
          <w:p w14:paraId="3D08954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42(14.29)</w:t>
            </w:r>
          </w:p>
        </w:tc>
        <w:tc>
          <w:tcPr>
            <w:tcW w:w="724" w:type="pct"/>
            <w:vAlign w:val="center"/>
          </w:tcPr>
          <w:p w14:paraId="0D52A8C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372246D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15(10.49)</w:t>
            </w:r>
          </w:p>
        </w:tc>
        <w:tc>
          <w:tcPr>
            <w:tcW w:w="724" w:type="pct"/>
            <w:vAlign w:val="center"/>
          </w:tcPr>
          <w:p w14:paraId="390490C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r>
      <w:tr w:rsidR="006C2636" w:rsidRPr="00B942CD" w14:paraId="2BD5E491" w14:textId="77777777" w:rsidTr="008C7679">
        <w:tc>
          <w:tcPr>
            <w:tcW w:w="2105" w:type="pct"/>
            <w:vAlign w:val="center"/>
          </w:tcPr>
          <w:p w14:paraId="0843BD4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Diarrhea</w:t>
            </w:r>
          </w:p>
        </w:tc>
        <w:tc>
          <w:tcPr>
            <w:tcW w:w="724" w:type="pct"/>
            <w:vAlign w:val="center"/>
          </w:tcPr>
          <w:p w14:paraId="29C1491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103(35.03)</w:t>
            </w:r>
          </w:p>
        </w:tc>
        <w:tc>
          <w:tcPr>
            <w:tcW w:w="724" w:type="pct"/>
            <w:vAlign w:val="center"/>
          </w:tcPr>
          <w:p w14:paraId="771E2B0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3(1.02)</w:t>
            </w:r>
          </w:p>
        </w:tc>
        <w:tc>
          <w:tcPr>
            <w:tcW w:w="724" w:type="pct"/>
            <w:vAlign w:val="center"/>
          </w:tcPr>
          <w:p w14:paraId="5B65C1C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21(14.69)</w:t>
            </w:r>
          </w:p>
        </w:tc>
        <w:tc>
          <w:tcPr>
            <w:tcW w:w="724" w:type="pct"/>
            <w:vAlign w:val="center"/>
          </w:tcPr>
          <w:p w14:paraId="69C7AA1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4E0B8508" w14:textId="77777777" w:rsidTr="008C7679">
        <w:tc>
          <w:tcPr>
            <w:tcW w:w="2105" w:type="pct"/>
            <w:vAlign w:val="center"/>
          </w:tcPr>
          <w:p w14:paraId="47AE53D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Oropharyngeal pain</w:t>
            </w:r>
          </w:p>
        </w:tc>
        <w:tc>
          <w:tcPr>
            <w:tcW w:w="724" w:type="pct"/>
            <w:vAlign w:val="center"/>
          </w:tcPr>
          <w:p w14:paraId="05D3055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83(28.23)</w:t>
            </w:r>
          </w:p>
        </w:tc>
        <w:tc>
          <w:tcPr>
            <w:tcW w:w="724" w:type="pct"/>
            <w:vAlign w:val="center"/>
          </w:tcPr>
          <w:p w14:paraId="0B7FE6B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44C1EE3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10(6.99)</w:t>
            </w:r>
          </w:p>
        </w:tc>
        <w:tc>
          <w:tcPr>
            <w:tcW w:w="724" w:type="pct"/>
            <w:vAlign w:val="center"/>
          </w:tcPr>
          <w:p w14:paraId="5EDC8C9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0BD0CEDE" w14:textId="77777777" w:rsidTr="008C7679">
        <w:tc>
          <w:tcPr>
            <w:tcW w:w="2105" w:type="pct"/>
            <w:vAlign w:val="center"/>
          </w:tcPr>
          <w:p w14:paraId="2AFB528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Stomatitis</w:t>
            </w:r>
          </w:p>
        </w:tc>
        <w:tc>
          <w:tcPr>
            <w:tcW w:w="724" w:type="pct"/>
            <w:vAlign w:val="center"/>
          </w:tcPr>
          <w:p w14:paraId="06990D7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68(23.13)</w:t>
            </w:r>
          </w:p>
        </w:tc>
        <w:tc>
          <w:tcPr>
            <w:tcW w:w="724" w:type="pct"/>
            <w:vAlign w:val="center"/>
          </w:tcPr>
          <w:p w14:paraId="38A61F3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3(1.02)</w:t>
            </w:r>
          </w:p>
        </w:tc>
        <w:tc>
          <w:tcPr>
            <w:tcW w:w="724" w:type="pct"/>
            <w:vAlign w:val="center"/>
          </w:tcPr>
          <w:p w14:paraId="580949E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4(2.80)</w:t>
            </w:r>
          </w:p>
        </w:tc>
        <w:tc>
          <w:tcPr>
            <w:tcW w:w="724" w:type="pct"/>
            <w:vAlign w:val="center"/>
          </w:tcPr>
          <w:p w14:paraId="77657F4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752CC120" w14:textId="77777777" w:rsidTr="008C7679">
        <w:tc>
          <w:tcPr>
            <w:tcW w:w="2105" w:type="pct"/>
            <w:vAlign w:val="center"/>
          </w:tcPr>
          <w:p w14:paraId="649CC8B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Vomiting</w:t>
            </w:r>
          </w:p>
        </w:tc>
        <w:tc>
          <w:tcPr>
            <w:tcW w:w="724" w:type="pct"/>
            <w:vAlign w:val="center"/>
          </w:tcPr>
          <w:p w14:paraId="6DCD7C9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63(21.43)</w:t>
            </w:r>
          </w:p>
        </w:tc>
        <w:tc>
          <w:tcPr>
            <w:tcW w:w="724" w:type="pct"/>
            <w:vAlign w:val="center"/>
          </w:tcPr>
          <w:p w14:paraId="7F323BD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452FB3B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19(13.29)</w:t>
            </w:r>
          </w:p>
        </w:tc>
        <w:tc>
          <w:tcPr>
            <w:tcW w:w="724" w:type="pct"/>
            <w:vAlign w:val="center"/>
          </w:tcPr>
          <w:p w14:paraId="520DC43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3E8B94B9" w14:textId="77777777" w:rsidTr="008C7679">
        <w:tc>
          <w:tcPr>
            <w:tcW w:w="2105" w:type="pct"/>
            <w:vAlign w:val="center"/>
          </w:tcPr>
          <w:p w14:paraId="50F9D85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Abdominal pain</w:t>
            </w:r>
          </w:p>
        </w:tc>
        <w:tc>
          <w:tcPr>
            <w:tcW w:w="724" w:type="pct"/>
            <w:vAlign w:val="center"/>
          </w:tcPr>
          <w:p w14:paraId="1BED7B3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53(18.03)</w:t>
            </w:r>
          </w:p>
        </w:tc>
        <w:tc>
          <w:tcPr>
            <w:tcW w:w="724" w:type="pct"/>
            <w:vAlign w:val="center"/>
          </w:tcPr>
          <w:p w14:paraId="009CBF4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1861E50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13(9.09)</w:t>
            </w:r>
          </w:p>
        </w:tc>
        <w:tc>
          <w:tcPr>
            <w:tcW w:w="724" w:type="pct"/>
            <w:vAlign w:val="center"/>
          </w:tcPr>
          <w:p w14:paraId="7E9BEAC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0F110958" w14:textId="77777777" w:rsidTr="008C7679">
        <w:tc>
          <w:tcPr>
            <w:tcW w:w="2105" w:type="pct"/>
            <w:vAlign w:val="center"/>
          </w:tcPr>
          <w:p w14:paraId="0BD5622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Nausea</w:t>
            </w:r>
          </w:p>
        </w:tc>
        <w:tc>
          <w:tcPr>
            <w:tcW w:w="724" w:type="pct"/>
            <w:vAlign w:val="center"/>
          </w:tcPr>
          <w:p w14:paraId="1422A5E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52(17.69)</w:t>
            </w:r>
          </w:p>
        </w:tc>
        <w:tc>
          <w:tcPr>
            <w:tcW w:w="724" w:type="pct"/>
            <w:vAlign w:val="center"/>
          </w:tcPr>
          <w:p w14:paraId="1042F91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745BACD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19(13.29)</w:t>
            </w:r>
          </w:p>
        </w:tc>
        <w:tc>
          <w:tcPr>
            <w:tcW w:w="724" w:type="pct"/>
            <w:vAlign w:val="center"/>
          </w:tcPr>
          <w:p w14:paraId="7C02B61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6586FBFE" w14:textId="77777777" w:rsidTr="008C7679">
        <w:tc>
          <w:tcPr>
            <w:tcW w:w="2105" w:type="pct"/>
            <w:vAlign w:val="center"/>
          </w:tcPr>
          <w:p w14:paraId="1BA03F3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Gingival pain</w:t>
            </w:r>
          </w:p>
        </w:tc>
        <w:tc>
          <w:tcPr>
            <w:tcW w:w="724" w:type="pct"/>
            <w:vAlign w:val="center"/>
          </w:tcPr>
          <w:p w14:paraId="6DA647C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40(13.61)</w:t>
            </w:r>
          </w:p>
        </w:tc>
        <w:tc>
          <w:tcPr>
            <w:tcW w:w="724" w:type="pct"/>
            <w:vAlign w:val="center"/>
          </w:tcPr>
          <w:p w14:paraId="1F1C372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187C538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c>
          <w:tcPr>
            <w:tcW w:w="724" w:type="pct"/>
            <w:vAlign w:val="center"/>
          </w:tcPr>
          <w:p w14:paraId="749DD1D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113DBAFC" w14:textId="77777777" w:rsidTr="008C7679">
        <w:tc>
          <w:tcPr>
            <w:tcW w:w="2105" w:type="pct"/>
            <w:vAlign w:val="center"/>
          </w:tcPr>
          <w:p w14:paraId="067E1A9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Cough</w:t>
            </w:r>
          </w:p>
        </w:tc>
        <w:tc>
          <w:tcPr>
            <w:tcW w:w="724" w:type="pct"/>
            <w:vAlign w:val="center"/>
          </w:tcPr>
          <w:p w14:paraId="2ECFBC9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110(37.41)</w:t>
            </w:r>
          </w:p>
        </w:tc>
        <w:tc>
          <w:tcPr>
            <w:tcW w:w="724" w:type="pct"/>
            <w:vAlign w:val="center"/>
          </w:tcPr>
          <w:p w14:paraId="7283F37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4B1FA53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33(23.08)</w:t>
            </w:r>
          </w:p>
        </w:tc>
        <w:tc>
          <w:tcPr>
            <w:tcW w:w="724" w:type="pct"/>
            <w:vAlign w:val="center"/>
          </w:tcPr>
          <w:p w14:paraId="18124DC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r w:rsidR="006C2636" w:rsidRPr="00B942CD" w14:paraId="2F7925E4" w14:textId="77777777" w:rsidTr="008C7679">
        <w:tc>
          <w:tcPr>
            <w:tcW w:w="2105" w:type="pct"/>
            <w:vAlign w:val="center"/>
          </w:tcPr>
          <w:p w14:paraId="083B0F2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Difficulty breathing</w:t>
            </w:r>
          </w:p>
        </w:tc>
        <w:tc>
          <w:tcPr>
            <w:tcW w:w="724" w:type="pct"/>
            <w:vAlign w:val="center"/>
          </w:tcPr>
          <w:p w14:paraId="5CC1B23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90(30.61)</w:t>
            </w:r>
          </w:p>
        </w:tc>
        <w:tc>
          <w:tcPr>
            <w:tcW w:w="724" w:type="pct"/>
            <w:vAlign w:val="center"/>
          </w:tcPr>
          <w:p w14:paraId="0DDFFB9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6(2.04)</w:t>
            </w:r>
          </w:p>
        </w:tc>
        <w:tc>
          <w:tcPr>
            <w:tcW w:w="724" w:type="pct"/>
            <w:vAlign w:val="center"/>
          </w:tcPr>
          <w:p w14:paraId="64C4C95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32(22.38)</w:t>
            </w:r>
          </w:p>
        </w:tc>
        <w:tc>
          <w:tcPr>
            <w:tcW w:w="724" w:type="pct"/>
            <w:vAlign w:val="center"/>
          </w:tcPr>
          <w:p w14:paraId="6C6D12D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7(4.90)</w:t>
            </w:r>
          </w:p>
        </w:tc>
      </w:tr>
      <w:tr w:rsidR="006C2636" w:rsidRPr="00B942CD" w14:paraId="4A42BF3C" w14:textId="77777777" w:rsidTr="008C7679">
        <w:tc>
          <w:tcPr>
            <w:tcW w:w="2105" w:type="pct"/>
            <w:vAlign w:val="center"/>
          </w:tcPr>
          <w:p w14:paraId="55AF567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Hoarseness of voice</w:t>
            </w:r>
          </w:p>
        </w:tc>
        <w:tc>
          <w:tcPr>
            <w:tcW w:w="724" w:type="pct"/>
            <w:vAlign w:val="center"/>
          </w:tcPr>
          <w:p w14:paraId="4296289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66(22.45)</w:t>
            </w:r>
          </w:p>
        </w:tc>
        <w:tc>
          <w:tcPr>
            <w:tcW w:w="724" w:type="pct"/>
            <w:vAlign w:val="center"/>
          </w:tcPr>
          <w:p w14:paraId="15A01C9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3A76CB9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7(4.90)</w:t>
            </w:r>
          </w:p>
        </w:tc>
        <w:tc>
          <w:tcPr>
            <w:tcW w:w="724" w:type="pct"/>
            <w:vAlign w:val="center"/>
          </w:tcPr>
          <w:p w14:paraId="7A6D32C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r w:rsidR="006C2636" w:rsidRPr="00B942CD" w14:paraId="1276D84E" w14:textId="77777777" w:rsidTr="008C7679">
        <w:tc>
          <w:tcPr>
            <w:tcW w:w="2105" w:type="pct"/>
            <w:vAlign w:val="center"/>
          </w:tcPr>
          <w:p w14:paraId="7DAF35D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Hemoptysis</w:t>
            </w:r>
          </w:p>
        </w:tc>
        <w:tc>
          <w:tcPr>
            <w:tcW w:w="724" w:type="pct"/>
            <w:vAlign w:val="center"/>
          </w:tcPr>
          <w:p w14:paraId="45B1592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58(19.73)</w:t>
            </w:r>
          </w:p>
        </w:tc>
        <w:tc>
          <w:tcPr>
            <w:tcW w:w="724" w:type="pct"/>
            <w:vAlign w:val="center"/>
          </w:tcPr>
          <w:p w14:paraId="3FB6750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9(3.06)</w:t>
            </w:r>
          </w:p>
        </w:tc>
        <w:tc>
          <w:tcPr>
            <w:tcW w:w="724" w:type="pct"/>
            <w:vAlign w:val="center"/>
          </w:tcPr>
          <w:p w14:paraId="55B36B8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11(7.69)</w:t>
            </w:r>
          </w:p>
        </w:tc>
        <w:tc>
          <w:tcPr>
            <w:tcW w:w="724" w:type="pct"/>
            <w:vAlign w:val="center"/>
          </w:tcPr>
          <w:p w14:paraId="5F31BEF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r>
      <w:tr w:rsidR="006C2636" w:rsidRPr="00B942CD" w14:paraId="740684D9" w14:textId="77777777" w:rsidTr="008C7679">
        <w:tc>
          <w:tcPr>
            <w:tcW w:w="2105" w:type="pct"/>
            <w:vAlign w:val="center"/>
          </w:tcPr>
          <w:p w14:paraId="7454D703" w14:textId="51E8E44F"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Productive cough</w:t>
            </w:r>
          </w:p>
        </w:tc>
        <w:tc>
          <w:tcPr>
            <w:tcW w:w="724" w:type="pct"/>
            <w:vAlign w:val="center"/>
          </w:tcPr>
          <w:p w14:paraId="75C9948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49(16.67)</w:t>
            </w:r>
          </w:p>
        </w:tc>
        <w:tc>
          <w:tcPr>
            <w:tcW w:w="724" w:type="pct"/>
            <w:vAlign w:val="center"/>
          </w:tcPr>
          <w:p w14:paraId="51533A5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00F1B98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16(11.19)</w:t>
            </w:r>
          </w:p>
        </w:tc>
        <w:tc>
          <w:tcPr>
            <w:tcW w:w="724" w:type="pct"/>
            <w:vAlign w:val="center"/>
          </w:tcPr>
          <w:p w14:paraId="54664F8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r w:rsidR="006C2636" w:rsidRPr="00B942CD" w14:paraId="7961070F" w14:textId="77777777" w:rsidTr="008C7679">
        <w:tc>
          <w:tcPr>
            <w:tcW w:w="2105" w:type="pct"/>
            <w:vAlign w:val="center"/>
          </w:tcPr>
          <w:p w14:paraId="3923801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Upper respiratory tract infection</w:t>
            </w:r>
          </w:p>
        </w:tc>
        <w:tc>
          <w:tcPr>
            <w:tcW w:w="724" w:type="pct"/>
            <w:vAlign w:val="center"/>
          </w:tcPr>
          <w:p w14:paraId="21F553D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33(11.22)</w:t>
            </w:r>
          </w:p>
        </w:tc>
        <w:tc>
          <w:tcPr>
            <w:tcW w:w="724" w:type="pct"/>
            <w:vAlign w:val="center"/>
          </w:tcPr>
          <w:p w14:paraId="5B9EFB8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7D247DB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c>
          <w:tcPr>
            <w:tcW w:w="724" w:type="pct"/>
            <w:vAlign w:val="center"/>
          </w:tcPr>
          <w:p w14:paraId="7BF822E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7007BC10" w14:textId="77777777" w:rsidTr="008C7679">
        <w:tc>
          <w:tcPr>
            <w:tcW w:w="2105" w:type="pct"/>
            <w:vAlign w:val="center"/>
          </w:tcPr>
          <w:p w14:paraId="1A58BB5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Lung infection</w:t>
            </w:r>
          </w:p>
        </w:tc>
        <w:tc>
          <w:tcPr>
            <w:tcW w:w="724" w:type="pct"/>
            <w:vAlign w:val="center"/>
          </w:tcPr>
          <w:p w14:paraId="5918D4C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28(9.52)</w:t>
            </w:r>
          </w:p>
        </w:tc>
        <w:tc>
          <w:tcPr>
            <w:tcW w:w="724" w:type="pct"/>
            <w:vAlign w:val="center"/>
          </w:tcPr>
          <w:p w14:paraId="28A8732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12(4.08)</w:t>
            </w:r>
          </w:p>
        </w:tc>
        <w:tc>
          <w:tcPr>
            <w:tcW w:w="724" w:type="pct"/>
            <w:vAlign w:val="center"/>
          </w:tcPr>
          <w:p w14:paraId="6157296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9(6.29)</w:t>
            </w:r>
          </w:p>
        </w:tc>
        <w:tc>
          <w:tcPr>
            <w:tcW w:w="724" w:type="pct"/>
            <w:vAlign w:val="center"/>
          </w:tcPr>
          <w:p w14:paraId="67DBA2F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r>
      <w:tr w:rsidR="006C2636" w:rsidRPr="00B942CD" w14:paraId="02055D75" w14:textId="77777777" w:rsidTr="008C7679">
        <w:tc>
          <w:tcPr>
            <w:tcW w:w="2105" w:type="pct"/>
            <w:vAlign w:val="center"/>
          </w:tcPr>
          <w:p w14:paraId="73C6A5F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Respiratory failure</w:t>
            </w:r>
          </w:p>
        </w:tc>
        <w:tc>
          <w:tcPr>
            <w:tcW w:w="724" w:type="pct"/>
            <w:vAlign w:val="center"/>
          </w:tcPr>
          <w:p w14:paraId="26D94A1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10(3.40)</w:t>
            </w:r>
          </w:p>
        </w:tc>
        <w:tc>
          <w:tcPr>
            <w:tcW w:w="724" w:type="pct"/>
            <w:vAlign w:val="center"/>
          </w:tcPr>
          <w:p w14:paraId="78FC6D6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10(3.40)</w:t>
            </w:r>
          </w:p>
        </w:tc>
        <w:tc>
          <w:tcPr>
            <w:tcW w:w="724" w:type="pct"/>
            <w:vAlign w:val="center"/>
          </w:tcPr>
          <w:p w14:paraId="06FF18B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c>
          <w:tcPr>
            <w:tcW w:w="724" w:type="pct"/>
            <w:vAlign w:val="center"/>
          </w:tcPr>
          <w:p w14:paraId="0362D80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r>
      <w:tr w:rsidR="006C2636" w:rsidRPr="00B942CD" w14:paraId="039E3C70" w14:textId="77777777" w:rsidTr="008C7679">
        <w:tc>
          <w:tcPr>
            <w:tcW w:w="2105" w:type="pct"/>
            <w:vAlign w:val="center"/>
          </w:tcPr>
          <w:p w14:paraId="22DF02B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Hypertension</w:t>
            </w:r>
          </w:p>
        </w:tc>
        <w:tc>
          <w:tcPr>
            <w:tcW w:w="724" w:type="pct"/>
            <w:vAlign w:val="center"/>
          </w:tcPr>
          <w:p w14:paraId="6078A6B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198(67.35)</w:t>
            </w:r>
          </w:p>
        </w:tc>
        <w:tc>
          <w:tcPr>
            <w:tcW w:w="724" w:type="pct"/>
            <w:vAlign w:val="center"/>
          </w:tcPr>
          <w:p w14:paraId="0FA1733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40(13.61)</w:t>
            </w:r>
          </w:p>
        </w:tc>
        <w:tc>
          <w:tcPr>
            <w:tcW w:w="724" w:type="pct"/>
            <w:vAlign w:val="center"/>
          </w:tcPr>
          <w:p w14:paraId="3FCE7EB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23(16.08)</w:t>
            </w:r>
          </w:p>
        </w:tc>
        <w:tc>
          <w:tcPr>
            <w:tcW w:w="724" w:type="pct"/>
            <w:vAlign w:val="center"/>
          </w:tcPr>
          <w:p w14:paraId="6FE01BF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0650EDF9" w14:textId="77777777" w:rsidTr="008C7679">
        <w:tc>
          <w:tcPr>
            <w:tcW w:w="2105" w:type="pct"/>
            <w:vAlign w:val="center"/>
          </w:tcPr>
          <w:p w14:paraId="6881367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Sinus tachycardia</w:t>
            </w:r>
          </w:p>
        </w:tc>
        <w:tc>
          <w:tcPr>
            <w:tcW w:w="724" w:type="pct"/>
            <w:vAlign w:val="center"/>
          </w:tcPr>
          <w:p w14:paraId="4013E37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105(35.71)</w:t>
            </w:r>
          </w:p>
        </w:tc>
        <w:tc>
          <w:tcPr>
            <w:tcW w:w="724" w:type="pct"/>
            <w:vAlign w:val="center"/>
          </w:tcPr>
          <w:p w14:paraId="560999A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4958849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47(32.87)</w:t>
            </w:r>
          </w:p>
        </w:tc>
        <w:tc>
          <w:tcPr>
            <w:tcW w:w="724" w:type="pct"/>
            <w:vAlign w:val="center"/>
          </w:tcPr>
          <w:p w14:paraId="63E293E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593E1261" w14:textId="77777777" w:rsidTr="008C7679">
        <w:tc>
          <w:tcPr>
            <w:tcW w:w="2105" w:type="pct"/>
            <w:vAlign w:val="center"/>
          </w:tcPr>
          <w:p w14:paraId="69C60FE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QT interval prolonged</w:t>
            </w:r>
          </w:p>
        </w:tc>
        <w:tc>
          <w:tcPr>
            <w:tcW w:w="724" w:type="pct"/>
            <w:vAlign w:val="center"/>
          </w:tcPr>
          <w:p w14:paraId="6E5CA4F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77(26.19)</w:t>
            </w:r>
          </w:p>
        </w:tc>
        <w:tc>
          <w:tcPr>
            <w:tcW w:w="724" w:type="pct"/>
            <w:vAlign w:val="center"/>
          </w:tcPr>
          <w:p w14:paraId="7332BE8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7(2.38)</w:t>
            </w:r>
          </w:p>
        </w:tc>
        <w:tc>
          <w:tcPr>
            <w:tcW w:w="724" w:type="pct"/>
            <w:vAlign w:val="center"/>
          </w:tcPr>
          <w:p w14:paraId="7CC5010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27(18.88)</w:t>
            </w:r>
          </w:p>
        </w:tc>
        <w:tc>
          <w:tcPr>
            <w:tcW w:w="724" w:type="pct"/>
            <w:vAlign w:val="center"/>
          </w:tcPr>
          <w:p w14:paraId="2CC6949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r>
      <w:tr w:rsidR="006C2636" w:rsidRPr="00B942CD" w14:paraId="338A5C91" w14:textId="77777777" w:rsidTr="008C7679">
        <w:tc>
          <w:tcPr>
            <w:tcW w:w="2105" w:type="pct"/>
            <w:vAlign w:val="center"/>
          </w:tcPr>
          <w:p w14:paraId="3D540AA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Hand and foot skin reaction</w:t>
            </w:r>
          </w:p>
        </w:tc>
        <w:tc>
          <w:tcPr>
            <w:tcW w:w="724" w:type="pct"/>
            <w:vAlign w:val="center"/>
          </w:tcPr>
          <w:p w14:paraId="5C2A56D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128(43.54)</w:t>
            </w:r>
          </w:p>
        </w:tc>
        <w:tc>
          <w:tcPr>
            <w:tcW w:w="724" w:type="pct"/>
            <w:vAlign w:val="center"/>
          </w:tcPr>
          <w:p w14:paraId="5F52D86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11(3.74)</w:t>
            </w:r>
          </w:p>
        </w:tc>
        <w:tc>
          <w:tcPr>
            <w:tcW w:w="724" w:type="pct"/>
            <w:vAlign w:val="center"/>
          </w:tcPr>
          <w:p w14:paraId="08443D1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13(9.09)</w:t>
            </w:r>
          </w:p>
        </w:tc>
        <w:tc>
          <w:tcPr>
            <w:tcW w:w="724" w:type="pct"/>
            <w:vAlign w:val="center"/>
          </w:tcPr>
          <w:p w14:paraId="3CE836C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722A8B8F" w14:textId="77777777" w:rsidTr="008C7679">
        <w:tc>
          <w:tcPr>
            <w:tcW w:w="2105" w:type="pct"/>
            <w:vAlign w:val="center"/>
          </w:tcPr>
          <w:p w14:paraId="5E0DEC35" w14:textId="6E8B8BA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Rash</w:t>
            </w:r>
          </w:p>
        </w:tc>
        <w:tc>
          <w:tcPr>
            <w:tcW w:w="724" w:type="pct"/>
            <w:vAlign w:val="center"/>
          </w:tcPr>
          <w:p w14:paraId="572B9CA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35(11.90)</w:t>
            </w:r>
          </w:p>
        </w:tc>
        <w:tc>
          <w:tcPr>
            <w:tcW w:w="724" w:type="pct"/>
            <w:vAlign w:val="center"/>
          </w:tcPr>
          <w:p w14:paraId="3F26502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3BDD773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11(7.69)</w:t>
            </w:r>
          </w:p>
        </w:tc>
        <w:tc>
          <w:tcPr>
            <w:tcW w:w="724" w:type="pct"/>
            <w:vAlign w:val="center"/>
          </w:tcPr>
          <w:p w14:paraId="3A33D97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r w:rsidR="006C2636" w:rsidRPr="00B942CD" w14:paraId="73FF4C2F" w14:textId="77777777" w:rsidTr="008C7679">
        <w:tc>
          <w:tcPr>
            <w:tcW w:w="2105" w:type="pct"/>
            <w:vAlign w:val="center"/>
          </w:tcPr>
          <w:p w14:paraId="6538EB4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Chest pain</w:t>
            </w:r>
          </w:p>
        </w:tc>
        <w:tc>
          <w:tcPr>
            <w:tcW w:w="724" w:type="pct"/>
            <w:vAlign w:val="center"/>
          </w:tcPr>
          <w:p w14:paraId="53A6E63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54(18.37)</w:t>
            </w:r>
          </w:p>
        </w:tc>
        <w:tc>
          <w:tcPr>
            <w:tcW w:w="724" w:type="pct"/>
            <w:vAlign w:val="center"/>
          </w:tcPr>
          <w:p w14:paraId="44DAF3F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1ECE541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17(11.89)</w:t>
            </w:r>
          </w:p>
        </w:tc>
        <w:tc>
          <w:tcPr>
            <w:tcW w:w="724" w:type="pct"/>
            <w:vAlign w:val="center"/>
          </w:tcPr>
          <w:p w14:paraId="6C7C34B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w:t>
            </w:r>
          </w:p>
        </w:tc>
      </w:tr>
      <w:tr w:rsidR="006C2636" w:rsidRPr="00B942CD" w14:paraId="46680A37" w14:textId="77777777" w:rsidTr="008C7679">
        <w:tc>
          <w:tcPr>
            <w:tcW w:w="2105" w:type="pct"/>
            <w:vAlign w:val="center"/>
          </w:tcPr>
          <w:p w14:paraId="241AA31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Flank pain</w:t>
            </w:r>
          </w:p>
        </w:tc>
        <w:tc>
          <w:tcPr>
            <w:tcW w:w="724" w:type="pct"/>
            <w:vAlign w:val="center"/>
          </w:tcPr>
          <w:p w14:paraId="2CEF27C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42(14.29)</w:t>
            </w:r>
          </w:p>
        </w:tc>
        <w:tc>
          <w:tcPr>
            <w:tcW w:w="724" w:type="pct"/>
            <w:vAlign w:val="center"/>
          </w:tcPr>
          <w:p w14:paraId="6DD6049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467BD68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11(7.69)</w:t>
            </w:r>
          </w:p>
        </w:tc>
        <w:tc>
          <w:tcPr>
            <w:tcW w:w="724" w:type="pct"/>
            <w:vAlign w:val="center"/>
          </w:tcPr>
          <w:p w14:paraId="17E1A44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427411C6" w14:textId="77777777" w:rsidTr="008C7679">
        <w:tc>
          <w:tcPr>
            <w:tcW w:w="2105" w:type="pct"/>
            <w:vAlign w:val="center"/>
          </w:tcPr>
          <w:p w14:paraId="205CB25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Pain in extremity</w:t>
            </w:r>
          </w:p>
        </w:tc>
        <w:tc>
          <w:tcPr>
            <w:tcW w:w="724" w:type="pct"/>
            <w:vAlign w:val="center"/>
          </w:tcPr>
          <w:p w14:paraId="1F320BE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39(13.27)</w:t>
            </w:r>
          </w:p>
        </w:tc>
        <w:tc>
          <w:tcPr>
            <w:tcW w:w="724" w:type="pct"/>
            <w:vAlign w:val="center"/>
          </w:tcPr>
          <w:p w14:paraId="5DFF1FB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1F6F986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16(11.19)</w:t>
            </w:r>
          </w:p>
        </w:tc>
        <w:tc>
          <w:tcPr>
            <w:tcW w:w="724" w:type="pct"/>
            <w:vAlign w:val="center"/>
          </w:tcPr>
          <w:p w14:paraId="1737603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r w:rsidR="006C2636" w:rsidRPr="00B942CD" w14:paraId="5C8660F9" w14:textId="77777777" w:rsidTr="008C7679">
        <w:tc>
          <w:tcPr>
            <w:tcW w:w="2105" w:type="pct"/>
            <w:vAlign w:val="center"/>
          </w:tcPr>
          <w:p w14:paraId="79DABE4E"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Hypothyroidism</w:t>
            </w:r>
          </w:p>
        </w:tc>
        <w:tc>
          <w:tcPr>
            <w:tcW w:w="724" w:type="pct"/>
            <w:vAlign w:val="center"/>
          </w:tcPr>
          <w:p w14:paraId="57C3AD5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57(19.39)</w:t>
            </w:r>
          </w:p>
        </w:tc>
        <w:tc>
          <w:tcPr>
            <w:tcW w:w="724" w:type="pct"/>
            <w:vAlign w:val="center"/>
          </w:tcPr>
          <w:p w14:paraId="08DD0DB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2363E0A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5(3.50)</w:t>
            </w:r>
          </w:p>
        </w:tc>
        <w:tc>
          <w:tcPr>
            <w:tcW w:w="724" w:type="pct"/>
            <w:vAlign w:val="center"/>
          </w:tcPr>
          <w:p w14:paraId="49AF135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42B8CD93" w14:textId="77777777" w:rsidTr="008C7679">
        <w:tc>
          <w:tcPr>
            <w:tcW w:w="2105" w:type="pct"/>
            <w:vAlign w:val="center"/>
          </w:tcPr>
          <w:p w14:paraId="2A43254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Vertigo</w:t>
            </w:r>
          </w:p>
        </w:tc>
        <w:tc>
          <w:tcPr>
            <w:tcW w:w="724" w:type="pct"/>
            <w:vAlign w:val="center"/>
          </w:tcPr>
          <w:p w14:paraId="6CF9A8B9"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33(11.22)</w:t>
            </w:r>
          </w:p>
        </w:tc>
        <w:tc>
          <w:tcPr>
            <w:tcW w:w="724" w:type="pct"/>
            <w:vAlign w:val="center"/>
          </w:tcPr>
          <w:p w14:paraId="40CAA72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397C982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13(9.09)</w:t>
            </w:r>
          </w:p>
        </w:tc>
        <w:tc>
          <w:tcPr>
            <w:tcW w:w="724" w:type="pct"/>
            <w:vAlign w:val="center"/>
          </w:tcPr>
          <w:p w14:paraId="7BE6077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4D79B741" w14:textId="77777777" w:rsidTr="008C7679">
        <w:tc>
          <w:tcPr>
            <w:tcW w:w="2105" w:type="pct"/>
            <w:vAlign w:val="center"/>
          </w:tcPr>
          <w:p w14:paraId="46B3518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Headache</w:t>
            </w:r>
          </w:p>
        </w:tc>
        <w:tc>
          <w:tcPr>
            <w:tcW w:w="724" w:type="pct"/>
            <w:vAlign w:val="center"/>
          </w:tcPr>
          <w:p w14:paraId="684C5D3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32(10.88)</w:t>
            </w:r>
          </w:p>
        </w:tc>
        <w:tc>
          <w:tcPr>
            <w:tcW w:w="724" w:type="pct"/>
            <w:vAlign w:val="center"/>
          </w:tcPr>
          <w:p w14:paraId="54A0323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20B4174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5(3.50)</w:t>
            </w:r>
          </w:p>
        </w:tc>
        <w:tc>
          <w:tcPr>
            <w:tcW w:w="724" w:type="pct"/>
            <w:vAlign w:val="center"/>
          </w:tcPr>
          <w:p w14:paraId="37EE568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302BBF83" w14:textId="77777777" w:rsidTr="008C7679">
        <w:tc>
          <w:tcPr>
            <w:tcW w:w="2105" w:type="pct"/>
            <w:vAlign w:val="center"/>
          </w:tcPr>
          <w:p w14:paraId="51782662" w14:textId="2350CAE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Thyroid stimulating hormone increased</w:t>
            </w:r>
          </w:p>
        </w:tc>
        <w:tc>
          <w:tcPr>
            <w:tcW w:w="724" w:type="pct"/>
            <w:vAlign w:val="center"/>
          </w:tcPr>
          <w:p w14:paraId="09655B6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137(46.60)</w:t>
            </w:r>
          </w:p>
        </w:tc>
        <w:tc>
          <w:tcPr>
            <w:tcW w:w="724" w:type="pct"/>
            <w:vAlign w:val="center"/>
          </w:tcPr>
          <w:p w14:paraId="1070B4D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1(0.34)</w:t>
            </w:r>
          </w:p>
        </w:tc>
        <w:tc>
          <w:tcPr>
            <w:tcW w:w="724" w:type="pct"/>
            <w:vAlign w:val="center"/>
          </w:tcPr>
          <w:p w14:paraId="4ED78DC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9(6.29)</w:t>
            </w:r>
          </w:p>
        </w:tc>
        <w:tc>
          <w:tcPr>
            <w:tcW w:w="724" w:type="pct"/>
            <w:vAlign w:val="center"/>
          </w:tcPr>
          <w:p w14:paraId="3E67D38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38EDD896" w14:textId="77777777" w:rsidTr="008C7679">
        <w:tc>
          <w:tcPr>
            <w:tcW w:w="2105" w:type="pct"/>
            <w:vAlign w:val="center"/>
          </w:tcPr>
          <w:p w14:paraId="195EBEA9" w14:textId="6D85458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Elevated triglycerides</w:t>
            </w:r>
          </w:p>
        </w:tc>
        <w:tc>
          <w:tcPr>
            <w:tcW w:w="724" w:type="pct"/>
            <w:vAlign w:val="center"/>
          </w:tcPr>
          <w:p w14:paraId="62C52A7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126(42.86)</w:t>
            </w:r>
          </w:p>
        </w:tc>
        <w:tc>
          <w:tcPr>
            <w:tcW w:w="724" w:type="pct"/>
            <w:vAlign w:val="center"/>
          </w:tcPr>
          <w:p w14:paraId="40FB059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9(3.06)</w:t>
            </w:r>
          </w:p>
        </w:tc>
        <w:tc>
          <w:tcPr>
            <w:tcW w:w="724" w:type="pct"/>
            <w:vAlign w:val="center"/>
          </w:tcPr>
          <w:p w14:paraId="7912ADC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34(23.78)</w:t>
            </w:r>
          </w:p>
        </w:tc>
        <w:tc>
          <w:tcPr>
            <w:tcW w:w="724" w:type="pct"/>
            <w:vAlign w:val="center"/>
          </w:tcPr>
          <w:p w14:paraId="5CA1740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6F6454E1" w14:textId="77777777" w:rsidTr="008C7679">
        <w:tc>
          <w:tcPr>
            <w:tcW w:w="2105" w:type="pct"/>
            <w:vAlign w:val="center"/>
          </w:tcPr>
          <w:p w14:paraId="179ABF5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Elevated cholesterol</w:t>
            </w:r>
          </w:p>
        </w:tc>
        <w:tc>
          <w:tcPr>
            <w:tcW w:w="724" w:type="pct"/>
            <w:vAlign w:val="center"/>
          </w:tcPr>
          <w:p w14:paraId="26AC60E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119(40.48)</w:t>
            </w:r>
          </w:p>
        </w:tc>
        <w:tc>
          <w:tcPr>
            <w:tcW w:w="724" w:type="pct"/>
            <w:vAlign w:val="center"/>
          </w:tcPr>
          <w:p w14:paraId="3E0F2D8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c>
          <w:tcPr>
            <w:tcW w:w="724" w:type="pct"/>
            <w:vAlign w:val="center"/>
          </w:tcPr>
          <w:p w14:paraId="67526E2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20(13.99)</w:t>
            </w:r>
          </w:p>
        </w:tc>
        <w:tc>
          <w:tcPr>
            <w:tcW w:w="724" w:type="pct"/>
            <w:vAlign w:val="center"/>
          </w:tcPr>
          <w:p w14:paraId="6059C84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6BEA76F3" w14:textId="77777777" w:rsidTr="008C7679">
        <w:tc>
          <w:tcPr>
            <w:tcW w:w="2105" w:type="pct"/>
            <w:vAlign w:val="center"/>
          </w:tcPr>
          <w:p w14:paraId="771931D2" w14:textId="2CC83F2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Gamma-</w:t>
            </w:r>
            <w:proofErr w:type="spellStart"/>
            <w:r w:rsidRPr="00B942CD">
              <w:rPr>
                <w:rFonts w:ascii="Times New Roman" w:eastAsia="SimSun" w:hAnsi="Times New Roman" w:cs="Times New Roman"/>
                <w:snapToGrid w:val="0"/>
                <w:color w:val="000000" w:themeColor="text1"/>
                <w:sz w:val="21"/>
                <w:szCs w:val="21"/>
              </w:rPr>
              <w:t>glutamyltransferase</w:t>
            </w:r>
            <w:proofErr w:type="spellEnd"/>
            <w:r w:rsidRPr="00B942CD">
              <w:rPr>
                <w:rFonts w:ascii="Times New Roman" w:eastAsia="SimSun" w:hAnsi="Times New Roman" w:cs="Times New Roman"/>
                <w:snapToGrid w:val="0"/>
                <w:color w:val="000000" w:themeColor="text1"/>
                <w:sz w:val="21"/>
                <w:szCs w:val="21"/>
              </w:rPr>
              <w:t xml:space="preserve"> increased</w:t>
            </w:r>
          </w:p>
        </w:tc>
        <w:tc>
          <w:tcPr>
            <w:tcW w:w="724" w:type="pct"/>
            <w:vAlign w:val="center"/>
          </w:tcPr>
          <w:p w14:paraId="1C994FA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87(29.59)</w:t>
            </w:r>
          </w:p>
        </w:tc>
        <w:tc>
          <w:tcPr>
            <w:tcW w:w="724" w:type="pct"/>
            <w:vAlign w:val="center"/>
          </w:tcPr>
          <w:p w14:paraId="4092B2E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13(4.42)</w:t>
            </w:r>
          </w:p>
        </w:tc>
        <w:tc>
          <w:tcPr>
            <w:tcW w:w="724" w:type="pct"/>
            <w:vAlign w:val="center"/>
          </w:tcPr>
          <w:p w14:paraId="56E743C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26(18.18)</w:t>
            </w:r>
          </w:p>
        </w:tc>
        <w:tc>
          <w:tcPr>
            <w:tcW w:w="724" w:type="pct"/>
            <w:vAlign w:val="center"/>
          </w:tcPr>
          <w:p w14:paraId="01210C8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9(6.29)</w:t>
            </w:r>
          </w:p>
        </w:tc>
      </w:tr>
      <w:tr w:rsidR="006C2636" w:rsidRPr="00B942CD" w14:paraId="63CCE105" w14:textId="77777777" w:rsidTr="008C7679">
        <w:tc>
          <w:tcPr>
            <w:tcW w:w="2105" w:type="pct"/>
            <w:vAlign w:val="center"/>
          </w:tcPr>
          <w:p w14:paraId="1CE2354D"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Blood bilirubin increased</w:t>
            </w:r>
          </w:p>
        </w:tc>
        <w:tc>
          <w:tcPr>
            <w:tcW w:w="724" w:type="pct"/>
            <w:vAlign w:val="center"/>
          </w:tcPr>
          <w:p w14:paraId="2D23951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76(25.85)</w:t>
            </w:r>
          </w:p>
        </w:tc>
        <w:tc>
          <w:tcPr>
            <w:tcW w:w="724" w:type="pct"/>
            <w:vAlign w:val="center"/>
          </w:tcPr>
          <w:p w14:paraId="491AEC6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5(1.70)</w:t>
            </w:r>
          </w:p>
        </w:tc>
        <w:tc>
          <w:tcPr>
            <w:tcW w:w="724" w:type="pct"/>
            <w:vAlign w:val="center"/>
          </w:tcPr>
          <w:p w14:paraId="28EBA72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21(14.69)</w:t>
            </w:r>
          </w:p>
        </w:tc>
        <w:tc>
          <w:tcPr>
            <w:tcW w:w="724" w:type="pct"/>
            <w:vAlign w:val="center"/>
          </w:tcPr>
          <w:p w14:paraId="73782914"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r>
      <w:tr w:rsidR="006C2636" w:rsidRPr="00B942CD" w14:paraId="4FC0FDA8" w14:textId="77777777" w:rsidTr="008C7679">
        <w:tc>
          <w:tcPr>
            <w:tcW w:w="2105" w:type="pct"/>
            <w:vAlign w:val="center"/>
          </w:tcPr>
          <w:p w14:paraId="45E1674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Blood sodium decreased</w:t>
            </w:r>
          </w:p>
        </w:tc>
        <w:tc>
          <w:tcPr>
            <w:tcW w:w="724" w:type="pct"/>
            <w:vAlign w:val="center"/>
          </w:tcPr>
          <w:p w14:paraId="73445FF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66(22.45)</w:t>
            </w:r>
          </w:p>
        </w:tc>
        <w:tc>
          <w:tcPr>
            <w:tcW w:w="724" w:type="pct"/>
            <w:vAlign w:val="center"/>
          </w:tcPr>
          <w:p w14:paraId="2123728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24(8.16)</w:t>
            </w:r>
          </w:p>
        </w:tc>
        <w:tc>
          <w:tcPr>
            <w:tcW w:w="724" w:type="pct"/>
            <w:vAlign w:val="center"/>
          </w:tcPr>
          <w:p w14:paraId="67ECB9F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12(8.39)</w:t>
            </w:r>
          </w:p>
        </w:tc>
        <w:tc>
          <w:tcPr>
            <w:tcW w:w="724" w:type="pct"/>
            <w:vAlign w:val="center"/>
          </w:tcPr>
          <w:p w14:paraId="7FA749A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5(3.50)</w:t>
            </w:r>
          </w:p>
        </w:tc>
      </w:tr>
      <w:tr w:rsidR="006C2636" w:rsidRPr="00B942CD" w14:paraId="450DE8A9" w14:textId="77777777" w:rsidTr="008C7679">
        <w:tc>
          <w:tcPr>
            <w:tcW w:w="2105" w:type="pct"/>
            <w:vAlign w:val="center"/>
          </w:tcPr>
          <w:p w14:paraId="39CFF13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Low density lipoprotein increased</w:t>
            </w:r>
          </w:p>
        </w:tc>
        <w:tc>
          <w:tcPr>
            <w:tcW w:w="724" w:type="pct"/>
            <w:vAlign w:val="center"/>
          </w:tcPr>
          <w:p w14:paraId="7965CD5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60(20.41)</w:t>
            </w:r>
          </w:p>
        </w:tc>
        <w:tc>
          <w:tcPr>
            <w:tcW w:w="724" w:type="pct"/>
            <w:vAlign w:val="center"/>
          </w:tcPr>
          <w:p w14:paraId="5183F7F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4ECDC6A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11(7.69)</w:t>
            </w:r>
          </w:p>
        </w:tc>
        <w:tc>
          <w:tcPr>
            <w:tcW w:w="724" w:type="pct"/>
            <w:vAlign w:val="center"/>
          </w:tcPr>
          <w:p w14:paraId="474BE14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0D573918" w14:textId="77777777" w:rsidTr="008C7679">
        <w:tc>
          <w:tcPr>
            <w:tcW w:w="2105" w:type="pct"/>
            <w:vAlign w:val="center"/>
          </w:tcPr>
          <w:p w14:paraId="41A3780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Lymphocyte count decreased</w:t>
            </w:r>
          </w:p>
        </w:tc>
        <w:tc>
          <w:tcPr>
            <w:tcW w:w="724" w:type="pct"/>
            <w:vAlign w:val="center"/>
          </w:tcPr>
          <w:p w14:paraId="373FABAF"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55(18.71)</w:t>
            </w:r>
          </w:p>
        </w:tc>
        <w:tc>
          <w:tcPr>
            <w:tcW w:w="724" w:type="pct"/>
            <w:vAlign w:val="center"/>
          </w:tcPr>
          <w:p w14:paraId="20AA32F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14(4.76)</w:t>
            </w:r>
          </w:p>
        </w:tc>
        <w:tc>
          <w:tcPr>
            <w:tcW w:w="724" w:type="pct"/>
            <w:vAlign w:val="center"/>
          </w:tcPr>
          <w:p w14:paraId="3C70FD4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27(18.88)</w:t>
            </w:r>
          </w:p>
        </w:tc>
        <w:tc>
          <w:tcPr>
            <w:tcW w:w="724" w:type="pct"/>
            <w:vAlign w:val="center"/>
          </w:tcPr>
          <w:p w14:paraId="55B1495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8(5.59)</w:t>
            </w:r>
          </w:p>
        </w:tc>
      </w:tr>
      <w:tr w:rsidR="006C2636" w:rsidRPr="00B942CD" w14:paraId="3E3879C3" w14:textId="77777777" w:rsidTr="008C7679">
        <w:tc>
          <w:tcPr>
            <w:tcW w:w="2105" w:type="pct"/>
            <w:vAlign w:val="center"/>
          </w:tcPr>
          <w:p w14:paraId="663600D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Aspartate aminotransferase increased (AST)</w:t>
            </w:r>
          </w:p>
        </w:tc>
        <w:tc>
          <w:tcPr>
            <w:tcW w:w="724" w:type="pct"/>
            <w:vAlign w:val="center"/>
          </w:tcPr>
          <w:p w14:paraId="40CA4D7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44(14.96)</w:t>
            </w:r>
          </w:p>
        </w:tc>
        <w:tc>
          <w:tcPr>
            <w:tcW w:w="724" w:type="pct"/>
            <w:vAlign w:val="center"/>
          </w:tcPr>
          <w:p w14:paraId="2C0B55A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3(1.02)</w:t>
            </w:r>
          </w:p>
        </w:tc>
        <w:tc>
          <w:tcPr>
            <w:tcW w:w="724" w:type="pct"/>
            <w:vAlign w:val="center"/>
          </w:tcPr>
          <w:p w14:paraId="49E2C09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15(10.49)</w:t>
            </w:r>
          </w:p>
        </w:tc>
        <w:tc>
          <w:tcPr>
            <w:tcW w:w="724" w:type="pct"/>
            <w:vAlign w:val="center"/>
          </w:tcPr>
          <w:p w14:paraId="1B0231A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57BCBEFD" w14:textId="77777777" w:rsidTr="008C7679">
        <w:tc>
          <w:tcPr>
            <w:tcW w:w="2105" w:type="pct"/>
            <w:vAlign w:val="center"/>
          </w:tcPr>
          <w:p w14:paraId="17A4055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Blood phosphorus decreased</w:t>
            </w:r>
          </w:p>
        </w:tc>
        <w:tc>
          <w:tcPr>
            <w:tcW w:w="724" w:type="pct"/>
            <w:vAlign w:val="center"/>
          </w:tcPr>
          <w:p w14:paraId="0A6E53E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31(10.54)</w:t>
            </w:r>
          </w:p>
        </w:tc>
        <w:tc>
          <w:tcPr>
            <w:tcW w:w="724" w:type="pct"/>
            <w:vAlign w:val="center"/>
          </w:tcPr>
          <w:p w14:paraId="459537E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4(1.36)</w:t>
            </w:r>
          </w:p>
        </w:tc>
        <w:tc>
          <w:tcPr>
            <w:tcW w:w="724" w:type="pct"/>
            <w:vAlign w:val="center"/>
          </w:tcPr>
          <w:p w14:paraId="088D9BB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10(6.99)</w:t>
            </w:r>
          </w:p>
        </w:tc>
        <w:tc>
          <w:tcPr>
            <w:tcW w:w="724" w:type="pct"/>
            <w:vAlign w:val="center"/>
          </w:tcPr>
          <w:p w14:paraId="3B9B815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r>
      <w:tr w:rsidR="006C2636" w:rsidRPr="00B942CD" w14:paraId="45BAB0DE" w14:textId="77777777" w:rsidTr="008C7679">
        <w:tc>
          <w:tcPr>
            <w:tcW w:w="2105" w:type="pct"/>
            <w:vAlign w:val="center"/>
          </w:tcPr>
          <w:p w14:paraId="7EF7E37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Blood potassium decreased</w:t>
            </w:r>
          </w:p>
        </w:tc>
        <w:tc>
          <w:tcPr>
            <w:tcW w:w="724" w:type="pct"/>
            <w:vAlign w:val="center"/>
          </w:tcPr>
          <w:p w14:paraId="06DD901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31(10.54)</w:t>
            </w:r>
          </w:p>
        </w:tc>
        <w:tc>
          <w:tcPr>
            <w:tcW w:w="724" w:type="pct"/>
            <w:vAlign w:val="center"/>
          </w:tcPr>
          <w:p w14:paraId="7CEC9531"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2(0.68)</w:t>
            </w:r>
          </w:p>
        </w:tc>
        <w:tc>
          <w:tcPr>
            <w:tcW w:w="724" w:type="pct"/>
            <w:vAlign w:val="center"/>
          </w:tcPr>
          <w:p w14:paraId="1B2481C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7(4.90)</w:t>
            </w:r>
          </w:p>
        </w:tc>
        <w:tc>
          <w:tcPr>
            <w:tcW w:w="724" w:type="pct"/>
            <w:vAlign w:val="center"/>
          </w:tcPr>
          <w:p w14:paraId="62933DE7"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18E1BC67" w14:textId="77777777" w:rsidTr="008C7679">
        <w:tc>
          <w:tcPr>
            <w:tcW w:w="2105" w:type="pct"/>
            <w:vAlign w:val="center"/>
          </w:tcPr>
          <w:p w14:paraId="2620085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Platelet count decreased</w:t>
            </w:r>
          </w:p>
        </w:tc>
        <w:tc>
          <w:tcPr>
            <w:tcW w:w="724" w:type="pct"/>
            <w:vAlign w:val="center"/>
          </w:tcPr>
          <w:p w14:paraId="35ECEDB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30(10.20)</w:t>
            </w:r>
          </w:p>
        </w:tc>
        <w:tc>
          <w:tcPr>
            <w:tcW w:w="724" w:type="pct"/>
            <w:vAlign w:val="center"/>
          </w:tcPr>
          <w:p w14:paraId="5D674AF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3(1.02)</w:t>
            </w:r>
          </w:p>
        </w:tc>
        <w:tc>
          <w:tcPr>
            <w:tcW w:w="724" w:type="pct"/>
            <w:vAlign w:val="center"/>
          </w:tcPr>
          <w:p w14:paraId="5EB47B6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6(4.20)</w:t>
            </w:r>
          </w:p>
        </w:tc>
        <w:tc>
          <w:tcPr>
            <w:tcW w:w="724" w:type="pct"/>
            <w:vAlign w:val="center"/>
          </w:tcPr>
          <w:p w14:paraId="4CEF717E"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6C2636" w:rsidRPr="00B942CD" w14:paraId="0439D668" w14:textId="77777777" w:rsidTr="008C7679">
        <w:tc>
          <w:tcPr>
            <w:tcW w:w="2105" w:type="pct"/>
            <w:vAlign w:val="center"/>
          </w:tcPr>
          <w:p w14:paraId="270575C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Lipase increased</w:t>
            </w:r>
          </w:p>
        </w:tc>
        <w:tc>
          <w:tcPr>
            <w:tcW w:w="724" w:type="pct"/>
            <w:vAlign w:val="center"/>
          </w:tcPr>
          <w:p w14:paraId="17848CF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17(5.78)</w:t>
            </w:r>
          </w:p>
        </w:tc>
        <w:tc>
          <w:tcPr>
            <w:tcW w:w="724" w:type="pct"/>
            <w:vAlign w:val="center"/>
          </w:tcPr>
          <w:p w14:paraId="5320BD9D"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7(2.38)</w:t>
            </w:r>
          </w:p>
        </w:tc>
        <w:tc>
          <w:tcPr>
            <w:tcW w:w="724" w:type="pct"/>
            <w:vAlign w:val="center"/>
          </w:tcPr>
          <w:p w14:paraId="2A1720B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2(1.40)</w:t>
            </w:r>
          </w:p>
        </w:tc>
        <w:tc>
          <w:tcPr>
            <w:tcW w:w="724" w:type="pct"/>
            <w:vAlign w:val="center"/>
          </w:tcPr>
          <w:p w14:paraId="544F609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1(0.70)</w:t>
            </w:r>
          </w:p>
        </w:tc>
      </w:tr>
    </w:tbl>
    <w:p w14:paraId="53BD161E" w14:textId="192C8EF8" w:rsidR="004733E0" w:rsidRPr="00B942CD" w:rsidRDefault="004733E0" w:rsidP="00AA119C">
      <w:pPr>
        <w:pStyle w:val="Heading2"/>
        <w:rPr>
          <w:rFonts w:cs="Times New Roman"/>
        </w:rPr>
      </w:pPr>
      <w:bookmarkStart w:id="46" w:name="1.8_Rationale_for_Current_Study"/>
      <w:bookmarkStart w:id="47" w:name="_bookmark13"/>
      <w:bookmarkStart w:id="48" w:name="_Toc98358599"/>
      <w:bookmarkEnd w:id="46"/>
      <w:bookmarkEnd w:id="47"/>
      <w:r w:rsidRPr="00B942CD">
        <w:rPr>
          <w:rFonts w:cs="Times New Roman"/>
        </w:rPr>
        <w:t>Theoretical Rationale for the Study</w:t>
      </w:r>
      <w:bookmarkEnd w:id="48"/>
    </w:p>
    <w:p w14:paraId="18064FD9" w14:textId="5707100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The rationale is that combined inhibition of angiogenesis and PARP is dual. First of all, there is an opportunity for synergism; since anti-angiogenic agents can induce hypoxia in tumor </w:t>
      </w:r>
      <w:r w:rsidRPr="00B942CD">
        <w:rPr>
          <w:rFonts w:ascii="Times New Roman" w:eastAsia="SimSun" w:hAnsi="Times New Roman" w:cs="Times New Roman"/>
          <w:snapToGrid w:val="0"/>
          <w:color w:val="000000" w:themeColor="text1"/>
          <w:sz w:val="24"/>
          <w:szCs w:val="24"/>
          <w:vertAlign w:val="superscript"/>
        </w:rPr>
        <w:t>19</w:t>
      </w:r>
      <w:r w:rsidRPr="00B942CD">
        <w:rPr>
          <w:rFonts w:ascii="Times New Roman" w:eastAsia="SimSun" w:hAnsi="Times New Roman" w:cs="Times New Roman"/>
          <w:snapToGrid w:val="0"/>
          <w:color w:val="000000" w:themeColor="text1"/>
          <w:sz w:val="24"/>
          <w:szCs w:val="24"/>
        </w:rPr>
        <w:t xml:space="preserve">, hypoxia will alter the DNA damage repair pathways, including the genetic instability caused by homologous recombination (HR) pathway </w:t>
      </w:r>
      <w:r w:rsidRPr="00B942CD">
        <w:rPr>
          <w:rFonts w:ascii="Times New Roman" w:eastAsia="SimSun" w:hAnsi="Times New Roman" w:cs="Times New Roman"/>
          <w:snapToGrid w:val="0"/>
          <w:color w:val="000000" w:themeColor="text1"/>
          <w:sz w:val="24"/>
          <w:szCs w:val="24"/>
          <w:vertAlign w:val="superscript"/>
        </w:rPr>
        <w:t>20</w:t>
      </w:r>
      <w:r w:rsidRPr="00B942CD">
        <w:rPr>
          <w:rFonts w:ascii="Times New Roman" w:eastAsia="SimSun" w:hAnsi="Times New Roman" w:cs="Times New Roman"/>
          <w:snapToGrid w:val="0"/>
          <w:color w:val="000000" w:themeColor="text1"/>
          <w:sz w:val="24"/>
          <w:szCs w:val="24"/>
        </w:rPr>
        <w:t xml:space="preserve">, which increases the sensitivity of PARP inhibitors. This is called </w:t>
      </w:r>
      <w:r w:rsidRPr="00B942CD">
        <w:rPr>
          <w:rFonts w:ascii="Times New Roman" w:eastAsia="SimSun" w:hAnsi="Times New Roman" w:cs="Times New Roman"/>
          <w:bCs/>
          <w:i/>
          <w:iCs/>
          <w:snapToGrid w:val="0"/>
          <w:color w:val="000000" w:themeColor="text1"/>
          <w:sz w:val="24"/>
          <w:szCs w:val="24"/>
        </w:rPr>
        <w:t>contextual synthetic lethality</w:t>
      </w:r>
      <w:r w:rsidRPr="00B942CD">
        <w:rPr>
          <w:rFonts w:ascii="Times New Roman" w:eastAsia="SimSun" w:hAnsi="Times New Roman" w:cs="Times New Roman"/>
          <w:snapToGrid w:val="0"/>
          <w:color w:val="000000" w:themeColor="text1"/>
          <w:sz w:val="24"/>
          <w:szCs w:val="24"/>
          <w:vertAlign w:val="superscript"/>
        </w:rPr>
        <w:t>21</w:t>
      </w:r>
      <w:r w:rsidRPr="00B942CD">
        <w:rPr>
          <w:rFonts w:ascii="Times New Roman" w:eastAsia="SimSun" w:hAnsi="Times New Roman" w:cs="Times New Roman"/>
          <w:snapToGrid w:val="0"/>
          <w:color w:val="000000" w:themeColor="text1"/>
          <w:sz w:val="24"/>
          <w:szCs w:val="24"/>
        </w:rPr>
        <w:t xml:space="preserve">. In addition, PARP-1 itself also plays a role in vascular inhibition and hypoxia response, transcribing and activating HIF-1α to respond to hypoxia </w:t>
      </w:r>
      <w:r w:rsidRPr="00B942CD">
        <w:rPr>
          <w:rFonts w:ascii="Times New Roman" w:eastAsia="SimSun" w:hAnsi="Times New Roman" w:cs="Times New Roman"/>
          <w:snapToGrid w:val="0"/>
          <w:color w:val="000000" w:themeColor="text1"/>
          <w:sz w:val="24"/>
          <w:szCs w:val="24"/>
          <w:vertAlign w:val="superscript"/>
        </w:rPr>
        <w:t>22</w:t>
      </w:r>
      <w:r w:rsidRPr="00B942CD">
        <w:rPr>
          <w:rFonts w:ascii="Times New Roman" w:eastAsia="SimSun" w:hAnsi="Times New Roman" w:cs="Times New Roman"/>
          <w:snapToGrid w:val="0"/>
          <w:color w:val="000000" w:themeColor="text1"/>
          <w:sz w:val="24"/>
          <w:szCs w:val="24"/>
        </w:rPr>
        <w:t>.</w:t>
      </w:r>
    </w:p>
    <w:p w14:paraId="4531EE3B" w14:textId="44FEB542" w:rsidR="004733E0" w:rsidRPr="00B942CD" w:rsidRDefault="004733E0" w:rsidP="00AA119C">
      <w:pPr>
        <w:pStyle w:val="Heading1"/>
        <w:rPr>
          <w:rFonts w:cs="Times New Roman"/>
        </w:rPr>
      </w:pPr>
      <w:bookmarkStart w:id="49" w:name="2_OVERALL_DESIGN_AND_PLAN_OF_THE_STUDY"/>
      <w:bookmarkStart w:id="50" w:name="_bookmark14"/>
      <w:bookmarkStart w:id="51" w:name="_Toc98358600"/>
      <w:bookmarkEnd w:id="49"/>
      <w:bookmarkEnd w:id="50"/>
      <w:r w:rsidRPr="00B942CD">
        <w:rPr>
          <w:rFonts w:cs="Times New Roman"/>
        </w:rPr>
        <w:t>Study Design and Study Plan</w:t>
      </w:r>
      <w:bookmarkEnd w:id="51"/>
    </w:p>
    <w:p w14:paraId="278D2254" w14:textId="77777777" w:rsidR="004733E0" w:rsidRPr="00B942CD" w:rsidRDefault="004733E0" w:rsidP="00AA119C">
      <w:pPr>
        <w:pStyle w:val="Heading2"/>
        <w:rPr>
          <w:rFonts w:cs="Times New Roman"/>
        </w:rPr>
      </w:pPr>
      <w:bookmarkStart w:id="52" w:name="2.1_Overview"/>
      <w:bookmarkStart w:id="53" w:name="_bookmark15"/>
      <w:bookmarkStart w:id="54" w:name="_Toc98358601"/>
      <w:bookmarkEnd w:id="52"/>
      <w:bookmarkEnd w:id="53"/>
      <w:r w:rsidRPr="00B942CD">
        <w:rPr>
          <w:rFonts w:cs="Times New Roman"/>
        </w:rPr>
        <w:t>Overview</w:t>
      </w:r>
      <w:bookmarkEnd w:id="54"/>
    </w:p>
    <w:p w14:paraId="6C6AC2A2" w14:textId="5E482AD6" w:rsidR="00587566"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This is an open-label, single-center, prospective, single-arm phase II study to investigate the efficacy and safety of </w:t>
      </w:r>
      <w:r w:rsidR="002623FB">
        <w:rPr>
          <w:rFonts w:ascii="Times New Roman" w:eastAsia="SimSun" w:hAnsi="Times New Roman" w:cs="Times New Roman"/>
          <w:snapToGrid w:val="0"/>
          <w:color w:val="000000" w:themeColor="text1"/>
          <w:sz w:val="24"/>
          <w:szCs w:val="24"/>
        </w:rPr>
        <w:t>niraparib</w:t>
      </w:r>
      <w:r w:rsidRPr="00B942CD">
        <w:rPr>
          <w:rFonts w:ascii="Times New Roman" w:eastAsia="SimSun" w:hAnsi="Times New Roman" w:cs="Times New Roman"/>
          <w:snapToGrid w:val="0"/>
          <w:color w:val="000000" w:themeColor="text1"/>
          <w:sz w:val="24"/>
          <w:szCs w:val="24"/>
        </w:rPr>
        <w:t xml:space="preserve"> combined with anlotinib in the treatment of platinum-resistant recurrent ovarian cancer. In this study, 40 </w:t>
      </w:r>
      <w:proofErr w:type="spellStart"/>
      <w:r w:rsidRPr="00B942CD">
        <w:rPr>
          <w:rFonts w:ascii="Times New Roman" w:eastAsia="SimSun" w:hAnsi="Times New Roman" w:cs="Times New Roman"/>
          <w:snapToGrid w:val="0"/>
          <w:color w:val="000000" w:themeColor="text1"/>
          <w:sz w:val="24"/>
          <w:szCs w:val="24"/>
        </w:rPr>
        <w:t>histopathologically</w:t>
      </w:r>
      <w:proofErr w:type="spellEnd"/>
      <w:r w:rsidRPr="00B942CD">
        <w:rPr>
          <w:rFonts w:ascii="Times New Roman" w:eastAsia="SimSun" w:hAnsi="Times New Roman" w:cs="Times New Roman"/>
          <w:snapToGrid w:val="0"/>
          <w:color w:val="000000" w:themeColor="text1"/>
          <w:sz w:val="24"/>
          <w:szCs w:val="24"/>
        </w:rPr>
        <w:t xml:space="preserve"> diagnosed patients with high-grade serous ovarian, fallopian tube and primary peritoneal cancer were treated with niraparib plus anlotinib in patients who underwent first-line chemotherapy or above and had a recurrence of </w:t>
      </w:r>
      <w:r w:rsidRPr="00B942CD">
        <w:rPr>
          <w:rFonts w:ascii="Times New Roman" w:eastAsia="SimSun" w:hAnsi="Times New Roman" w:cs="Times New Roman"/>
          <w:snapToGrid w:val="0"/>
          <w:color w:val="000000" w:themeColor="text1"/>
          <w:sz w:val="24"/>
          <w:szCs w:val="24"/>
        </w:rPr>
        <w:lastRenderedPageBreak/>
        <w:t>platinum-resistant chemotherapy (the time of tumor progression of the last platinum-containing chemotherapy &lt; 6 months).</w:t>
      </w:r>
    </w:p>
    <w:p w14:paraId="2FA302A9" w14:textId="65A3E97E" w:rsidR="004733E0" w:rsidRPr="00B942CD" w:rsidRDefault="004733E0" w:rsidP="00AA119C">
      <w:pPr>
        <w:pStyle w:val="BodyText"/>
        <w:widowControl/>
        <w:autoSpaceDE/>
        <w:autoSpaceDN/>
        <w:adjustRightInd w:val="0"/>
        <w:snapToGrid w:val="0"/>
        <w:spacing w:beforeLines="50" w:before="120" w:line="288" w:lineRule="auto"/>
        <w:ind w:left="0"/>
        <w:jc w:val="center"/>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Study Design Flow Chart</w:t>
      </w:r>
    </w:p>
    <w:p w14:paraId="2D394298" w14:textId="4ED49B55" w:rsidR="004733E0" w:rsidRPr="00B942CD" w:rsidRDefault="00214EE5"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noProof/>
          <w:snapToGrid w:val="0"/>
          <w:color w:val="000000" w:themeColor="text1"/>
          <w:sz w:val="24"/>
        </w:rPr>
        <mc:AlternateContent>
          <mc:Choice Requires="wpg">
            <w:drawing>
              <wp:inline distT="0" distB="0" distL="0" distR="0" wp14:anchorId="4D57E44B" wp14:editId="6A2DF688">
                <wp:extent cx="5920041" cy="1564604"/>
                <wp:effectExtent l="0" t="0" r="24130" b="17145"/>
                <wp:docPr id="6" name="组合 6"/>
                <wp:cNvGraphicFramePr/>
                <a:graphic xmlns:a="http://schemas.openxmlformats.org/drawingml/2006/main">
                  <a:graphicData uri="http://schemas.microsoft.com/office/word/2010/wordprocessingGroup">
                    <wpg:wgp>
                      <wpg:cNvGrpSpPr/>
                      <wpg:grpSpPr>
                        <a:xfrm>
                          <a:off x="0" y="0"/>
                          <a:ext cx="5920041" cy="1564604"/>
                          <a:chOff x="0" y="0"/>
                          <a:chExt cx="5920041" cy="1564604"/>
                        </a:xfrm>
                      </wpg:grpSpPr>
                      <wps:wsp>
                        <wps:cNvPr id="3" name="AutoShape 21"/>
                        <wps:cNvSpPr>
                          <a:spLocks/>
                        </wps:cNvSpPr>
                        <wps:spPr bwMode="auto">
                          <a:xfrm>
                            <a:off x="4418798" y="654683"/>
                            <a:ext cx="1501243" cy="253605"/>
                          </a:xfrm>
                          <a:prstGeom prst="roundRect">
                            <a:avLst>
                              <a:gd name="adj" fmla="val 16667"/>
                            </a:avLst>
                          </a:prstGeom>
                          <a:solidFill>
                            <a:srgbClr val="F1F9F9"/>
                          </a:solidFill>
                          <a:ln w="25400">
                            <a:solidFill>
                              <a:srgbClr val="89A4A7"/>
                            </a:solidFill>
                            <a:round/>
                            <a:headEnd/>
                            <a:tailEnd/>
                          </a:ln>
                        </wps:spPr>
                        <wps:txbx>
                          <w:txbxContent>
                            <w:p w14:paraId="6E20BD77" w14:textId="67096C03" w:rsidR="00C4714A" w:rsidRPr="00417E14" w:rsidRDefault="00C4714A" w:rsidP="00214EE5">
                              <w:pPr>
                                <w:widowControl/>
                                <w:autoSpaceDE/>
                                <w:autoSpaceDN/>
                                <w:adjustRightInd w:val="0"/>
                                <w:snapToGrid w:val="0"/>
                                <w:jc w:val="center"/>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PD or intolerable toxicity</w:t>
                              </w:r>
                            </w:p>
                          </w:txbxContent>
                        </wps:txbx>
                        <wps:bodyPr rot="0" vert="horz" wrap="square" lIns="36000" tIns="36000" rIns="36000" bIns="36000" anchor="ctr" anchorCtr="0">
                          <a:spAutoFit/>
                        </wps:bodyPr>
                      </wps:wsp>
                      <wps:wsp>
                        <wps:cNvPr id="5" name="矩形: 圆角 2"/>
                        <wps:cNvSpPr>
                          <a:spLocks/>
                        </wps:cNvSpPr>
                        <wps:spPr bwMode="auto">
                          <a:xfrm>
                            <a:off x="0" y="0"/>
                            <a:ext cx="2063513" cy="1564604"/>
                          </a:xfrm>
                          <a:prstGeom prst="roundRect">
                            <a:avLst>
                              <a:gd name="adj" fmla="val 16667"/>
                            </a:avLst>
                          </a:prstGeom>
                          <a:solidFill>
                            <a:srgbClr val="F1F9F9"/>
                          </a:solidFill>
                          <a:ln w="25400">
                            <a:solidFill>
                              <a:srgbClr val="89A4A7"/>
                            </a:solidFill>
                            <a:round/>
                            <a:headEnd/>
                            <a:tailEnd/>
                          </a:ln>
                        </wps:spPr>
                        <wps:txbx>
                          <w:txbxContent>
                            <w:p w14:paraId="7911693A" w14:textId="58BF3500" w:rsidR="00C4714A" w:rsidRPr="00417E14"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Histologically diagnosed epithelial ovarian, fallopian tube and primary peritoneal cancer</w:t>
                              </w:r>
                            </w:p>
                            <w:p w14:paraId="2BFEBE99" w14:textId="3A612B06" w:rsidR="00C4714A" w:rsidRPr="00417E14"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Patients with initial platinum-containing treatment, and platinum-resistant recurrence</w:t>
                              </w:r>
                            </w:p>
                            <w:p w14:paraId="66E2B60B" w14:textId="21B5B311" w:rsidR="00C4714A" w:rsidRPr="002623FB"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 xml:space="preserve">Previous exposure to first-line </w:t>
                              </w:r>
                              <w:r w:rsidRPr="002623FB">
                                <w:rPr>
                                  <w:rFonts w:ascii="Times New Roman" w:eastAsia="SimSun" w:hAnsi="Times New Roman" w:cs="Times New Roman"/>
                                  <w:color w:val="000000"/>
                                  <w:sz w:val="18"/>
                                  <w:szCs w:val="28"/>
                                </w:rPr>
                                <w:t>chemotherapy or above</w:t>
                              </w:r>
                            </w:p>
                            <w:p w14:paraId="226EA242" w14:textId="77777777" w:rsidR="00C4714A" w:rsidRPr="00864F0C" w:rsidRDefault="00C4714A" w:rsidP="004C08C9">
                              <w:pPr>
                                <w:widowControl/>
                                <w:numPr>
                                  <w:ilvl w:val="0"/>
                                  <w:numId w:val="29"/>
                                </w:numPr>
                                <w:autoSpaceDE/>
                                <w:autoSpaceDN/>
                                <w:adjustRightInd w:val="0"/>
                                <w:snapToGrid w:val="0"/>
                                <w:ind w:left="360" w:hangingChars="200" w:hanging="36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val="zh-CN" w:eastAsia="zh-CN"/>
                                </w:rPr>
                                <w:t>ECOG 0-1</w:t>
                              </w:r>
                            </w:p>
                            <w:p w14:paraId="095384CA" w14:textId="77777777" w:rsidR="00C4714A" w:rsidRPr="002623FB" w:rsidRDefault="00C4714A" w:rsidP="004C08C9">
                              <w:pPr>
                                <w:widowControl/>
                                <w:numPr>
                                  <w:ilvl w:val="0"/>
                                  <w:numId w:val="29"/>
                                </w:numPr>
                                <w:autoSpaceDE/>
                                <w:autoSpaceDN/>
                                <w:adjustRightInd w:val="0"/>
                                <w:snapToGrid w:val="0"/>
                                <w:ind w:left="360" w:hangingChars="200" w:hanging="36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val="zh-CN" w:eastAsia="zh-CN"/>
                                </w:rPr>
                                <w:t>N=40</w:t>
                              </w:r>
                            </w:p>
                          </w:txbxContent>
                        </wps:txbx>
                        <wps:bodyPr rot="0" vert="horz" wrap="square" lIns="36000" tIns="36000" rIns="36000" bIns="36000" anchor="ctr" anchorCtr="0">
                          <a:spAutoFit/>
                        </wps:bodyPr>
                      </wps:wsp>
                      <wps:wsp>
                        <wps:cNvPr id="4" name="AutoShape 4"/>
                        <wps:cNvSpPr>
                          <a:spLocks/>
                        </wps:cNvSpPr>
                        <wps:spPr bwMode="auto">
                          <a:xfrm>
                            <a:off x="2352646" y="364473"/>
                            <a:ext cx="1777850" cy="836271"/>
                          </a:xfrm>
                          <a:prstGeom prst="roundRect">
                            <a:avLst>
                              <a:gd name="adj" fmla="val 16667"/>
                            </a:avLst>
                          </a:prstGeom>
                          <a:solidFill>
                            <a:srgbClr val="F1F9F9"/>
                          </a:solidFill>
                          <a:ln w="25400">
                            <a:solidFill>
                              <a:srgbClr val="89A4A7"/>
                            </a:solidFill>
                            <a:round/>
                            <a:headEnd/>
                            <a:tailEnd/>
                          </a:ln>
                        </wps:spPr>
                        <wps:txbx>
                          <w:txbxContent>
                            <w:p w14:paraId="6419DF72" w14:textId="77777777" w:rsidR="00C4714A" w:rsidRPr="001D103B" w:rsidRDefault="00C4714A" w:rsidP="00214EE5">
                              <w:pPr>
                                <w:widowControl/>
                                <w:autoSpaceDE/>
                                <w:autoSpaceDN/>
                                <w:adjustRightInd w:val="0"/>
                                <w:snapToGrid w:val="0"/>
                                <w:jc w:val="both"/>
                                <w:rPr>
                                  <w:rFonts w:ascii="Times New Roman" w:eastAsia="SimSun" w:hAnsi="Times New Roman" w:cs="Times New Roman"/>
                                  <w:sz w:val="18"/>
                                  <w:szCs w:val="28"/>
                                </w:rPr>
                              </w:pPr>
                              <w:r w:rsidRPr="00417E14">
                                <w:rPr>
                                  <w:rFonts w:ascii="Times New Roman" w:eastAsia="SimSun" w:hAnsi="Times New Roman" w:cs="Times New Roman"/>
                                  <w:sz w:val="18"/>
                                  <w:szCs w:val="28"/>
                                </w:rPr>
                                <w:t xml:space="preserve">Niraparib </w:t>
                              </w:r>
                              <w:r w:rsidRPr="001D103B">
                                <w:rPr>
                                  <w:rFonts w:ascii="Times New Roman" w:eastAsia="SimSun" w:hAnsi="Times New Roman" w:cs="Times New Roman"/>
                                  <w:sz w:val="18"/>
                                  <w:szCs w:val="28"/>
                                </w:rPr>
                                <w:t>200 mg or 300 mg QD*</w:t>
                              </w:r>
                            </w:p>
                            <w:p w14:paraId="4F9DFCBE" w14:textId="0535F49D" w:rsidR="00C4714A" w:rsidRPr="001D103B" w:rsidRDefault="00C4714A" w:rsidP="00214EE5">
                              <w:pPr>
                                <w:widowControl/>
                                <w:autoSpaceDE/>
                                <w:autoSpaceDN/>
                                <w:adjustRightInd w:val="0"/>
                                <w:snapToGrid w:val="0"/>
                                <w:jc w:val="both"/>
                                <w:rPr>
                                  <w:rFonts w:ascii="Times New Roman" w:eastAsia="SimSun" w:hAnsi="Times New Roman" w:cs="Times New Roman"/>
                                  <w:sz w:val="18"/>
                                  <w:szCs w:val="28"/>
                                </w:rPr>
                              </w:pPr>
                              <w:r w:rsidRPr="001D103B">
                                <w:rPr>
                                  <w:rFonts w:ascii="Times New Roman" w:eastAsia="SimSun" w:hAnsi="Times New Roman" w:cs="Times New Roman"/>
                                  <w:sz w:val="18"/>
                                  <w:szCs w:val="28"/>
                                </w:rPr>
                                <w:t>+ anlotinib 1</w:t>
                              </w:r>
                              <w:r w:rsidR="001453E8" w:rsidRPr="001D103B">
                                <w:rPr>
                                  <w:rFonts w:ascii="Times New Roman" w:eastAsia="SimSun" w:hAnsi="Times New Roman" w:cs="Times New Roman"/>
                                  <w:sz w:val="18"/>
                                  <w:szCs w:val="28"/>
                                </w:rPr>
                                <w:t>2</w:t>
                              </w:r>
                              <w:r w:rsidRPr="001D103B">
                                <w:rPr>
                                  <w:rFonts w:ascii="Times New Roman" w:eastAsia="SimSun" w:hAnsi="Times New Roman" w:cs="Times New Roman"/>
                                  <w:sz w:val="18"/>
                                  <w:szCs w:val="28"/>
                                </w:rPr>
                                <w:t xml:space="preserve"> mg QD</w:t>
                              </w:r>
                              <w:r w:rsidR="001453E8" w:rsidRPr="001D103B">
                                <w:rPr>
                                  <w:rFonts w:ascii="Times New Roman" w:eastAsia="SimSun" w:hAnsi="Times New Roman" w:cs="Times New Roman"/>
                                  <w:sz w:val="18"/>
                                  <w:szCs w:val="28"/>
                                  <w:vertAlign w:val="superscript"/>
                                </w:rPr>
                                <w:t>†</w:t>
                              </w:r>
                            </w:p>
                            <w:p w14:paraId="7AF5E72D" w14:textId="77777777" w:rsidR="00C4714A" w:rsidRPr="00417E14" w:rsidRDefault="00C4714A" w:rsidP="00214EE5">
                              <w:pPr>
                                <w:widowControl/>
                                <w:autoSpaceDE/>
                                <w:autoSpaceDN/>
                                <w:adjustRightInd w:val="0"/>
                                <w:snapToGrid w:val="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eastAsia="zh-CN"/>
                                </w:rPr>
                                <w:t>D1-D14</w:t>
                              </w:r>
                            </w:p>
                            <w:p w14:paraId="46B2A79A" w14:textId="77777777" w:rsidR="00C4714A" w:rsidRPr="00417E14" w:rsidRDefault="00C4714A" w:rsidP="00214EE5">
                              <w:pPr>
                                <w:widowControl/>
                                <w:autoSpaceDE/>
                                <w:autoSpaceDN/>
                                <w:adjustRightInd w:val="0"/>
                                <w:snapToGrid w:val="0"/>
                                <w:jc w:val="both"/>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(Drug dose adjustment according to DLT</w:t>
                              </w:r>
                              <w:r w:rsidRPr="00214EE5">
                                <w:rPr>
                                  <w:rFonts w:ascii="Times New Roman" w:eastAsia="SimSun" w:hAnsi="Times New Roman" w:cs="Times New Roman"/>
                                  <w:color w:val="000000"/>
                                  <w:sz w:val="18"/>
                                  <w:szCs w:val="28"/>
                                </w:rPr>
                                <w:t>*</w:t>
                              </w:r>
                              <w:r w:rsidRPr="00417E14">
                                <w:rPr>
                                  <w:rFonts w:ascii="Times New Roman" w:eastAsia="SimSun" w:hAnsi="Times New Roman" w:cs="Times New Roman"/>
                                  <w:color w:val="000000"/>
                                  <w:sz w:val="18"/>
                                  <w:szCs w:val="28"/>
                                </w:rPr>
                                <w:t>)</w:t>
                              </w:r>
                            </w:p>
                          </w:txbxContent>
                        </wps:txbx>
                        <wps:bodyPr rot="0" vert="horz" wrap="square" lIns="36000" tIns="36000" rIns="36000" bIns="36000" anchor="ctr" anchorCtr="0">
                          <a:spAutoFit/>
                        </wps:bodyPr>
                      </wps:wsp>
                      <wps:wsp>
                        <wps:cNvPr id="1" name="Line 3"/>
                        <wps:cNvCnPr>
                          <a:cxnSpLocks/>
                          <a:stCxn id="5" idx="3"/>
                          <a:endCxn id="4" idx="1"/>
                        </wps:cNvCnPr>
                        <wps:spPr bwMode="auto">
                          <a:xfrm>
                            <a:off x="2063772" y="782303"/>
                            <a:ext cx="288874" cy="306"/>
                          </a:xfrm>
                          <a:prstGeom prst="line">
                            <a:avLst/>
                          </a:prstGeom>
                          <a:noFill/>
                          <a:ln w="25400">
                            <a:solidFill>
                              <a:srgbClr val="243F60"/>
                            </a:solidFill>
                            <a:round/>
                            <a:headEnd/>
                            <a:tailEnd type="triangle" w="med" len="med"/>
                          </a:ln>
                          <a:extLst>
                            <a:ext uri="{909E8E84-426E-40DD-AFC4-6F175D3DCCD1}">
                              <a14:hiddenFill xmlns:a14="http://schemas.microsoft.com/office/drawing/2010/main">
                                <a:noFill/>
                              </a14:hiddenFill>
                            </a:ext>
                          </a:extLst>
                        </wps:spPr>
                        <wps:bodyPr/>
                      </wps:wsp>
                      <wps:wsp>
                        <wps:cNvPr id="2" name="Line 23"/>
                        <wps:cNvCnPr>
                          <a:cxnSpLocks/>
                          <a:stCxn id="4" idx="3"/>
                          <a:endCxn id="3" idx="1"/>
                        </wps:cNvCnPr>
                        <wps:spPr bwMode="auto">
                          <a:xfrm flipV="1">
                            <a:off x="4130496" y="782123"/>
                            <a:ext cx="289104" cy="486"/>
                          </a:xfrm>
                          <a:prstGeom prst="line">
                            <a:avLst/>
                          </a:prstGeom>
                          <a:noFill/>
                          <a:ln w="25400">
                            <a:solidFill>
                              <a:srgbClr val="243F6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D57E44B" id="组合 6" o:spid="_x0000_s1026" style="width:466.15pt;height:123.2pt;mso-position-horizontal-relative:char;mso-position-vertical-relative:line" coordsize="59200,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">
                <v:roundrect id="AutoShape 21" o:spid="_x0000_s1027" style="position:absolute;left:44187;top:6546;width:15013;height:2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" fillcolor="#f1f9f9" strokecolor="#89a4a7" strokeweight="2pt">
                  <v:path arrowok="t"/>
                  <v:textbox style="mso-fit-shape-to-text:t" inset="1mm,1mm,1mm,1mm">
                    <w:txbxContent>
                      <w:p w14:paraId="6E20BD77" w14:textId="67096C03" w:rsidR="00C4714A" w:rsidRPr="00417E14" w:rsidRDefault="00C4714A" w:rsidP="00214EE5">
                        <w:pPr>
                          <w:widowControl/>
                          <w:autoSpaceDE/>
                          <w:autoSpaceDN/>
                          <w:adjustRightInd w:val="0"/>
                          <w:snapToGrid w:val="0"/>
                          <w:jc w:val="center"/>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PD or intolerable toxicity</w:t>
                        </w:r>
                      </w:p>
                    </w:txbxContent>
                  </v:textbox>
                </v:roundrect>
                <v:roundrect id="矩形: 圆角 2" o:spid="_x0000_s1028" style="position:absolute;width:20635;height:15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" fillcolor="#f1f9f9" strokecolor="#89a4a7" strokeweight="2pt">
                  <v:path arrowok="t"/>
                  <v:textbox style="mso-fit-shape-to-text:t" inset="1mm,1mm,1mm,1mm">
                    <w:txbxContent>
                      <w:p w14:paraId="7911693A" w14:textId="58BF3500" w:rsidR="00C4714A" w:rsidRPr="00417E14"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Histologically diagnosed epithelial ovarian, fallopian tube and primary peritoneal cancer</w:t>
                        </w:r>
                      </w:p>
                      <w:p w14:paraId="2BFEBE99" w14:textId="3A612B06" w:rsidR="00C4714A" w:rsidRPr="00417E14"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Patients with initial platinum-containing treatment, and platinum-resistant recurrence</w:t>
                        </w:r>
                      </w:p>
                      <w:p w14:paraId="66E2B60B" w14:textId="21B5B311" w:rsidR="00C4714A" w:rsidRPr="002623FB" w:rsidRDefault="00C4714A" w:rsidP="004C08C9">
                        <w:pPr>
                          <w:widowControl/>
                          <w:numPr>
                            <w:ilvl w:val="0"/>
                            <w:numId w:val="29"/>
                          </w:numPr>
                          <w:autoSpaceDE/>
                          <w:autoSpaceDN/>
                          <w:adjustRightInd w:val="0"/>
                          <w:snapToGrid w:val="0"/>
                          <w:ind w:left="360" w:hangingChars="200" w:hanging="360"/>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 xml:space="preserve">Previous exposure to first-line </w:t>
                        </w:r>
                        <w:r w:rsidRPr="002623FB">
                          <w:rPr>
                            <w:rFonts w:ascii="Times New Roman" w:eastAsia="SimSun" w:hAnsi="Times New Roman" w:cs="Times New Roman"/>
                            <w:color w:val="000000"/>
                            <w:sz w:val="18"/>
                            <w:szCs w:val="28"/>
                          </w:rPr>
                          <w:t>chemotherapy or above</w:t>
                        </w:r>
                      </w:p>
                      <w:p w14:paraId="226EA242" w14:textId="77777777" w:rsidR="00C4714A" w:rsidRPr="00864F0C" w:rsidRDefault="00C4714A" w:rsidP="004C08C9">
                        <w:pPr>
                          <w:widowControl/>
                          <w:numPr>
                            <w:ilvl w:val="0"/>
                            <w:numId w:val="29"/>
                          </w:numPr>
                          <w:autoSpaceDE/>
                          <w:autoSpaceDN/>
                          <w:adjustRightInd w:val="0"/>
                          <w:snapToGrid w:val="0"/>
                          <w:ind w:left="360" w:hangingChars="200" w:hanging="36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val="zh-CN" w:eastAsia="zh-CN"/>
                          </w:rPr>
                          <w:t>ECOG 0-1</w:t>
                        </w:r>
                      </w:p>
                      <w:p w14:paraId="095384CA" w14:textId="77777777" w:rsidR="00C4714A" w:rsidRPr="002623FB" w:rsidRDefault="00C4714A" w:rsidP="004C08C9">
                        <w:pPr>
                          <w:widowControl/>
                          <w:numPr>
                            <w:ilvl w:val="0"/>
                            <w:numId w:val="29"/>
                          </w:numPr>
                          <w:autoSpaceDE/>
                          <w:autoSpaceDN/>
                          <w:adjustRightInd w:val="0"/>
                          <w:snapToGrid w:val="0"/>
                          <w:ind w:left="360" w:hangingChars="200" w:hanging="36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val="zh-CN" w:eastAsia="zh-CN"/>
                          </w:rPr>
                          <w:t>N=40</w:t>
                        </w:r>
                      </w:p>
                    </w:txbxContent>
                  </v:textbox>
                </v:roundrect>
                <v:roundrect id="AutoShape 4" o:spid="_x0000_s1029" style="position:absolute;left:23526;top:3644;width:17778;height:8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" fillcolor="#f1f9f9" strokecolor="#89a4a7" strokeweight="2pt">
                  <v:path arrowok="t"/>
                  <v:textbox style="mso-fit-shape-to-text:t" inset="1mm,1mm,1mm,1mm">
                    <w:txbxContent>
                      <w:p w14:paraId="6419DF72" w14:textId="77777777" w:rsidR="00C4714A" w:rsidRPr="001D103B" w:rsidRDefault="00C4714A" w:rsidP="00214EE5">
                        <w:pPr>
                          <w:widowControl/>
                          <w:autoSpaceDE/>
                          <w:autoSpaceDN/>
                          <w:adjustRightInd w:val="0"/>
                          <w:snapToGrid w:val="0"/>
                          <w:jc w:val="both"/>
                          <w:rPr>
                            <w:rFonts w:ascii="Times New Roman" w:eastAsia="SimSun" w:hAnsi="Times New Roman" w:cs="Times New Roman"/>
                            <w:sz w:val="18"/>
                            <w:szCs w:val="28"/>
                          </w:rPr>
                        </w:pPr>
                        <w:r w:rsidRPr="00417E14">
                          <w:rPr>
                            <w:rFonts w:ascii="Times New Roman" w:eastAsia="SimSun" w:hAnsi="Times New Roman" w:cs="Times New Roman"/>
                            <w:sz w:val="18"/>
                            <w:szCs w:val="28"/>
                          </w:rPr>
                          <w:t xml:space="preserve">Niraparib </w:t>
                        </w:r>
                        <w:r w:rsidRPr="001D103B">
                          <w:rPr>
                            <w:rFonts w:ascii="Times New Roman" w:eastAsia="SimSun" w:hAnsi="Times New Roman" w:cs="Times New Roman"/>
                            <w:sz w:val="18"/>
                            <w:szCs w:val="28"/>
                          </w:rPr>
                          <w:t>200 mg or 300 mg QD*</w:t>
                        </w:r>
                      </w:p>
                      <w:p w14:paraId="4F9DFCBE" w14:textId="0535F49D" w:rsidR="00C4714A" w:rsidRPr="001D103B" w:rsidRDefault="00C4714A" w:rsidP="00214EE5">
                        <w:pPr>
                          <w:widowControl/>
                          <w:autoSpaceDE/>
                          <w:autoSpaceDN/>
                          <w:adjustRightInd w:val="0"/>
                          <w:snapToGrid w:val="0"/>
                          <w:jc w:val="both"/>
                          <w:rPr>
                            <w:rFonts w:ascii="Times New Roman" w:eastAsia="SimSun" w:hAnsi="Times New Roman" w:cs="Times New Roman"/>
                            <w:sz w:val="18"/>
                            <w:szCs w:val="28"/>
                          </w:rPr>
                        </w:pPr>
                        <w:r w:rsidRPr="001D103B">
                          <w:rPr>
                            <w:rFonts w:ascii="Times New Roman" w:eastAsia="SimSun" w:hAnsi="Times New Roman" w:cs="Times New Roman"/>
                            <w:sz w:val="18"/>
                            <w:szCs w:val="28"/>
                          </w:rPr>
                          <w:t>+ anlotinib 1</w:t>
                        </w:r>
                        <w:r w:rsidR="001453E8" w:rsidRPr="001D103B">
                          <w:rPr>
                            <w:rFonts w:ascii="Times New Roman" w:eastAsia="SimSun" w:hAnsi="Times New Roman" w:cs="Times New Roman"/>
                            <w:sz w:val="18"/>
                            <w:szCs w:val="28"/>
                          </w:rPr>
                          <w:t>2</w:t>
                        </w:r>
                        <w:r w:rsidRPr="001D103B">
                          <w:rPr>
                            <w:rFonts w:ascii="Times New Roman" w:eastAsia="SimSun" w:hAnsi="Times New Roman" w:cs="Times New Roman"/>
                            <w:sz w:val="18"/>
                            <w:szCs w:val="28"/>
                          </w:rPr>
                          <w:t xml:space="preserve"> mg QD</w:t>
                        </w:r>
                        <w:r w:rsidR="001453E8" w:rsidRPr="001D103B">
                          <w:rPr>
                            <w:rFonts w:ascii="Times New Roman" w:eastAsia="SimSun" w:hAnsi="Times New Roman" w:cs="Times New Roman"/>
                            <w:sz w:val="18"/>
                            <w:szCs w:val="28"/>
                            <w:vertAlign w:val="superscript"/>
                          </w:rPr>
                          <w:t>†</w:t>
                        </w:r>
                      </w:p>
                      <w:p w14:paraId="7AF5E72D" w14:textId="77777777" w:rsidR="00C4714A" w:rsidRPr="00417E14" w:rsidRDefault="00C4714A" w:rsidP="00214EE5">
                        <w:pPr>
                          <w:widowControl/>
                          <w:autoSpaceDE/>
                          <w:autoSpaceDN/>
                          <w:adjustRightInd w:val="0"/>
                          <w:snapToGrid w:val="0"/>
                          <w:jc w:val="both"/>
                          <w:rPr>
                            <w:rFonts w:ascii="Times New Roman" w:eastAsia="SimSun" w:hAnsi="Times New Roman" w:cs="Times New Roman"/>
                            <w:color w:val="000000"/>
                            <w:sz w:val="18"/>
                            <w:szCs w:val="28"/>
                          </w:rPr>
                        </w:pPr>
                        <w:r w:rsidRPr="00864F0C">
                          <w:rPr>
                            <w:rFonts w:ascii="Times New Roman" w:eastAsia="SimSun" w:hAnsi="Times New Roman" w:cs="Times New Roman"/>
                            <w:color w:val="000000"/>
                            <w:sz w:val="18"/>
                            <w:szCs w:val="28"/>
                            <w:lang w:eastAsia="zh-CN"/>
                          </w:rPr>
                          <w:t>D1-D14</w:t>
                        </w:r>
                      </w:p>
                      <w:p w14:paraId="46B2A79A" w14:textId="77777777" w:rsidR="00C4714A" w:rsidRPr="00417E14" w:rsidRDefault="00C4714A" w:rsidP="00214EE5">
                        <w:pPr>
                          <w:widowControl/>
                          <w:autoSpaceDE/>
                          <w:autoSpaceDN/>
                          <w:adjustRightInd w:val="0"/>
                          <w:snapToGrid w:val="0"/>
                          <w:jc w:val="both"/>
                          <w:rPr>
                            <w:rFonts w:ascii="Times New Roman" w:eastAsia="SimSun" w:hAnsi="Times New Roman" w:cs="Times New Roman"/>
                            <w:color w:val="000000"/>
                            <w:sz w:val="18"/>
                            <w:szCs w:val="28"/>
                          </w:rPr>
                        </w:pPr>
                        <w:r w:rsidRPr="00417E14">
                          <w:rPr>
                            <w:rFonts w:ascii="Times New Roman" w:eastAsia="SimSun" w:hAnsi="Times New Roman" w:cs="Times New Roman"/>
                            <w:color w:val="000000"/>
                            <w:sz w:val="18"/>
                            <w:szCs w:val="28"/>
                          </w:rPr>
                          <w:t>(Drug dose adjustment according to DLT</w:t>
                        </w:r>
                        <w:r w:rsidRPr="00214EE5">
                          <w:rPr>
                            <w:rFonts w:ascii="Times New Roman" w:eastAsia="SimSun" w:hAnsi="Times New Roman" w:cs="Times New Roman"/>
                            <w:color w:val="000000"/>
                            <w:sz w:val="18"/>
                            <w:szCs w:val="28"/>
                          </w:rPr>
                          <w:t>*</w:t>
                        </w:r>
                        <w:r w:rsidRPr="00417E14">
                          <w:rPr>
                            <w:rFonts w:ascii="Times New Roman" w:eastAsia="SimSun" w:hAnsi="Times New Roman" w:cs="Times New Roman"/>
                            <w:color w:val="000000"/>
                            <w:sz w:val="18"/>
                            <w:szCs w:val="28"/>
                          </w:rPr>
                          <w:t>)</w:t>
                        </w:r>
                      </w:p>
                    </w:txbxContent>
                  </v:textbox>
                </v:roundrect>
                <v:line id="Line 3" o:spid="_x0000_s1030" style="position:absolute;visibility:visible;mso-wrap-style:square" from="20637,7823" to="23526,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" strokecolor="#243f60" strokeweight="2pt">
                  <v:stroke endarrow="block"/>
                  <o:lock v:ext="edit" shapetype="f"/>
                </v:line>
                <v:line id="Line 23" o:spid="_x0000_s1031" style="position:absolute;flip:y;visibility:visible;mso-wrap-style:square" from="41304,7821" to="44196,7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" strokecolor="#243f60" strokeweight="2pt">
                  <v:stroke endarrow="block"/>
                  <o:lock v:ext="edit" shapetype="f"/>
                </v:line>
                <w10:anchorlock/>
              </v:group>
            </w:pict>
          </mc:Fallback>
        </mc:AlternateContent>
      </w:r>
    </w:p>
    <w:p w14:paraId="62E476A3" w14:textId="7745E434" w:rsidR="001453E8" w:rsidRDefault="004733E0" w:rsidP="001453E8">
      <w:pPr>
        <w:pStyle w:val="BodyText"/>
        <w:widowControl/>
        <w:autoSpaceDE/>
        <w:autoSpaceDN/>
        <w:adjustRightInd w:val="0"/>
        <w:snapToGrid w:val="0"/>
        <w:spacing w:beforeLines="15" w:before="36" w:line="276" w:lineRule="auto"/>
        <w:ind w:left="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w:t>
      </w:r>
      <w:r w:rsidR="001453E8">
        <w:rPr>
          <w:rFonts w:ascii="Times New Roman" w:eastAsia="SimSun" w:hAnsi="Times New Roman" w:cs="Times New Roman"/>
          <w:snapToGrid w:val="0"/>
          <w:color w:val="000000" w:themeColor="text1"/>
          <w:sz w:val="21"/>
          <w:szCs w:val="21"/>
        </w:rPr>
        <w:t xml:space="preserve"> </w:t>
      </w:r>
      <w:r w:rsidRPr="00B942CD">
        <w:rPr>
          <w:rFonts w:ascii="Times New Roman" w:eastAsia="SimSun" w:hAnsi="Times New Roman" w:cs="Times New Roman"/>
          <w:snapToGrid w:val="0"/>
          <w:color w:val="000000" w:themeColor="text1"/>
          <w:sz w:val="21"/>
          <w:szCs w:val="21"/>
        </w:rPr>
        <w:t>The starting dose and dose reduction regimen of niraparib are as indicated in 4.3 dose modification of study drug</w:t>
      </w:r>
    </w:p>
    <w:p w14:paraId="4EB12CEB" w14:textId="32B9D663" w:rsidR="001453E8" w:rsidRDefault="001453E8" w:rsidP="001453E8">
      <w:pPr>
        <w:pStyle w:val="BodyText"/>
        <w:widowControl/>
        <w:autoSpaceDE/>
        <w:autoSpaceDN/>
        <w:adjustRightInd w:val="0"/>
        <w:snapToGrid w:val="0"/>
        <w:spacing w:beforeLines="15" w:before="36" w:line="276" w:lineRule="auto"/>
        <w:ind w:left="0"/>
        <w:jc w:val="both"/>
        <w:rPr>
          <w:rFonts w:ascii="Times New Roman" w:eastAsia="SimSun" w:hAnsi="Times New Roman" w:cs="Times New Roman"/>
          <w:snapToGrid w:val="0"/>
          <w:color w:val="000000" w:themeColor="text1"/>
          <w:sz w:val="21"/>
          <w:szCs w:val="21"/>
        </w:rPr>
      </w:pPr>
      <w:r w:rsidRPr="001453E8">
        <w:rPr>
          <w:rFonts w:ascii="Times New Roman" w:eastAsia="SimSun" w:hAnsi="Times New Roman" w:cs="Times New Roman"/>
          <w:snapToGrid w:val="0"/>
          <w:color w:val="000000" w:themeColor="text1"/>
          <w:sz w:val="21"/>
          <w:szCs w:val="21"/>
        </w:rPr>
        <w:t>†</w:t>
      </w:r>
      <w:r>
        <w:rPr>
          <w:rFonts w:ascii="Times New Roman" w:eastAsia="SimSun" w:hAnsi="Times New Roman" w:cs="Times New Roman"/>
          <w:snapToGrid w:val="0"/>
          <w:color w:val="000000" w:themeColor="text1"/>
          <w:sz w:val="21"/>
          <w:szCs w:val="21"/>
        </w:rPr>
        <w:t xml:space="preserve"> </w:t>
      </w:r>
      <w:r w:rsidR="007B5329" w:rsidRPr="007B5329">
        <w:rPr>
          <w:rFonts w:ascii="Times New Roman" w:eastAsia="SimSun" w:hAnsi="Times New Roman" w:cs="Times New Roman"/>
          <w:snapToGrid w:val="0"/>
          <w:color w:val="000000" w:themeColor="text1"/>
          <w:sz w:val="21"/>
          <w:szCs w:val="21"/>
        </w:rPr>
        <w:t xml:space="preserve">Due to toxicities observed in the first 23 patients, the initial dose was lowered to 10mg </w:t>
      </w:r>
      <w:r w:rsidR="007B5329">
        <w:rPr>
          <w:rFonts w:ascii="Times New Roman" w:eastAsia="SimSun" w:hAnsi="Times New Roman" w:cs="Times New Roman" w:hint="eastAsia"/>
          <w:snapToGrid w:val="0"/>
          <w:color w:val="000000" w:themeColor="text1"/>
          <w:sz w:val="21"/>
          <w:szCs w:val="21"/>
          <w:lang w:eastAsia="zh-CN"/>
        </w:rPr>
        <w:t>QD</w:t>
      </w:r>
      <w:r w:rsidR="007B5329">
        <w:rPr>
          <w:rFonts w:ascii="Times New Roman" w:eastAsia="SimSun" w:hAnsi="Times New Roman" w:cs="Times New Roman"/>
          <w:snapToGrid w:val="0"/>
          <w:color w:val="000000" w:themeColor="text1"/>
          <w:sz w:val="21"/>
          <w:szCs w:val="21"/>
        </w:rPr>
        <w:t xml:space="preserve"> </w:t>
      </w:r>
      <w:r w:rsidR="007B5329" w:rsidRPr="007B5329">
        <w:rPr>
          <w:rFonts w:ascii="Times New Roman" w:eastAsia="SimSun" w:hAnsi="Times New Roman" w:cs="Times New Roman"/>
          <w:snapToGrid w:val="0"/>
          <w:color w:val="000000" w:themeColor="text1"/>
          <w:sz w:val="21"/>
          <w:szCs w:val="21"/>
        </w:rPr>
        <w:t>on November 25, 2020</w:t>
      </w:r>
      <w:r w:rsidR="007B5329">
        <w:rPr>
          <w:rFonts w:ascii="Times New Roman" w:eastAsia="SimSun" w:hAnsi="Times New Roman" w:cs="Times New Roman"/>
          <w:snapToGrid w:val="0"/>
          <w:color w:val="000000" w:themeColor="text1"/>
          <w:sz w:val="21"/>
          <w:szCs w:val="21"/>
        </w:rPr>
        <w:t xml:space="preserve"> through protocol amendment.</w:t>
      </w:r>
    </w:p>
    <w:p w14:paraId="54E5A22B" w14:textId="77777777" w:rsidR="001453E8" w:rsidRPr="00B942CD" w:rsidRDefault="001453E8" w:rsidP="00AA119C">
      <w:pPr>
        <w:pStyle w:val="BodyText"/>
        <w:widowControl/>
        <w:autoSpaceDE/>
        <w:autoSpaceDN/>
        <w:adjustRightInd w:val="0"/>
        <w:snapToGrid w:val="0"/>
        <w:spacing w:beforeLines="15" w:before="36" w:line="276" w:lineRule="auto"/>
        <w:ind w:left="420" w:hanging="420"/>
        <w:jc w:val="both"/>
        <w:rPr>
          <w:rFonts w:ascii="Times New Roman" w:eastAsia="SimSun" w:hAnsi="Times New Roman" w:cs="Times New Roman"/>
          <w:snapToGrid w:val="0"/>
          <w:color w:val="000000" w:themeColor="text1"/>
          <w:sz w:val="21"/>
          <w:szCs w:val="21"/>
        </w:rPr>
      </w:pPr>
    </w:p>
    <w:p w14:paraId="5EF7DABA" w14:textId="2FCE3E1F" w:rsidR="004733E0" w:rsidRPr="00B942CD" w:rsidRDefault="004733E0" w:rsidP="00AA119C">
      <w:pPr>
        <w:pStyle w:val="Heading2"/>
        <w:rPr>
          <w:rFonts w:cs="Times New Roman"/>
        </w:rPr>
      </w:pPr>
      <w:bookmarkStart w:id="55" w:name="2.2_Primary_Objective"/>
      <w:bookmarkStart w:id="56" w:name="2.3_Secondary_Objectives"/>
      <w:bookmarkStart w:id="57" w:name="_bookmark16"/>
      <w:bookmarkStart w:id="58" w:name="_bookmark17"/>
      <w:bookmarkStart w:id="59" w:name="_Toc98358602"/>
      <w:bookmarkEnd w:id="55"/>
      <w:bookmarkEnd w:id="56"/>
      <w:bookmarkEnd w:id="57"/>
      <w:bookmarkEnd w:id="58"/>
      <w:r w:rsidRPr="00B942CD">
        <w:rPr>
          <w:rFonts w:cs="Times New Roman"/>
        </w:rPr>
        <w:t xml:space="preserve">Primary </w:t>
      </w:r>
      <w:r w:rsidR="00255560" w:rsidRPr="00B942CD">
        <w:rPr>
          <w:rFonts w:cs="Times New Roman"/>
        </w:rPr>
        <w:t>Objective</w:t>
      </w:r>
      <w:bookmarkEnd w:id="59"/>
    </w:p>
    <w:p w14:paraId="658F0B7B" w14:textId="214F6073" w:rsidR="004733E0" w:rsidRPr="00B942CD" w:rsidRDefault="004733E0" w:rsidP="004C08C9">
      <w:pPr>
        <w:pStyle w:val="ListParagraph"/>
        <w:widowControl/>
        <w:numPr>
          <w:ilvl w:val="2"/>
          <w:numId w:val="6"/>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 explore the anti-cancer activity of niraparib in combination with anlotinib for the treatment of platinum-resistant recurrent ovarian cancer.</w:t>
      </w:r>
    </w:p>
    <w:p w14:paraId="285A68D1" w14:textId="3F1AE32A" w:rsidR="004733E0" w:rsidRPr="00B942CD" w:rsidRDefault="004733E0" w:rsidP="00AA119C">
      <w:pPr>
        <w:pStyle w:val="Heading2"/>
        <w:rPr>
          <w:rFonts w:cs="Times New Roman"/>
        </w:rPr>
      </w:pPr>
      <w:bookmarkStart w:id="60" w:name="_Toc98358603"/>
      <w:r w:rsidRPr="00B942CD">
        <w:rPr>
          <w:rFonts w:cs="Times New Roman"/>
        </w:rPr>
        <w:t xml:space="preserve">Secondary </w:t>
      </w:r>
      <w:r w:rsidR="00255560" w:rsidRPr="00B942CD">
        <w:rPr>
          <w:rFonts w:cs="Times New Roman"/>
        </w:rPr>
        <w:t>Objectives</w:t>
      </w:r>
      <w:bookmarkEnd w:id="60"/>
    </w:p>
    <w:p w14:paraId="2F73EFDF" w14:textId="77777777" w:rsidR="004733E0" w:rsidRPr="00B942CD" w:rsidRDefault="004733E0" w:rsidP="004C08C9">
      <w:pPr>
        <w:pStyle w:val="ListParagraph"/>
        <w:widowControl/>
        <w:numPr>
          <w:ilvl w:val="2"/>
          <w:numId w:val="1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 evaluate safety data of niraparib in combination with anlotinib.</w:t>
      </w:r>
    </w:p>
    <w:p w14:paraId="0DC5FE9A" w14:textId="5AF7D832" w:rsidR="004733E0" w:rsidRPr="00B942CD" w:rsidRDefault="004733E0" w:rsidP="004C08C9">
      <w:pPr>
        <w:pStyle w:val="ListParagraph"/>
        <w:widowControl/>
        <w:numPr>
          <w:ilvl w:val="2"/>
          <w:numId w:val="1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 evaluate PFS, platinum-free interval, and duration of response (DOR) of patients with platinum-resistant recurrent ovarian cancer treated with niraparib in combination with anlotinib.</w:t>
      </w:r>
    </w:p>
    <w:p w14:paraId="7FC52372" w14:textId="08910582" w:rsidR="004733E0" w:rsidRPr="00B942CD" w:rsidRDefault="004733E0" w:rsidP="004C08C9">
      <w:pPr>
        <w:pStyle w:val="ListParagraph"/>
        <w:widowControl/>
        <w:numPr>
          <w:ilvl w:val="2"/>
          <w:numId w:val="1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bookmarkStart w:id="61" w:name="2.4_Exploratory_Objectives"/>
      <w:bookmarkStart w:id="62" w:name="_bookmark18"/>
      <w:bookmarkEnd w:id="61"/>
      <w:bookmarkEnd w:id="62"/>
      <w:r w:rsidRPr="00B942CD">
        <w:rPr>
          <w:rFonts w:ascii="Times New Roman" w:eastAsia="SimSun" w:hAnsi="Times New Roman" w:cs="Times New Roman"/>
          <w:snapToGrid w:val="0"/>
          <w:color w:val="000000" w:themeColor="text1"/>
          <w:sz w:val="24"/>
        </w:rPr>
        <w:t xml:space="preserve">To evaluate the anti-cancer activity of niraparib in combination with anlotinib in patients with platinum-resistant recurrent ovarian cancer in various groups with </w:t>
      </w:r>
      <w:r w:rsidRPr="001D103B">
        <w:rPr>
          <w:rFonts w:ascii="Times New Roman" w:eastAsia="SimSun" w:hAnsi="Times New Roman" w:cs="Times New Roman"/>
          <w:i/>
          <w:iCs/>
          <w:snapToGrid w:val="0"/>
          <w:color w:val="000000" w:themeColor="text1"/>
          <w:sz w:val="24"/>
        </w:rPr>
        <w:t>BRCA</w:t>
      </w:r>
      <w:r w:rsidRPr="00B942CD">
        <w:rPr>
          <w:rFonts w:ascii="Times New Roman" w:eastAsia="SimSun" w:hAnsi="Times New Roman" w:cs="Times New Roman"/>
          <w:snapToGrid w:val="0"/>
          <w:color w:val="000000" w:themeColor="text1"/>
          <w:sz w:val="24"/>
        </w:rPr>
        <w:t xml:space="preserve"> mutation status (Yes or No) as a stratification factor.</w:t>
      </w:r>
    </w:p>
    <w:p w14:paraId="48EDD3E2" w14:textId="5E789128" w:rsidR="004733E0" w:rsidRPr="00B942CD" w:rsidRDefault="004733E0" w:rsidP="00AA119C">
      <w:pPr>
        <w:pStyle w:val="Heading2"/>
        <w:rPr>
          <w:rFonts w:cs="Times New Roman"/>
        </w:rPr>
      </w:pPr>
      <w:bookmarkStart w:id="63" w:name="2.5_Inclusion_Criteria"/>
      <w:bookmarkStart w:id="64" w:name="_bookmark19"/>
      <w:bookmarkStart w:id="65" w:name="_Toc98358604"/>
      <w:bookmarkEnd w:id="63"/>
      <w:bookmarkEnd w:id="64"/>
      <w:r w:rsidRPr="00B942CD">
        <w:rPr>
          <w:rFonts w:cs="Times New Roman"/>
        </w:rPr>
        <w:t xml:space="preserve">Inclusion </w:t>
      </w:r>
      <w:r w:rsidR="00255560" w:rsidRPr="00B942CD">
        <w:rPr>
          <w:rFonts w:cs="Times New Roman"/>
        </w:rPr>
        <w:t>Criteria</w:t>
      </w:r>
      <w:bookmarkEnd w:id="65"/>
    </w:p>
    <w:p w14:paraId="66E66E86" w14:textId="66128FED"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understand the trial process, and have signed the informed consent form, and agree to participate in the study</w:t>
      </w:r>
    </w:p>
    <w:p w14:paraId="312AFA53" w14:textId="71285A26"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Women aged 18 to 70 years (inclusive)</w:t>
      </w:r>
    </w:p>
    <w:p w14:paraId="58D20E5A" w14:textId="012229F1"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Histologically diagnosed epithelial ovarian, fallopian tube and primary peritoneal cancer</w:t>
      </w:r>
    </w:p>
    <w:p w14:paraId="0D7D887C" w14:textId="6E5CD6E9"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the disease recurrence within 6 months after the end of the latest platinum-containing chemotherapy, that is, platinum resistance relapsed</w:t>
      </w:r>
    </w:p>
    <w:p w14:paraId="23E9C534" w14:textId="7288563C"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Life expectancy&gt;16 weeks</w:t>
      </w:r>
    </w:p>
    <w:p w14:paraId="5A3F32A8" w14:textId="736127C4"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ECOG PS of 0-1</w:t>
      </w:r>
    </w:p>
    <w:p w14:paraId="45873DE8" w14:textId="2C37DA58"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Patients who agree to take blood samples for </w:t>
      </w:r>
      <w:proofErr w:type="spellStart"/>
      <w:r w:rsidRPr="00B942CD">
        <w:rPr>
          <w:rFonts w:ascii="Times New Roman" w:eastAsia="SimSun" w:hAnsi="Times New Roman" w:cs="Times New Roman"/>
          <w:snapToGrid w:val="0"/>
          <w:color w:val="000000" w:themeColor="text1"/>
          <w:sz w:val="24"/>
          <w:szCs w:val="24"/>
        </w:rPr>
        <w:t>g</w:t>
      </w:r>
      <w:r w:rsidRPr="00B942CD">
        <w:rPr>
          <w:rFonts w:ascii="Times New Roman" w:eastAsia="SimSun" w:hAnsi="Times New Roman" w:cs="Times New Roman"/>
          <w:i/>
          <w:iCs/>
          <w:snapToGrid w:val="0"/>
          <w:color w:val="000000" w:themeColor="text1"/>
          <w:sz w:val="24"/>
          <w:szCs w:val="24"/>
        </w:rPr>
        <w:t>BRCA</w:t>
      </w:r>
      <w:proofErr w:type="spellEnd"/>
      <w:r w:rsidRPr="00B942CD">
        <w:rPr>
          <w:rFonts w:ascii="Times New Roman" w:eastAsia="SimSun" w:hAnsi="Times New Roman" w:cs="Times New Roman"/>
          <w:snapToGrid w:val="0"/>
          <w:color w:val="000000" w:themeColor="text1"/>
          <w:sz w:val="24"/>
          <w:szCs w:val="24"/>
        </w:rPr>
        <w:t xml:space="preserve"> mutations</w:t>
      </w:r>
    </w:p>
    <w:p w14:paraId="705ED62E" w14:textId="75C01AB0"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Patients who can provide formalin-fixed, paraffin-embedded tumor tissue samples for </w:t>
      </w:r>
      <w:proofErr w:type="spellStart"/>
      <w:r w:rsidRPr="00B942CD">
        <w:rPr>
          <w:rFonts w:ascii="Times New Roman" w:eastAsia="SimSun" w:hAnsi="Times New Roman" w:cs="Times New Roman"/>
          <w:snapToGrid w:val="0"/>
          <w:color w:val="000000" w:themeColor="text1"/>
          <w:sz w:val="24"/>
        </w:rPr>
        <w:t>s</w:t>
      </w:r>
      <w:r w:rsidRPr="00B942CD">
        <w:rPr>
          <w:rFonts w:ascii="Times New Roman" w:eastAsia="SimSun" w:hAnsi="Times New Roman" w:cs="Times New Roman"/>
          <w:i/>
          <w:iCs/>
          <w:snapToGrid w:val="0"/>
          <w:color w:val="000000" w:themeColor="text1"/>
          <w:sz w:val="24"/>
        </w:rPr>
        <w:t>BRCA</w:t>
      </w:r>
      <w:proofErr w:type="spellEnd"/>
      <w:r w:rsidRPr="00B942CD">
        <w:rPr>
          <w:rFonts w:ascii="Times New Roman" w:eastAsia="SimSun" w:hAnsi="Times New Roman" w:cs="Times New Roman"/>
          <w:snapToGrid w:val="0"/>
          <w:color w:val="000000" w:themeColor="text1"/>
          <w:sz w:val="24"/>
        </w:rPr>
        <w:t xml:space="preserve"> and homologous recombination repair-related genes detection (optional)</w:t>
      </w:r>
    </w:p>
    <w:p w14:paraId="014B87F1" w14:textId="65CCBF08" w:rsidR="004733E0" w:rsidRPr="00B942CD" w:rsidRDefault="004733E0" w:rsidP="004C08C9">
      <w:pPr>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Organ function is in good condition, including:</w:t>
      </w:r>
    </w:p>
    <w:p w14:paraId="49AAEB50" w14:textId="77777777"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Neutrophil count ≥ 1,500/µL</w:t>
      </w:r>
    </w:p>
    <w:p w14:paraId="3D122FD6" w14:textId="77777777"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Platelet count ≥100,000/µL</w:t>
      </w:r>
    </w:p>
    <w:p w14:paraId="7DC1E687" w14:textId="7AC981BA"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Haemoglobin</w:t>
      </w:r>
      <w:proofErr w:type="spellEnd"/>
      <w:r w:rsidRPr="00B942CD">
        <w:rPr>
          <w:rFonts w:ascii="Times New Roman" w:eastAsia="SimSun" w:hAnsi="Times New Roman" w:cs="Times New Roman"/>
          <w:snapToGrid w:val="0"/>
          <w:color w:val="000000" w:themeColor="text1"/>
          <w:sz w:val="24"/>
        </w:rPr>
        <w:t xml:space="preserve"> ≥ 9 g/dL</w:t>
      </w:r>
    </w:p>
    <w:p w14:paraId="12B5B551" w14:textId="720192BF"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Serum creatinine ≤ 1.5 × upper limit of normal (ULN), or creatinine clearance rate ≥ 60 mL/min (calculated according to Cockcroft-Gault formula)</w:t>
      </w:r>
    </w:p>
    <w:p w14:paraId="5FF9AA08" w14:textId="77777777"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Total bilirubin ≤ 1.5 × ULN or direct bilirubin ≤ 1.0 × ULN</w:t>
      </w:r>
    </w:p>
    <w:p w14:paraId="07FCEB4C" w14:textId="5137C685" w:rsidR="004733E0" w:rsidRPr="00B942CD" w:rsidRDefault="004733E0" w:rsidP="004C08C9">
      <w:pPr>
        <w:pStyle w:val="ListParagraph"/>
        <w:widowControl/>
        <w:numPr>
          <w:ilvl w:val="0"/>
          <w:numId w:val="17"/>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AST and ALT ≤ 2.5 × ULN, or ≤ 5 × ULN in the presence of hepatic metastasis.</w:t>
      </w:r>
    </w:p>
    <w:p w14:paraId="0CDB75CA" w14:textId="2543DEB3" w:rsidR="004733E0" w:rsidRPr="00B942CD" w:rsidRDefault="004733E0" w:rsidP="004C08C9">
      <w:pPr>
        <w:pStyle w:val="ListParagraph"/>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Only women of childbearing potential who have a negative pregnancy test result at enrollment, and promise to adopt effective contraception or be abstinent from the start to the end of the study and within 3 months after the last dose of the study drug can be enrolled into the study. Or females of non-childbearing potential may be enrolled in the study, defined as follows:</w:t>
      </w:r>
    </w:p>
    <w:p w14:paraId="5A427C2E" w14:textId="37C341A2" w:rsidR="004733E0" w:rsidRPr="00B942CD" w:rsidRDefault="004733E0" w:rsidP="004C08C9">
      <w:pPr>
        <w:pStyle w:val="ListParagraph"/>
        <w:widowControl/>
        <w:numPr>
          <w:ilvl w:val="0"/>
          <w:numId w:val="18"/>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 female who has been surgically sterilized (hysterectomy, bilateral oophorectomy or bilateral salpingectomy); or</w:t>
      </w:r>
    </w:p>
    <w:p w14:paraId="43A2DA96" w14:textId="58B9BE10" w:rsidR="004733E0" w:rsidRPr="00B942CD" w:rsidRDefault="004733E0" w:rsidP="004C08C9">
      <w:pPr>
        <w:pStyle w:val="ListParagraph"/>
        <w:widowControl/>
        <w:numPr>
          <w:ilvl w:val="0"/>
          <w:numId w:val="18"/>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 female aged 60 years or older; or</w:t>
      </w:r>
    </w:p>
    <w:p w14:paraId="59A87938" w14:textId="44253B4D" w:rsidR="004733E0" w:rsidRPr="00B942CD" w:rsidRDefault="004733E0" w:rsidP="004C08C9">
      <w:pPr>
        <w:pStyle w:val="ListParagraph"/>
        <w:widowControl/>
        <w:numPr>
          <w:ilvl w:val="0"/>
          <w:numId w:val="18"/>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 female, aged ≥40 years and &lt;60 years, with a period of </w:t>
      </w:r>
      <w:proofErr w:type="spellStart"/>
      <w:r w:rsidRPr="00B942CD">
        <w:rPr>
          <w:rFonts w:ascii="Times New Roman" w:eastAsia="SimSun" w:hAnsi="Times New Roman" w:cs="Times New Roman"/>
          <w:snapToGrid w:val="0"/>
          <w:color w:val="000000" w:themeColor="text1"/>
          <w:sz w:val="24"/>
        </w:rPr>
        <w:t>menolipsis</w:t>
      </w:r>
      <w:proofErr w:type="spellEnd"/>
      <w:r w:rsidRPr="00B942CD">
        <w:rPr>
          <w:rFonts w:ascii="Times New Roman" w:eastAsia="SimSun" w:hAnsi="Times New Roman" w:cs="Times New Roman"/>
          <w:snapToGrid w:val="0"/>
          <w:color w:val="000000" w:themeColor="text1"/>
          <w:sz w:val="24"/>
        </w:rPr>
        <w:t xml:space="preserve"> for 12 months or longer, whose follicle-stimulating hormone test results are within the post-menopause reference range of the study institution.</w:t>
      </w:r>
    </w:p>
    <w:p w14:paraId="2F3F332F" w14:textId="6360C912" w:rsidR="004733E0" w:rsidRPr="00B942CD" w:rsidRDefault="004733E0" w:rsidP="004C08C9">
      <w:pPr>
        <w:pStyle w:val="ListParagraph"/>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are capable of complying with the protocol</w:t>
      </w:r>
    </w:p>
    <w:p w14:paraId="269B63BF" w14:textId="31EBDC67" w:rsidR="004733E0" w:rsidRPr="00B942CD" w:rsidRDefault="004733E0" w:rsidP="004C08C9">
      <w:pPr>
        <w:pStyle w:val="ListParagraph"/>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Any previous chemotherapy-induced toxic and side effect of the patient has restored to CTCAE grade ≤1 or the baseline level, except for CTCAE grade ≤2 symptomatically stable sensory neuropathy or alopecia.</w:t>
      </w:r>
    </w:p>
    <w:p w14:paraId="324E6FC7" w14:textId="77777777" w:rsidR="003B08AA" w:rsidRPr="00B942CD" w:rsidRDefault="003B08AA" w:rsidP="004C08C9">
      <w:pPr>
        <w:pStyle w:val="ListParagraph"/>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There is at least one measurable lesion before enrollment (according to RECIST 1.1);</w:t>
      </w:r>
    </w:p>
    <w:p w14:paraId="0622F386" w14:textId="76E2EE82" w:rsidR="003B08AA" w:rsidRPr="00B942CD" w:rsidRDefault="003B08AA" w:rsidP="004C08C9">
      <w:pPr>
        <w:pStyle w:val="ListParagraph"/>
        <w:widowControl/>
        <w:numPr>
          <w:ilvl w:val="0"/>
          <w:numId w:val="1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 previous chemotherapy, radiotherapy, targeted therapy, immunotherapy or other anti-cancer treatments should be completed more than 4 weeks ago before the first dose of the study drug (more than 6 weeks for chemotherapy regimen containing mitomycin).</w:t>
      </w:r>
    </w:p>
    <w:p w14:paraId="05E50113" w14:textId="07CCBC28" w:rsidR="004733E0" w:rsidRPr="00B942CD" w:rsidRDefault="004733E0" w:rsidP="00AA119C">
      <w:pPr>
        <w:pStyle w:val="Heading2"/>
        <w:rPr>
          <w:rFonts w:cs="Times New Roman"/>
        </w:rPr>
      </w:pPr>
      <w:bookmarkStart w:id="66" w:name="_Toc98358605"/>
      <w:r w:rsidRPr="00B942CD">
        <w:rPr>
          <w:rFonts w:cs="Times New Roman"/>
        </w:rPr>
        <w:lastRenderedPageBreak/>
        <w:t xml:space="preserve">Exclusion </w:t>
      </w:r>
      <w:r w:rsidR="00255560" w:rsidRPr="00B942CD">
        <w:rPr>
          <w:rFonts w:cs="Times New Roman"/>
        </w:rPr>
        <w:t>Criteria</w:t>
      </w:r>
      <w:bookmarkEnd w:id="66"/>
    </w:p>
    <w:p w14:paraId="3D66DB84" w14:textId="7AE4DF38" w:rsidR="00746C99" w:rsidRPr="00B942CD" w:rsidRDefault="00746C99"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bookmarkStart w:id="67" w:name="2.6_Exclusion_Criteria"/>
      <w:bookmarkStart w:id="68" w:name="2.7_Patient_Withdrawal_and_Replacement"/>
      <w:bookmarkStart w:id="69" w:name="_bookmark20"/>
      <w:bookmarkStart w:id="70" w:name="_bookmark21"/>
      <w:bookmarkEnd w:id="67"/>
      <w:bookmarkEnd w:id="68"/>
      <w:bookmarkEnd w:id="69"/>
      <w:bookmarkEnd w:id="70"/>
      <w:r w:rsidRPr="00B942CD">
        <w:rPr>
          <w:rFonts w:ascii="Times New Roman" w:eastAsia="SimSun" w:hAnsi="Times New Roman" w:cs="Times New Roman"/>
          <w:snapToGrid w:val="0"/>
          <w:color w:val="000000" w:themeColor="text1"/>
          <w:sz w:val="24"/>
        </w:rPr>
        <w:t>Have previously received any PARP inhibitor treatment</w:t>
      </w:r>
    </w:p>
    <w:p w14:paraId="2E0037D6" w14:textId="740FCEE2"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People who are known to be allergic to niraparib or active or inactive ingredients of drugs with similar chemical structure</w:t>
      </w:r>
    </w:p>
    <w:p w14:paraId="596AE143" w14:textId="6ABAA6E0"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People who are known to be allergic to anlotinib or active or inactive ingredients of drugs with similar chemical structure</w:t>
      </w:r>
    </w:p>
    <w:p w14:paraId="74509CFB" w14:textId="61B4A2AC"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Symptomatic, uncontrolled brain or leptomeningeal metastases. No imaging scans are required to confirm no brain metastases; patients with spinal cord compression may still be considered for enrollment if they have been treated with targeted therapy with evidence of clinical stabilization of the disease for at least &gt; 28 days (metastases to central nervous system that are under control must have been treated with therapies such as radiotherapy or chemotherapy at least 1 month prior to enrollment; patients may not develop new symptoms associated with central nervous system lesions or symptoms suggestive of PD, and patients either take a stable dose of hormone or do not need to take hormone)</w:t>
      </w:r>
    </w:p>
    <w:p w14:paraId="53A33AA0" w14:textId="77777777"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underwent a major surgery within 3 weeks prior to the start of the study, or have any surgical effects that have not been recovered after surgery, or have received chemotherapy</w:t>
      </w:r>
    </w:p>
    <w:p w14:paraId="380CE644" w14:textId="69D18470"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received palliative radiotherapy of &gt; 20% bone marrow 1 week before enrollment</w:t>
      </w:r>
    </w:p>
    <w:p w14:paraId="61EA85E2" w14:textId="1CABB649"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invasive cancer other than ovarian cancer (except fully treated basal or squamous cell carcinomas of the skin) within 2 years before enrollment</w:t>
      </w:r>
    </w:p>
    <w:p w14:paraId="7D1F1E5E" w14:textId="07422447"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with central lung squamous cell carcinoma or at risk for massive hemoptysis (such as bronchiectasis, untreated tuberculosis)</w:t>
      </w:r>
    </w:p>
    <w:p w14:paraId="2DDCF23D" w14:textId="4DBBD632"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been previously or are currently diagnosed with myelodysplastic syndrome (MDS) or acute myeloid leukemia (AML)</w:t>
      </w:r>
    </w:p>
    <w:p w14:paraId="1045CBD4" w14:textId="3A152028" w:rsidR="004733E0" w:rsidRPr="00B942CD" w:rsidRDefault="004733E0" w:rsidP="004C08C9">
      <w:pPr>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have severe or uncontrolled diseases, including but not limited to:</w:t>
      </w:r>
    </w:p>
    <w:p w14:paraId="60A94A4C" w14:textId="577F748C" w:rsidR="004733E0" w:rsidRPr="00B942CD" w:rsidRDefault="004733E0" w:rsidP="004C08C9">
      <w:pPr>
        <w:pStyle w:val="ListParagraph"/>
        <w:widowControl/>
        <w:numPr>
          <w:ilvl w:val="0"/>
          <w:numId w:val="19"/>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Uncontrolled nausea and vomiting, inability to swallow the study drugs, or any gastrointestinal diseases that may intervene with and influence drug absorption and metabolism</w:t>
      </w:r>
    </w:p>
    <w:p w14:paraId="59942DFC" w14:textId="77777777" w:rsidR="004733E0" w:rsidRPr="00B942CD" w:rsidRDefault="004733E0" w:rsidP="004C08C9">
      <w:pPr>
        <w:pStyle w:val="ListParagraph"/>
        <w:widowControl/>
        <w:numPr>
          <w:ilvl w:val="0"/>
          <w:numId w:val="19"/>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Active viral infections such as human immunodeficiency virus, hepatitis B, hepatitis C infection, etc.</w:t>
      </w:r>
    </w:p>
    <w:p w14:paraId="24B4F75D" w14:textId="77777777" w:rsidR="004733E0" w:rsidRPr="00B942CD" w:rsidRDefault="004733E0" w:rsidP="004C08C9">
      <w:pPr>
        <w:pStyle w:val="ListParagraph"/>
        <w:widowControl/>
        <w:numPr>
          <w:ilvl w:val="0"/>
          <w:numId w:val="19"/>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Uncontrolled grand mal seizure, unstable spinal cord compression, superior vena cava syndrome or other mental disorders influencing subjects to sign informed consent forms</w:t>
      </w:r>
    </w:p>
    <w:p w14:paraId="4D8263F4" w14:textId="77777777" w:rsidR="004733E0" w:rsidRPr="00B942CD" w:rsidRDefault="004733E0" w:rsidP="004C08C9">
      <w:pPr>
        <w:pStyle w:val="ListParagraph"/>
        <w:widowControl/>
        <w:numPr>
          <w:ilvl w:val="0"/>
          <w:numId w:val="19"/>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Immunodeficiency (except for splenectomy), or other diseases which, as believed by investigators, can expose the patient to high-risk toxicity.</w:t>
      </w:r>
    </w:p>
    <w:p w14:paraId="459156D9" w14:textId="56A21A0A" w:rsidR="00DC4578"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with history of bleeding or thrombosis:</w:t>
      </w:r>
    </w:p>
    <w:p w14:paraId="4E4CABD8" w14:textId="2A28E570" w:rsidR="00DC4578"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Any CTCAE Grade 2 bleeding event within 3 months prior to screening, or CTCAE Grade 3 and higher bleeding event within 6 months prior to screening</w:t>
      </w:r>
    </w:p>
    <w:p w14:paraId="591C50D2" w14:textId="4FEAEB45" w:rsidR="00DC4578"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Gastrointestinal hemorrhage within 6 months prior to screening or clear tendency of gastrointestinal hemorrhage. For example, esophageal varices with risk of bleeding, focal active ulcer lesion, or fecal occult blood positive (++ and above)</w:t>
      </w:r>
    </w:p>
    <w:p w14:paraId="1D93D2CD" w14:textId="6668ADC1" w:rsidR="00DC4578"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Active bleeding or abnormal coagulation function, bleeding tendency or being treated with thrombolysis or anticoagulation</w:t>
      </w:r>
    </w:p>
    <w:p w14:paraId="74BF3F46" w14:textId="68ECA60F" w:rsidR="00DC4578"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Anticoagulation therapy with an agent such as warfarin or heparin is required</w:t>
      </w:r>
    </w:p>
    <w:p w14:paraId="4B73FDC5" w14:textId="7C38454A" w:rsidR="00DC4578"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Chronic anti-platelet therapy (such as aspirin, clopidogrel) is required</w:t>
      </w:r>
    </w:p>
    <w:p w14:paraId="1E41782F" w14:textId="36C2BDA0" w:rsidR="004733E0" w:rsidRPr="00B942CD" w:rsidRDefault="004733E0" w:rsidP="004C08C9">
      <w:pPr>
        <w:pStyle w:val="ListParagraph"/>
        <w:widowControl/>
        <w:numPr>
          <w:ilvl w:val="0"/>
          <w:numId w:val="4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Thrombotic or embolic events within the past 6 months such as cerebrovascular accident (including transient ischemic attack), pulmonary embolism</w:t>
      </w:r>
    </w:p>
    <w:p w14:paraId="6924908B" w14:textId="1126824F" w:rsidR="00DC4578"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with history of serious cardiovascular diseases:</w:t>
      </w:r>
    </w:p>
    <w:p w14:paraId="73FDC617" w14:textId="66D767E3" w:rsidR="00DC4578" w:rsidRPr="00B942CD" w:rsidRDefault="004733E0" w:rsidP="004C08C9">
      <w:pPr>
        <w:pStyle w:val="ListParagraph"/>
        <w:widowControl/>
        <w:numPr>
          <w:ilvl w:val="0"/>
          <w:numId w:val="4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NYHA (New York Heart Association) Grade 3 and 4 congestive cardiac failure</w:t>
      </w:r>
    </w:p>
    <w:p w14:paraId="06B2D414" w14:textId="70B969F8" w:rsidR="00DC4578" w:rsidRPr="00B942CD" w:rsidRDefault="004733E0" w:rsidP="004C08C9">
      <w:pPr>
        <w:pStyle w:val="ListParagraph"/>
        <w:widowControl/>
        <w:numPr>
          <w:ilvl w:val="0"/>
          <w:numId w:val="4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Unstable angina pectoris or newly diagnosed angina pectoris or myocardial infarction within 12 months prior to screening</w:t>
      </w:r>
    </w:p>
    <w:p w14:paraId="3A747A57" w14:textId="298C0999" w:rsidR="00DC4578" w:rsidRPr="00B942CD" w:rsidRDefault="004733E0" w:rsidP="004C08C9">
      <w:pPr>
        <w:pStyle w:val="ListParagraph"/>
        <w:widowControl/>
        <w:numPr>
          <w:ilvl w:val="0"/>
          <w:numId w:val="4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Arrhythmia requiring medications other than β-blockers or digoxin</w:t>
      </w:r>
    </w:p>
    <w:p w14:paraId="351C03D2" w14:textId="4080ADE8" w:rsidR="00DC4578" w:rsidRPr="00B942CD" w:rsidRDefault="004733E0" w:rsidP="004C08C9">
      <w:pPr>
        <w:pStyle w:val="ListParagraph"/>
        <w:widowControl/>
        <w:numPr>
          <w:ilvl w:val="0"/>
          <w:numId w:val="4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Valvular heart disease of CTCAE grade ≥ 2</w:t>
      </w:r>
    </w:p>
    <w:p w14:paraId="50AC762B" w14:textId="239C62E4" w:rsidR="004733E0" w:rsidRPr="00B942CD" w:rsidRDefault="004733E0" w:rsidP="004C08C9">
      <w:pPr>
        <w:pStyle w:val="ListParagraph"/>
        <w:widowControl/>
        <w:numPr>
          <w:ilvl w:val="0"/>
          <w:numId w:val="4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Hypertension inadequately controlled by drugs (systolic pressure &gt;150 mmHg or diastolic pressure &gt;100 mmHg)</w:t>
      </w:r>
    </w:p>
    <w:p w14:paraId="033E3A53" w14:textId="77777777" w:rsidR="004733E0"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other abnormal laboratory test:</w:t>
      </w:r>
    </w:p>
    <w:p w14:paraId="05502872" w14:textId="7C7D48BB" w:rsidR="004733E0" w:rsidRPr="00B942CD" w:rsidRDefault="004733E0" w:rsidP="004C08C9">
      <w:pPr>
        <w:pStyle w:val="ListParagraph"/>
        <w:widowControl/>
        <w:numPr>
          <w:ilvl w:val="0"/>
          <w:numId w:val="20"/>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Hyponatremia (sodium &lt; 130 mmol/L); baseline serum potassium &lt; 3.5 mmol/L (serum potassium may be recovered above this level with a potassium supplement prior to study enrollment)</w:t>
      </w:r>
    </w:p>
    <w:p w14:paraId="6F2C49EC" w14:textId="36EE2FC8" w:rsidR="004733E0" w:rsidRPr="00B942CD" w:rsidRDefault="004733E0" w:rsidP="004C08C9">
      <w:pPr>
        <w:pStyle w:val="ListParagraph"/>
        <w:widowControl/>
        <w:numPr>
          <w:ilvl w:val="0"/>
          <w:numId w:val="20"/>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Abnormal thyroid function, which cannot be maintained within normal range with drugs</w:t>
      </w:r>
    </w:p>
    <w:p w14:paraId="111CCF86" w14:textId="614E7872" w:rsidR="004733E0"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Patients with previous or current disease, treatment, or laboratory abnormality that may interfere with study results and influence them participating in the study, or patients not suitable for participation in the study at the investigator’s discretion; patients are not allowed to receive platelet or red blood cell transfusions within 4 weeks prior to study drug treatment</w:t>
      </w:r>
    </w:p>
    <w:p w14:paraId="1952087F" w14:textId="46B2771C" w:rsidR="004733E0"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are pregnant or nursing, or who plan to become pregnant during study treatment</w:t>
      </w:r>
    </w:p>
    <w:p w14:paraId="7B1CA82E" w14:textId="77777777" w:rsidR="004733E0" w:rsidRPr="00B942CD" w:rsidRDefault="004733E0" w:rsidP="004C08C9">
      <w:pPr>
        <w:pStyle w:val="ListParagraph"/>
        <w:widowControl/>
        <w:numPr>
          <w:ilvl w:val="0"/>
          <w:numId w:val="1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Corrected QT interval (QTc) &gt; 450 msec; if a patient has prolonged QTc interval, but the investigator assesses that the prolongation is due to a pacemaker (and no other cardiac abnormalities), it is determined whether the patient is eligible for enrollment of the study by discussion with the investigator.</w:t>
      </w:r>
    </w:p>
    <w:p w14:paraId="156CE7D2" w14:textId="203CD014" w:rsidR="004733E0" w:rsidRPr="00B942CD" w:rsidRDefault="004733E0" w:rsidP="00AA119C">
      <w:pPr>
        <w:pStyle w:val="Heading2"/>
        <w:rPr>
          <w:rFonts w:cs="Times New Roman"/>
        </w:rPr>
      </w:pPr>
      <w:bookmarkStart w:id="71" w:name="_Toc98358606"/>
      <w:r w:rsidRPr="00B942CD">
        <w:rPr>
          <w:rFonts w:cs="Times New Roman"/>
        </w:rPr>
        <w:t xml:space="preserve">Patient </w:t>
      </w:r>
      <w:r w:rsidR="009707A9" w:rsidRPr="00B942CD">
        <w:rPr>
          <w:rFonts w:cs="Times New Roman"/>
        </w:rPr>
        <w:t xml:space="preserve">Withdrawal </w:t>
      </w:r>
      <w:r w:rsidRPr="00B942CD">
        <w:rPr>
          <w:rFonts w:cs="Times New Roman"/>
        </w:rPr>
        <w:t xml:space="preserve">and </w:t>
      </w:r>
      <w:r w:rsidR="009707A9" w:rsidRPr="00B942CD">
        <w:rPr>
          <w:rFonts w:cs="Times New Roman"/>
        </w:rPr>
        <w:t>Replacement</w:t>
      </w:r>
      <w:bookmarkEnd w:id="71"/>
    </w:p>
    <w:p w14:paraId="0E06278D" w14:textId="47903E2B" w:rsidR="004733E0" w:rsidRPr="00B942CD" w:rsidRDefault="004733E0" w:rsidP="00AA119C">
      <w:pPr>
        <w:pStyle w:val="Heading3"/>
        <w:rPr>
          <w:rFonts w:cs="Times New Roman"/>
        </w:rPr>
      </w:pPr>
      <w:bookmarkStart w:id="72" w:name="2.7.1_Discontinuation_from_Treatment"/>
      <w:bookmarkStart w:id="73" w:name="_bookmark22"/>
      <w:bookmarkStart w:id="74" w:name="_Toc98358607"/>
      <w:bookmarkEnd w:id="72"/>
      <w:bookmarkEnd w:id="73"/>
      <w:r w:rsidRPr="00B942CD">
        <w:rPr>
          <w:rFonts w:cs="Times New Roman"/>
        </w:rPr>
        <w:t>End of treatment</w:t>
      </w:r>
      <w:bookmarkEnd w:id="74"/>
    </w:p>
    <w:p w14:paraId="1D2811E9"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may discontinue study treatment at any time. Specific causes of the discontinuation include:</w:t>
      </w:r>
    </w:p>
    <w:p w14:paraId="2543C846" w14:textId="77777777"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Serious or life-threatening AEs</w:t>
      </w:r>
    </w:p>
    <w:p w14:paraId="3466FAD9" w14:textId="21F638BA"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Risk to the patient as judged by the investigator</w:t>
      </w:r>
    </w:p>
    <w:p w14:paraId="6DB2335E" w14:textId="43E21146"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 critical protocol deviation as judged by the investigator</w:t>
      </w:r>
    </w:p>
    <w:p w14:paraId="68698380" w14:textId="77777777"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decision</w:t>
      </w:r>
    </w:p>
    <w:p w14:paraId="32E6A423" w14:textId="4B90BC5A"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Pregnancy</w:t>
      </w:r>
    </w:p>
    <w:p w14:paraId="55339600" w14:textId="0A9695BA"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PD</w:t>
      </w:r>
    </w:p>
    <w:p w14:paraId="370E5C30" w14:textId="24479424"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clinical study continues, the investigator will predict the possible conditions or events that can jeopardize the patient.</w:t>
      </w:r>
    </w:p>
    <w:p w14:paraId="3CF35D47" w14:textId="690ADD9A" w:rsidR="004733E0" w:rsidRPr="00B942CD" w:rsidRDefault="004733E0" w:rsidP="004C08C9">
      <w:pPr>
        <w:pStyle w:val="ListParagraph"/>
        <w:widowControl/>
        <w:numPr>
          <w:ilvl w:val="0"/>
          <w:numId w:val="21"/>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are diagnosed as MDS or AML (as confirmed by hematologists)</w:t>
      </w:r>
    </w:p>
    <w:p w14:paraId="5F4E3D57" w14:textId="2C11EDB9" w:rsidR="004733E0" w:rsidRPr="00B942CD" w:rsidRDefault="004733E0" w:rsidP="00AA119C">
      <w:pPr>
        <w:pStyle w:val="Heading3"/>
        <w:rPr>
          <w:rFonts w:cs="Times New Roman"/>
        </w:rPr>
      </w:pPr>
      <w:bookmarkStart w:id="75" w:name="2.7.2_Discontinuation_from_Study"/>
      <w:bookmarkStart w:id="76" w:name="_bookmark23"/>
      <w:bookmarkStart w:id="77" w:name="_Toc98358608"/>
      <w:bookmarkEnd w:id="75"/>
      <w:bookmarkEnd w:id="76"/>
      <w:r w:rsidRPr="00B942CD">
        <w:rPr>
          <w:rFonts w:cs="Times New Roman"/>
        </w:rPr>
        <w:t xml:space="preserve">Withdraw from </w:t>
      </w:r>
      <w:r w:rsidR="009707A9" w:rsidRPr="00B942CD">
        <w:rPr>
          <w:rFonts w:cs="Times New Roman"/>
        </w:rPr>
        <w:t xml:space="preserve">the </w:t>
      </w:r>
      <w:r w:rsidRPr="00B942CD">
        <w:rPr>
          <w:rFonts w:cs="Times New Roman"/>
        </w:rPr>
        <w:t>study</w:t>
      </w:r>
      <w:bookmarkEnd w:id="77"/>
    </w:p>
    <w:p w14:paraId="5794168F" w14:textId="6E12D455"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investigator removes the patient from the study, or the patient refuses to continue the study, a final assessment should be performed for the patient's disease status before any treatment intervention. These results, together with a description of causes for discontinuation, must be recorded in CRF.</w:t>
      </w:r>
    </w:p>
    <w:p w14:paraId="673251A0"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discontinue treatment will continue to receive follow-up evaluation as part of the study unless they discontinue the study due to one of the following events:</w:t>
      </w:r>
    </w:p>
    <w:p w14:paraId="107253A0" w14:textId="77777777" w:rsidR="004733E0" w:rsidRPr="00B942CD" w:rsidRDefault="004733E0" w:rsidP="004C08C9">
      <w:pPr>
        <w:pStyle w:val="20"/>
        <w:widowControl/>
        <w:numPr>
          <w:ilvl w:val="0"/>
          <w:numId w:val="22"/>
        </w:numPr>
        <w:adjustRightInd w:val="0"/>
        <w:snapToGrid w:val="0"/>
        <w:spacing w:beforeLines="50" w:before="120" w:line="288" w:lineRule="auto"/>
        <w:ind w:leftChars="200" w:left="920" w:hangingChars="200" w:hanging="480"/>
        <w:rPr>
          <w:rFonts w:ascii="Times New Roman" w:eastAsia="SimSun" w:hAnsi="Times New Roman"/>
          <w:bCs/>
          <w:snapToGrid w:val="0"/>
          <w:color w:val="000000" w:themeColor="text1"/>
          <w:kern w:val="0"/>
          <w:szCs w:val="22"/>
        </w:rPr>
      </w:pPr>
      <w:r w:rsidRPr="00B942CD">
        <w:rPr>
          <w:rFonts w:ascii="Times New Roman" w:eastAsia="SimSun" w:hAnsi="Times New Roman"/>
          <w:snapToGrid w:val="0"/>
          <w:color w:val="000000" w:themeColor="text1"/>
          <w:kern w:val="0"/>
          <w:szCs w:val="22"/>
        </w:rPr>
        <w:t>Withdrawal of consent</w:t>
      </w:r>
    </w:p>
    <w:p w14:paraId="0CFED534" w14:textId="6368A881" w:rsidR="004733E0" w:rsidRPr="00B942CD" w:rsidRDefault="004733E0" w:rsidP="004C08C9">
      <w:pPr>
        <w:pStyle w:val="ListParagraph"/>
        <w:widowControl/>
        <w:numPr>
          <w:ilvl w:val="0"/>
          <w:numId w:val="2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Lost to follow-up</w:t>
      </w:r>
    </w:p>
    <w:p w14:paraId="2745E896" w14:textId="77777777" w:rsidR="004733E0" w:rsidRPr="00B942CD" w:rsidRDefault="004733E0" w:rsidP="004C08C9">
      <w:pPr>
        <w:pStyle w:val="ListParagraph"/>
        <w:widowControl/>
        <w:numPr>
          <w:ilvl w:val="0"/>
          <w:numId w:val="2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Death from any cause</w:t>
      </w:r>
    </w:p>
    <w:p w14:paraId="3FF87AEA" w14:textId="77777777" w:rsidR="004733E0" w:rsidRPr="00B942CD" w:rsidRDefault="004733E0" w:rsidP="004C08C9">
      <w:pPr>
        <w:pStyle w:val="ListParagraph"/>
        <w:widowControl/>
        <w:numPr>
          <w:ilvl w:val="0"/>
          <w:numId w:val="2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Termination of study</w:t>
      </w:r>
    </w:p>
    <w:p w14:paraId="3A90343B" w14:textId="152C29DF"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When a subject discontinues study drug or withdraws from the study, the End of Treatment Visit (EOT) should be completed. Every effort should be made to contact the patients who are prematurely withdrawn and reluctant to return the site for the EOT. The investigator should inquire about the reasons why the patients are prematurely withdrawn and ask them to return all unused drugs and supplies for the study, and to complete the EOT, follow up and treat any unresolved AEs.</w:t>
      </w:r>
    </w:p>
    <w:p w14:paraId="49309160" w14:textId="42A49010" w:rsidR="004733E0" w:rsidRPr="00B942CD" w:rsidRDefault="004733E0" w:rsidP="00AA119C">
      <w:pPr>
        <w:pStyle w:val="Heading1"/>
        <w:rPr>
          <w:rFonts w:cs="Times New Roman"/>
        </w:rPr>
      </w:pPr>
      <w:bookmarkStart w:id="78" w:name="3_STUDY_CONDUCT"/>
      <w:bookmarkStart w:id="79" w:name="_bookmark24"/>
      <w:bookmarkStart w:id="80" w:name="_Toc98358609"/>
      <w:bookmarkEnd w:id="78"/>
      <w:bookmarkEnd w:id="79"/>
      <w:r w:rsidRPr="00B942CD">
        <w:rPr>
          <w:rFonts w:cs="Times New Roman"/>
        </w:rPr>
        <w:t xml:space="preserve">Study </w:t>
      </w:r>
      <w:r w:rsidR="009707A9" w:rsidRPr="00B942CD">
        <w:rPr>
          <w:rFonts w:cs="Times New Roman"/>
        </w:rPr>
        <w:t>Management</w:t>
      </w:r>
      <w:bookmarkEnd w:id="80"/>
    </w:p>
    <w:p w14:paraId="6745F6D3" w14:textId="4D2232A6" w:rsidR="004733E0" w:rsidRPr="00B942CD" w:rsidRDefault="004733E0" w:rsidP="00AA119C">
      <w:pPr>
        <w:pStyle w:val="Heading2"/>
        <w:rPr>
          <w:rFonts w:cs="Times New Roman"/>
        </w:rPr>
      </w:pPr>
      <w:bookmarkStart w:id="81" w:name="3.1_Study_Restrictions"/>
      <w:bookmarkStart w:id="82" w:name="_Toc98358610"/>
      <w:bookmarkEnd w:id="81"/>
      <w:r w:rsidRPr="00B942CD">
        <w:rPr>
          <w:rFonts w:cs="Times New Roman"/>
        </w:rPr>
        <w:t xml:space="preserve">Study </w:t>
      </w:r>
      <w:r w:rsidR="009707A9" w:rsidRPr="00B942CD">
        <w:rPr>
          <w:rFonts w:cs="Times New Roman"/>
        </w:rPr>
        <w:t>Restrictions</w:t>
      </w:r>
      <w:bookmarkEnd w:id="82"/>
    </w:p>
    <w:p w14:paraId="021AEC86" w14:textId="77777777" w:rsidR="004733E0" w:rsidRPr="00B942CD" w:rsidRDefault="004733E0" w:rsidP="00AA119C">
      <w:pPr>
        <w:pStyle w:val="Heading3"/>
        <w:rPr>
          <w:rFonts w:cs="Times New Roman"/>
          <w:color w:val="000000" w:themeColor="text1"/>
        </w:rPr>
      </w:pPr>
      <w:bookmarkStart w:id="83" w:name="_TOC_250021"/>
      <w:bookmarkStart w:id="84" w:name="_Toc98358611"/>
      <w:r w:rsidRPr="00B942CD">
        <w:rPr>
          <w:rFonts w:cs="Times New Roman"/>
        </w:rPr>
        <w:t>Granulocyte colony-stimulating factor</w:t>
      </w:r>
      <w:r w:rsidRPr="00B942CD">
        <w:rPr>
          <w:rFonts w:cs="Times New Roman"/>
          <w:color w:val="000000" w:themeColor="text1"/>
        </w:rPr>
        <w:t xml:space="preserve"> </w:t>
      </w:r>
      <w:bookmarkEnd w:id="83"/>
      <w:r w:rsidRPr="00B942CD">
        <w:rPr>
          <w:rFonts w:cs="Times New Roman"/>
          <w:color w:val="000000" w:themeColor="text1"/>
        </w:rPr>
        <w:t>(GCSF)</w:t>
      </w:r>
      <w:bookmarkEnd w:id="84"/>
    </w:p>
    <w:p w14:paraId="5DF08B6C" w14:textId="64170986"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Prophylactic cytokines (granulocyte colony-stimulating factor [GCSF]) should not be used in the first cycle of the study, but may be used in subsequent cycles according to local guidelines.</w:t>
      </w:r>
    </w:p>
    <w:p w14:paraId="702197A9" w14:textId="77777777" w:rsidR="004733E0" w:rsidRPr="00B942CD" w:rsidRDefault="004733E0" w:rsidP="00AA119C">
      <w:pPr>
        <w:pStyle w:val="Heading3"/>
        <w:rPr>
          <w:rFonts w:cs="Times New Roman"/>
        </w:rPr>
      </w:pPr>
      <w:bookmarkStart w:id="85" w:name="3.1.2_Substrates_of_P-glycoprotein"/>
      <w:bookmarkStart w:id="86" w:name="_Toc98358612"/>
      <w:bookmarkEnd w:id="85"/>
      <w:r w:rsidRPr="00B942CD">
        <w:rPr>
          <w:rFonts w:cs="Times New Roman"/>
        </w:rPr>
        <w:t>P-glycoprotein substrates</w:t>
      </w:r>
      <w:bookmarkEnd w:id="86"/>
    </w:p>
    <w:p w14:paraId="53C40EAD" w14:textId="560DB47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Niraparib has limited interaction with other drugs and has the potential to induce CYP1A2. Therefore, sensitive substrates of CYP1A2 (</w:t>
      </w:r>
      <w:proofErr w:type="spellStart"/>
      <w:r w:rsidRPr="00B942CD">
        <w:rPr>
          <w:rFonts w:ascii="Times New Roman" w:eastAsia="SimSun" w:hAnsi="Times New Roman" w:cs="Times New Roman"/>
          <w:snapToGrid w:val="0"/>
          <w:color w:val="000000" w:themeColor="text1"/>
          <w:sz w:val="24"/>
        </w:rPr>
        <w:t>Alosetron</w:t>
      </w:r>
      <w:proofErr w:type="spellEnd"/>
      <w:r w:rsidRPr="00B942CD">
        <w:rPr>
          <w:rFonts w:ascii="Times New Roman" w:eastAsia="SimSun" w:hAnsi="Times New Roman" w:cs="Times New Roman"/>
          <w:snapToGrid w:val="0"/>
          <w:color w:val="000000" w:themeColor="text1"/>
          <w:sz w:val="24"/>
        </w:rPr>
        <w:t>, Caffeine,</w:t>
      </w:r>
      <w:r w:rsidR="00A001B6" w:rsidRPr="00B942CD">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snapToGrid w:val="0"/>
          <w:color w:val="000000" w:themeColor="text1"/>
          <w:sz w:val="24"/>
        </w:rPr>
        <w:t>Duloxetine, Melatonin, Ramelteon, Tacrine, Tizanidine) should be taken with caution. Niraparib has the safety risk of thrombocytopenia, and patients are therefore advised to use anticoagulants and antiplatelet agents with caution.</w:t>
      </w:r>
    </w:p>
    <w:p w14:paraId="2373EC6C" w14:textId="6F8D0FB6" w:rsidR="004733E0" w:rsidRPr="00B942CD" w:rsidRDefault="004733E0" w:rsidP="00AA119C">
      <w:pPr>
        <w:pStyle w:val="Heading3"/>
        <w:rPr>
          <w:rFonts w:cs="Times New Roman"/>
        </w:rPr>
      </w:pPr>
      <w:bookmarkStart w:id="87" w:name="3.1.3_Other_Anticancer_Therapy"/>
      <w:bookmarkStart w:id="88" w:name="_TOC_250019"/>
      <w:bookmarkStart w:id="89" w:name="_Toc98358613"/>
      <w:bookmarkEnd w:id="87"/>
      <w:r w:rsidRPr="00B942CD">
        <w:rPr>
          <w:rFonts w:cs="Times New Roman"/>
        </w:rPr>
        <w:t>Other anti-cancer therapy</w:t>
      </w:r>
      <w:bookmarkEnd w:id="88"/>
      <w:bookmarkEnd w:id="89"/>
    </w:p>
    <w:p w14:paraId="3141C274" w14:textId="3DD9DE2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Other anti-cancer therapies (including Chinese herbal medicines with anti-cancer effect) will not be allowed for any patient during the study treatment. This restriction no longer applies if the patient discontinues study treatment. In the context of absence of PD, palliative radiotherapy for mild pain metastases that existed before enrollment, could not be relieved by local or systemic application of analgesics will be allowed (patients who receive palliative radiotherapy for the pelvic cavity and/or over 20% of bone marrow area three weeks prior to enrollment will not be allowed).</w:t>
      </w:r>
    </w:p>
    <w:p w14:paraId="42CDA01A" w14:textId="5D3B4B08" w:rsidR="004733E0" w:rsidRPr="00B942CD" w:rsidRDefault="004733E0" w:rsidP="00AA119C">
      <w:pPr>
        <w:pStyle w:val="Heading3"/>
        <w:rPr>
          <w:rFonts w:cs="Times New Roman"/>
        </w:rPr>
      </w:pPr>
      <w:bookmarkStart w:id="90" w:name="3.1.4_Vaccines"/>
      <w:bookmarkStart w:id="91" w:name="_TOC_250018"/>
      <w:bookmarkStart w:id="92" w:name="_Toc98358614"/>
      <w:bookmarkEnd w:id="90"/>
      <w:r w:rsidRPr="00B942CD">
        <w:rPr>
          <w:rFonts w:cs="Times New Roman"/>
        </w:rPr>
        <w:t>Vaccine</w:t>
      </w:r>
      <w:bookmarkEnd w:id="91"/>
      <w:bookmarkEnd w:id="92"/>
    </w:p>
    <w:p w14:paraId="1166D73F" w14:textId="636B09A5" w:rsidR="00922669"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When using conventional chemotherapy drugs, live-virus and bacterial vaccines were observed to increase the risk of infection. </w:t>
      </w:r>
      <w:bookmarkStart w:id="93" w:name="_Hlk527325259"/>
      <w:bookmarkEnd w:id="93"/>
      <w:r w:rsidRPr="00B942CD">
        <w:rPr>
          <w:rFonts w:ascii="Times New Roman" w:eastAsia="SimSun" w:hAnsi="Times New Roman" w:cs="Times New Roman"/>
          <w:snapToGrid w:val="0"/>
          <w:sz w:val="24"/>
        </w:rPr>
        <w:t xml:space="preserve">The effect of niraparib has not yet been clear, so patients are not allowed to be inoculated with live-virus/bacterial vaccines in this study. </w:t>
      </w:r>
      <w:r w:rsidRPr="00B942CD">
        <w:rPr>
          <w:rFonts w:ascii="Times New Roman" w:eastAsia="SimSun" w:hAnsi="Times New Roman" w:cs="Times New Roman"/>
          <w:snapToGrid w:val="0"/>
          <w:color w:val="000000" w:themeColor="text1"/>
          <w:sz w:val="24"/>
        </w:rPr>
        <w:t>All patients will be informed of not being allowed for inoculation of live-virus/bacterial vaccines from the time of consent to the trial until at least 30 days after the end of treatment.</w:t>
      </w:r>
      <w:r w:rsidR="00922669" w:rsidRPr="00B942CD">
        <w:rPr>
          <w:rFonts w:ascii="Times New Roman" w:eastAsia="SimSun" w:hAnsi="Times New Roman" w:cs="Times New Roman"/>
          <w:snapToGrid w:val="0"/>
          <w:color w:val="000000" w:themeColor="text1"/>
          <w:sz w:val="24"/>
        </w:rPr>
        <w:br w:type="page"/>
      </w:r>
    </w:p>
    <w:p w14:paraId="0DA6F5E1" w14:textId="77777777" w:rsidR="004733E0" w:rsidRPr="00B942CD" w:rsidRDefault="004733E0" w:rsidP="00AA119C">
      <w:pPr>
        <w:pStyle w:val="Heading3"/>
        <w:rPr>
          <w:rFonts w:cs="Times New Roman"/>
        </w:rPr>
      </w:pPr>
      <w:bookmarkStart w:id="94" w:name="_bookmark25"/>
      <w:bookmarkStart w:id="95" w:name="_Toc98358615"/>
      <w:bookmarkStart w:id="96" w:name="_TOC_250017"/>
      <w:bookmarkEnd w:id="94"/>
      <w:r w:rsidRPr="00B942CD">
        <w:rPr>
          <w:rFonts w:cs="Times New Roman"/>
        </w:rPr>
        <w:lastRenderedPageBreak/>
        <w:t>Contraception</w:t>
      </w:r>
      <w:bookmarkEnd w:id="95"/>
    </w:p>
    <w:p w14:paraId="5933664B" w14:textId="77777777" w:rsidR="004733E0" w:rsidRPr="00B942CD" w:rsidRDefault="004733E0" w:rsidP="00AA119C">
      <w:pPr>
        <w:pStyle w:val="Heading4"/>
        <w:rPr>
          <w:rFonts w:cs="Times New Roman"/>
        </w:rPr>
      </w:pPr>
      <w:r w:rsidRPr="00B942CD">
        <w:rPr>
          <w:rFonts w:cs="Times New Roman"/>
        </w:rPr>
        <w:t>Contraception guidelines</w:t>
      </w:r>
    </w:p>
    <w:p w14:paraId="23E835DF" w14:textId="38B73C57" w:rsidR="004733E0" w:rsidRPr="00B942CD" w:rsidRDefault="004733E0" w:rsidP="00AA119C">
      <w:pPr>
        <w:pStyle w:val="a"/>
        <w:widowControl/>
        <w:adjustRightInd w:val="0"/>
        <w:snapToGrid w:val="0"/>
        <w:spacing w:before="120" w:afterLines="0" w:line="288" w:lineRule="auto"/>
        <w:ind w:firstLineChars="0" w:firstLine="0"/>
        <w:jc w:val="both"/>
        <w:rPr>
          <w:snapToGrid w:val="0"/>
          <w:color w:val="000000" w:themeColor="text1"/>
          <w:kern w:val="0"/>
          <w:szCs w:val="22"/>
        </w:rPr>
      </w:pPr>
      <w:r w:rsidRPr="00B942CD">
        <w:rPr>
          <w:snapToGrid w:val="0"/>
          <w:color w:val="000000" w:themeColor="text1"/>
          <w:kern w:val="0"/>
          <w:szCs w:val="22"/>
        </w:rPr>
        <w:t>Patients with active sexual behavior and of childbearing potential and their partners must take two effective contraceptive measures from the start to the end of the study and within 3 months after the last dose of the study drugs. Condoms (male or female condoms, with or without spermicides) can be used as a form of birth control.</w:t>
      </w:r>
    </w:p>
    <w:p w14:paraId="1E6771B3" w14:textId="4083EC18" w:rsidR="004733E0" w:rsidRPr="00B942CD" w:rsidRDefault="004733E0" w:rsidP="004C08C9">
      <w:pPr>
        <w:pStyle w:val="ListParagraph"/>
        <w:widowControl/>
        <w:numPr>
          <w:ilvl w:val="0"/>
          <w:numId w:val="4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Acceptable non-hormonal contraceptive measures include: </w:t>
      </w:r>
    </w:p>
    <w:p w14:paraId="018190A9" w14:textId="6892AD0B" w:rsidR="004733E0" w:rsidRPr="00B942CD" w:rsidRDefault="004733E0" w:rsidP="004C08C9">
      <w:pPr>
        <w:pStyle w:val="ListParagraph"/>
        <w:widowControl/>
        <w:numPr>
          <w:ilvl w:val="0"/>
          <w:numId w:val="2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Complete abstinence. Abstinence should be performed throughout the study, from your signing the informed consent form (ICF) to 90 days after the last dose of study drugs</w:t>
      </w:r>
    </w:p>
    <w:p w14:paraId="62975273" w14:textId="5E057E39" w:rsidR="004733E0" w:rsidRPr="00B942CD" w:rsidRDefault="004733E0" w:rsidP="004C08C9">
      <w:pPr>
        <w:pStyle w:val="ListParagraph"/>
        <w:widowControl/>
        <w:numPr>
          <w:ilvl w:val="0"/>
          <w:numId w:val="2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male sexual partners who have underwent vasectomy and use male condom containing spermicides. (You will need to confirm that your spouse has had sperm tested after a vasectomy and is confirmed to be sterile)</w:t>
      </w:r>
    </w:p>
    <w:p w14:paraId="6242E250" w14:textId="13C83AE2" w:rsidR="004733E0" w:rsidRPr="00B942CD" w:rsidRDefault="004733E0" w:rsidP="004C08C9">
      <w:pPr>
        <w:pStyle w:val="ListParagraph"/>
        <w:widowControl/>
        <w:numPr>
          <w:ilvl w:val="0"/>
          <w:numId w:val="2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Fallopian tube obstruction plus male condom containing spermicides </w:t>
      </w:r>
    </w:p>
    <w:p w14:paraId="3AF108E1" w14:textId="07D17CF7" w:rsidR="004733E0" w:rsidRPr="00B942CD" w:rsidRDefault="004733E0" w:rsidP="004C08C9">
      <w:pPr>
        <w:pStyle w:val="ListParagraph"/>
        <w:widowControl/>
        <w:numPr>
          <w:ilvl w:val="0"/>
          <w:numId w:val="23"/>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Intrauterine device (IUD) plus male condom containing spermicides</w:t>
      </w:r>
    </w:p>
    <w:p w14:paraId="4BEE7635" w14:textId="750B04DC" w:rsidR="004733E0" w:rsidRPr="00B942CD" w:rsidRDefault="004733E0" w:rsidP="004C08C9">
      <w:pPr>
        <w:pStyle w:val="ListParagraph"/>
        <w:widowControl/>
        <w:numPr>
          <w:ilvl w:val="0"/>
          <w:numId w:val="4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Acceptable hormone methods include: </w:t>
      </w:r>
    </w:p>
    <w:p w14:paraId="16399A43" w14:textId="0AB3BC8B" w:rsidR="004733E0" w:rsidRPr="00B942CD" w:rsidRDefault="004733E0" w:rsidP="004C08C9">
      <w:pPr>
        <w:pStyle w:val="ListParagraph"/>
        <w:widowControl/>
        <w:numPr>
          <w:ilvl w:val="0"/>
          <w:numId w:val="2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Etonogestrel</w:t>
      </w:r>
      <w:proofErr w:type="spellEnd"/>
      <w:r w:rsidRPr="00B942CD">
        <w:rPr>
          <w:rFonts w:ascii="Times New Roman" w:eastAsia="SimSun" w:hAnsi="Times New Roman" w:cs="Times New Roman"/>
          <w:snapToGrid w:val="0"/>
          <w:color w:val="000000" w:themeColor="text1"/>
          <w:sz w:val="24"/>
        </w:rPr>
        <w:t xml:space="preserve"> implants (e.g., Implanon, </w:t>
      </w:r>
      <w:proofErr w:type="spellStart"/>
      <w:r w:rsidRPr="00B942CD">
        <w:rPr>
          <w:rFonts w:ascii="Times New Roman" w:eastAsia="SimSun" w:hAnsi="Times New Roman" w:cs="Times New Roman"/>
          <w:snapToGrid w:val="0"/>
          <w:color w:val="000000" w:themeColor="text1"/>
          <w:sz w:val="24"/>
        </w:rPr>
        <w:t>Norplan</w:t>
      </w:r>
      <w:proofErr w:type="spellEnd"/>
      <w:r w:rsidRPr="00B942CD">
        <w:rPr>
          <w:rFonts w:ascii="Times New Roman" w:eastAsia="SimSun" w:hAnsi="Times New Roman" w:cs="Times New Roman"/>
          <w:snapToGrid w:val="0"/>
          <w:color w:val="000000" w:themeColor="text1"/>
          <w:sz w:val="24"/>
        </w:rPr>
        <w:t>) plus male condom containing spermicides</w:t>
      </w:r>
    </w:p>
    <w:p w14:paraId="3ADFA8FF" w14:textId="2C54C570" w:rsidR="004733E0" w:rsidRPr="00B942CD" w:rsidRDefault="004733E0" w:rsidP="004C08C9">
      <w:pPr>
        <w:pStyle w:val="ListParagraph"/>
        <w:widowControl/>
        <w:numPr>
          <w:ilvl w:val="0"/>
          <w:numId w:val="2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Normal and low-dose oral contraceptive pill plus male condom containing spermicides</w:t>
      </w:r>
    </w:p>
    <w:p w14:paraId="3163225E" w14:textId="37589197" w:rsidR="004733E0" w:rsidRPr="00B942CD" w:rsidRDefault="004733E0" w:rsidP="004C08C9">
      <w:pPr>
        <w:pStyle w:val="ListParagraph"/>
        <w:widowControl/>
        <w:numPr>
          <w:ilvl w:val="0"/>
          <w:numId w:val="2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Norelgestromin</w:t>
      </w:r>
      <w:proofErr w:type="spellEnd"/>
      <w:r w:rsidRPr="00B942CD">
        <w:rPr>
          <w:rFonts w:ascii="Times New Roman" w:eastAsia="SimSun" w:hAnsi="Times New Roman" w:cs="Times New Roman"/>
          <w:snapToGrid w:val="0"/>
          <w:color w:val="000000" w:themeColor="text1"/>
          <w:sz w:val="24"/>
        </w:rPr>
        <w:t xml:space="preserve"> / ethinyl estradiol (EE) transdermal delivery system plus male condom containing spermicides</w:t>
      </w:r>
    </w:p>
    <w:p w14:paraId="432A40EC" w14:textId="5BD62020" w:rsidR="004733E0" w:rsidRPr="00B942CD" w:rsidRDefault="004733E0" w:rsidP="004C08C9">
      <w:pPr>
        <w:pStyle w:val="ListParagraph"/>
        <w:widowControl/>
        <w:numPr>
          <w:ilvl w:val="0"/>
          <w:numId w:val="24"/>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Intravaginal device (e.g., EE and </w:t>
      </w:r>
      <w:proofErr w:type="spellStart"/>
      <w:r w:rsidRPr="00B942CD">
        <w:rPr>
          <w:rFonts w:ascii="Times New Roman" w:eastAsia="SimSun" w:hAnsi="Times New Roman" w:cs="Times New Roman"/>
          <w:snapToGrid w:val="0"/>
          <w:color w:val="000000" w:themeColor="text1"/>
          <w:sz w:val="24"/>
        </w:rPr>
        <w:t>etonogestrel</w:t>
      </w:r>
      <w:proofErr w:type="spellEnd"/>
      <w:r w:rsidRPr="00B942CD">
        <w:rPr>
          <w:rFonts w:ascii="Times New Roman" w:eastAsia="SimSun" w:hAnsi="Times New Roman" w:cs="Times New Roman"/>
          <w:snapToGrid w:val="0"/>
          <w:color w:val="000000" w:themeColor="text1"/>
          <w:sz w:val="24"/>
        </w:rPr>
        <w:t>) plus male condom containing spermicides</w:t>
      </w:r>
    </w:p>
    <w:p w14:paraId="4709703B" w14:textId="77777777"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You should discuss with your doctor which contraception complies with the requirements.</w:t>
      </w:r>
    </w:p>
    <w:p w14:paraId="502360BF" w14:textId="77777777" w:rsidR="004733E0" w:rsidRPr="00B942CD" w:rsidRDefault="004733E0" w:rsidP="00AA119C">
      <w:pPr>
        <w:pStyle w:val="Heading4"/>
        <w:rPr>
          <w:rFonts w:cs="Times New Roman"/>
        </w:rPr>
      </w:pPr>
      <w:r w:rsidRPr="00B942CD">
        <w:rPr>
          <w:rFonts w:cs="Times New Roman"/>
        </w:rPr>
        <w:t>No need for contraception</w:t>
      </w:r>
    </w:p>
    <w:p w14:paraId="78436D01" w14:textId="590B09C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must be postmenopausal, have no menstruation for more than 1 year, be surgically sterilized, be willing to use appropriate contraceptive measures to prevent pregnancy, or agree to complete abstinence within 3 months after the last dose of study treatment.</w:t>
      </w:r>
    </w:p>
    <w:p w14:paraId="17827D25" w14:textId="07699664" w:rsidR="00A60CD4" w:rsidRPr="00B942CD" w:rsidRDefault="00A60CD4"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br w:type="page"/>
      </w:r>
    </w:p>
    <w:p w14:paraId="4DB9B59A" w14:textId="77777777" w:rsidR="004733E0" w:rsidRPr="00B942CD" w:rsidRDefault="004733E0" w:rsidP="00AA119C">
      <w:pPr>
        <w:pStyle w:val="Heading3"/>
        <w:rPr>
          <w:rFonts w:cs="Times New Roman"/>
        </w:rPr>
      </w:pPr>
      <w:bookmarkStart w:id="97" w:name="_Toc98358616"/>
      <w:bookmarkEnd w:id="96"/>
      <w:r w:rsidRPr="00B942CD">
        <w:rPr>
          <w:rFonts w:cs="Times New Roman"/>
        </w:rPr>
        <w:lastRenderedPageBreak/>
        <w:t>Blood donation</w:t>
      </w:r>
      <w:bookmarkEnd w:id="97"/>
    </w:p>
    <w:p w14:paraId="6878A0B2"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Patients should not donate blood during the study or within 90 days after the last dose of study treatment.</w:t>
      </w:r>
    </w:p>
    <w:p w14:paraId="76B9BF00" w14:textId="546B252E" w:rsidR="004733E0" w:rsidRPr="00B942CD" w:rsidRDefault="009707A9" w:rsidP="00AA119C">
      <w:pPr>
        <w:pStyle w:val="Heading2"/>
        <w:rPr>
          <w:rFonts w:cs="Times New Roman"/>
        </w:rPr>
      </w:pPr>
      <w:bookmarkStart w:id="98" w:name="3.1.5.2_Exemptions_to_Contraception"/>
      <w:bookmarkStart w:id="99" w:name="3.0.6__Blood_Donation"/>
      <w:bookmarkStart w:id="100" w:name="3.1_Study_Schedule_of_Procedures"/>
      <w:bookmarkStart w:id="101" w:name="_bookmark26"/>
      <w:bookmarkStart w:id="102" w:name="_bookmark27"/>
      <w:bookmarkStart w:id="103" w:name="_Toc98358617"/>
      <w:bookmarkEnd w:id="98"/>
      <w:bookmarkEnd w:id="99"/>
      <w:bookmarkEnd w:id="100"/>
      <w:bookmarkEnd w:id="101"/>
      <w:bookmarkEnd w:id="102"/>
      <w:r w:rsidRPr="00B942CD">
        <w:rPr>
          <w:rFonts w:cs="Times New Roman"/>
        </w:rPr>
        <w:t>S</w:t>
      </w:r>
      <w:r w:rsidR="004733E0" w:rsidRPr="00B942CD">
        <w:rPr>
          <w:rFonts w:cs="Times New Roman"/>
        </w:rPr>
        <w:t>chedule</w:t>
      </w:r>
      <w:r w:rsidRPr="00B942CD">
        <w:rPr>
          <w:rFonts w:cs="Times New Roman"/>
        </w:rPr>
        <w:t xml:space="preserve"> of Activities</w:t>
      </w:r>
      <w:bookmarkEnd w:id="103"/>
    </w:p>
    <w:p w14:paraId="4EE16A3F" w14:textId="6155661D"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See Section 7 Schedule of Activities.</w:t>
      </w:r>
    </w:p>
    <w:p w14:paraId="38B5C77B" w14:textId="11ED0A26" w:rsidR="004733E0" w:rsidRPr="00B942CD" w:rsidRDefault="004733E0" w:rsidP="00AA119C">
      <w:pPr>
        <w:pStyle w:val="Heading2"/>
        <w:rPr>
          <w:rFonts w:cs="Times New Roman"/>
        </w:rPr>
      </w:pPr>
      <w:bookmarkStart w:id="104" w:name="3.2_Procedures_by_Visit"/>
      <w:bookmarkStart w:id="105" w:name="_bookmark28"/>
      <w:bookmarkStart w:id="106" w:name="_Toc98358618"/>
      <w:bookmarkEnd w:id="104"/>
      <w:bookmarkEnd w:id="105"/>
      <w:r w:rsidRPr="00B942CD">
        <w:rPr>
          <w:rFonts w:cs="Times New Roman"/>
        </w:rPr>
        <w:t>Schedule</w:t>
      </w:r>
      <w:r w:rsidR="009707A9" w:rsidRPr="00B942CD">
        <w:rPr>
          <w:rFonts w:cs="Times New Roman"/>
        </w:rPr>
        <w:t xml:space="preserve"> of Visits</w:t>
      </w:r>
      <w:bookmarkEnd w:id="106"/>
    </w:p>
    <w:p w14:paraId="30B2964C" w14:textId="243B51D6" w:rsidR="004733E0" w:rsidRPr="00B942CD" w:rsidRDefault="004733E0" w:rsidP="00AA119C">
      <w:pPr>
        <w:pStyle w:val="Heading3"/>
        <w:rPr>
          <w:rFonts w:cs="Times New Roman"/>
        </w:rPr>
      </w:pPr>
      <w:bookmarkStart w:id="107" w:name="3.2.1_Screening_Procedures/Enrollment_(V"/>
      <w:bookmarkStart w:id="108" w:name="_bookmark29"/>
      <w:bookmarkStart w:id="109" w:name="_Toc98358619"/>
      <w:bookmarkEnd w:id="107"/>
      <w:bookmarkEnd w:id="108"/>
      <w:r w:rsidRPr="00B942CD">
        <w:rPr>
          <w:rFonts w:cs="Times New Roman"/>
        </w:rPr>
        <w:t>Screening process/enrollment (Visit 1, Day -28 to Day -1)</w:t>
      </w:r>
      <w:bookmarkEnd w:id="109"/>
    </w:p>
    <w:p w14:paraId="4E3CA891" w14:textId="6392276F"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All subjects must sign and date the ICF before any study-specific screening procedure. Pre-enrollment screening test and evaluation will be used to determine the eligibility of patients to be included in the study. All screening tests must be completed within 28 days prior to enrollment, including the following:</w:t>
      </w:r>
    </w:p>
    <w:p w14:paraId="081B9D0B" w14:textId="78FFB240" w:rsidR="004733E0" w:rsidRPr="00B942CD" w:rsidRDefault="004733E0" w:rsidP="004C08C9">
      <w:pPr>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Demographics, including past treatment records</w:t>
      </w:r>
    </w:p>
    <w:p w14:paraId="266464B9" w14:textId="600406D1"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Vital signs: body temperature, blood pressure, pulse rate, and respiratory rate</w:t>
      </w:r>
    </w:p>
    <w:p w14:paraId="7478C9BF" w14:textId="15866D2D"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Physical examination, height and weight</w:t>
      </w:r>
    </w:p>
    <w:p w14:paraId="58E09B99" w14:textId="61170461" w:rsidR="004733E0" w:rsidRPr="00B942CD" w:rsidRDefault="004733E0" w:rsidP="004C08C9">
      <w:pPr>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Inquiry of prior and concomitant medication</w:t>
      </w:r>
    </w:p>
    <w:p w14:paraId="3BBE161F" w14:textId="7B56B039" w:rsidR="004733E0" w:rsidRPr="00B942CD" w:rsidRDefault="004733E0" w:rsidP="004C08C9">
      <w:pPr>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ECOG PS score</w:t>
      </w:r>
    </w:p>
    <w:p w14:paraId="06637F6D" w14:textId="4A87D983" w:rsidR="004733E0" w:rsidRPr="00B942CD" w:rsidRDefault="004733E0" w:rsidP="004C08C9">
      <w:pPr>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Complete blood count (CBC) test and platelet count</w:t>
      </w:r>
    </w:p>
    <w:p w14:paraId="321C3C1C" w14:textId="58B06016"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Serum chemistry: ALT/SGPT, AST/SGOT, alkaline phosphatase, total bilirubin, creatinine clearance (calculated using Cockcroft formula) or creatinine, albumin, and electrolytes</w:t>
      </w:r>
    </w:p>
    <w:p w14:paraId="003ACAE7" w14:textId="77777777"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Coagulation tests</w:t>
      </w:r>
    </w:p>
    <w:p w14:paraId="6A86B364" w14:textId="77777777"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Serum CA-125</w:t>
      </w:r>
    </w:p>
    <w:p w14:paraId="4C9CFB5D" w14:textId="77777777"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Thyroid function test (TSH, free T3, free T4)</w:t>
      </w:r>
    </w:p>
    <w:p w14:paraId="3D640690" w14:textId="77777777"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Urinalysis</w:t>
      </w:r>
    </w:p>
    <w:p w14:paraId="415C8BBE" w14:textId="77777777"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12-lead ECG</w:t>
      </w:r>
    </w:p>
    <w:p w14:paraId="1669D22A" w14:textId="746C3820"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Serum or urine pregnancy test (within 3 days prior to the first dose of the study drugs) (only for women of childbearing potential)</w:t>
      </w:r>
    </w:p>
    <w:p w14:paraId="74B05C70" w14:textId="6B934C7C" w:rsidR="004733E0" w:rsidRPr="00B942CD" w:rsidRDefault="004733E0" w:rsidP="004C08C9">
      <w:pPr>
        <w:pStyle w:val="ListParagraph"/>
        <w:widowControl/>
        <w:numPr>
          <w:ilvl w:val="0"/>
          <w:numId w:val="12"/>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RECIST 1.1 assessment: Abdomen/pelvic cavity and other clinically indicated sites</w:t>
      </w:r>
    </w:p>
    <w:p w14:paraId="2CD723F5"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Once all screening tests are completed and the test results are reported, the investigator or his/her designated personnel will register the patient in the study.</w:t>
      </w:r>
    </w:p>
    <w:p w14:paraId="548B3DCD" w14:textId="73E0A5FE" w:rsidR="004733E0" w:rsidRPr="00B942CD" w:rsidRDefault="004733E0" w:rsidP="00AA119C">
      <w:pPr>
        <w:pStyle w:val="Heading3"/>
        <w:pageBreakBefore/>
        <w:rPr>
          <w:rFonts w:cs="Times New Roman"/>
        </w:rPr>
      </w:pPr>
      <w:bookmarkStart w:id="110" w:name="3.2.2_On_Study"/>
      <w:bookmarkStart w:id="111" w:name="_bookmark30"/>
      <w:bookmarkStart w:id="112" w:name="_Toc98358620"/>
      <w:bookmarkEnd w:id="110"/>
      <w:bookmarkEnd w:id="111"/>
      <w:r w:rsidRPr="00B942CD">
        <w:rPr>
          <w:rFonts w:cs="Times New Roman"/>
        </w:rPr>
        <w:lastRenderedPageBreak/>
        <w:t xml:space="preserve">During the </w:t>
      </w:r>
      <w:r w:rsidR="009707A9" w:rsidRPr="00B942CD">
        <w:rPr>
          <w:rFonts w:cs="Times New Roman"/>
        </w:rPr>
        <w:t>study</w:t>
      </w:r>
      <w:bookmarkEnd w:id="112"/>
    </w:p>
    <w:p w14:paraId="7CCECC78" w14:textId="49BBB84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imaging examinations (enhanced CT scan or MRI scan) will be performed at treatment baseline, Week 9, Week 18, and Week 27, respectively, and will be independently read and reviewed by two radiologists from the blinded independent central review (BICR). Patients can continue treatment as long as there are no intolerable toxic and side effects, the disease is stable, or the treatment is effective. During the implementation of this study, the following items will be evaluated:</w:t>
      </w:r>
    </w:p>
    <w:p w14:paraId="2487001F" w14:textId="4198D73A" w:rsidR="004733E0" w:rsidRPr="00B942CD" w:rsidRDefault="004733E0" w:rsidP="004C08C9">
      <w:pPr>
        <w:pStyle w:val="ListParagraph"/>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Physical examination (including vital signs), requiring retest of blood pressure every 10 minutes</w:t>
      </w:r>
    </w:p>
    <w:p w14:paraId="6A1C67B9" w14:textId="1F85B3B3"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ECOG PS score</w:t>
      </w:r>
    </w:p>
    <w:p w14:paraId="5EC40277" w14:textId="77777777"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Concomitant medication</w:t>
      </w:r>
    </w:p>
    <w:p w14:paraId="209F7C67" w14:textId="59B3F1B2" w:rsidR="004733E0" w:rsidRPr="00B942CD" w:rsidRDefault="001618AB"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szCs w:val="28"/>
        </w:rPr>
      </w:pPr>
      <w:r w:rsidRPr="00B942CD">
        <w:rPr>
          <w:rFonts w:ascii="Times New Roman" w:eastAsia="SimSun" w:hAnsi="Times New Roman" w:cs="Times New Roman"/>
          <w:snapToGrid w:val="0"/>
          <w:color w:val="000000" w:themeColor="text1"/>
          <w:sz w:val="24"/>
        </w:rPr>
        <w:t>Laboratory tests should be performed during the first cycle, and CBC should be performed on C1D1, C1D8 and C1D15, and then once per cycle</w:t>
      </w:r>
    </w:p>
    <w:p w14:paraId="217447D9" w14:textId="674C2675"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Circulating tumor DNA (</w:t>
      </w:r>
      <w:proofErr w:type="spellStart"/>
      <w:r w:rsidRPr="00B942CD">
        <w:rPr>
          <w:rFonts w:ascii="Times New Roman" w:eastAsia="SimSun" w:hAnsi="Times New Roman" w:cs="Times New Roman"/>
          <w:snapToGrid w:val="0"/>
          <w:color w:val="000000" w:themeColor="text1"/>
          <w:sz w:val="24"/>
        </w:rPr>
        <w:t>ctDNA</w:t>
      </w:r>
      <w:proofErr w:type="spellEnd"/>
      <w:r w:rsidRPr="00B942CD">
        <w:rPr>
          <w:rFonts w:ascii="Times New Roman" w:eastAsia="SimSun" w:hAnsi="Times New Roman" w:cs="Times New Roman"/>
          <w:snapToGrid w:val="0"/>
          <w:color w:val="000000" w:themeColor="text1"/>
          <w:sz w:val="24"/>
        </w:rPr>
        <w:t>), tested weekly during the first cycle and every cycle thereafter; serum CA-125 should be tested every cycle</w:t>
      </w:r>
    </w:p>
    <w:p w14:paraId="04F50DCD" w14:textId="62CB5C43"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Coagulation test every cycle</w:t>
      </w:r>
    </w:p>
    <w:p w14:paraId="481F2D44" w14:textId="5A1AD770"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Thyroid function test every 2 cycles</w:t>
      </w:r>
    </w:p>
    <w:p w14:paraId="6F186197" w14:textId="275D2863"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Urinalysis every cycle</w:t>
      </w:r>
    </w:p>
    <w:p w14:paraId="1564E089" w14:textId="6FBE423F"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12-lead ECG every cycle</w:t>
      </w:r>
    </w:p>
    <w:p w14:paraId="5A0692DA" w14:textId="6F6C4CD0"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Monitoring of AEs</w:t>
      </w:r>
    </w:p>
    <w:p w14:paraId="493CA00B" w14:textId="2BA4A892" w:rsidR="004733E0" w:rsidRPr="00B942CD" w:rsidRDefault="004733E0" w:rsidP="004C08C9">
      <w:pPr>
        <w:pStyle w:val="ListParagraph"/>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Whole blood specimen collection: The specimens are sent to the central laboratory designated by the investigator for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proofErr w:type="spellEnd"/>
      <w:r w:rsidRPr="00B942CD">
        <w:rPr>
          <w:rFonts w:ascii="Times New Roman" w:eastAsia="SimSun" w:hAnsi="Times New Roman" w:cs="Times New Roman"/>
          <w:snapToGrid w:val="0"/>
          <w:color w:val="000000" w:themeColor="text1"/>
          <w:sz w:val="24"/>
        </w:rPr>
        <w:t xml:space="preserve"> mutation detection. For patients who have been tested for </w:t>
      </w:r>
      <w:proofErr w:type="spellStart"/>
      <w:r w:rsidRPr="00B942CD">
        <w:rPr>
          <w:rFonts w:ascii="Times New Roman" w:eastAsia="SimSun" w:hAnsi="Times New Roman" w:cs="Times New Roman"/>
          <w:snapToGrid w:val="0"/>
          <w:color w:val="000000" w:themeColor="text1"/>
          <w:sz w:val="24"/>
        </w:rPr>
        <w:t>g</w:t>
      </w:r>
      <w:r w:rsidRPr="00B942CD">
        <w:rPr>
          <w:rFonts w:ascii="Times New Roman" w:eastAsia="SimSun" w:hAnsi="Times New Roman" w:cs="Times New Roman"/>
          <w:i/>
          <w:iCs/>
          <w:snapToGrid w:val="0"/>
          <w:color w:val="000000" w:themeColor="text1"/>
          <w:sz w:val="24"/>
        </w:rPr>
        <w:t>BRCA</w:t>
      </w:r>
      <w:proofErr w:type="spellEnd"/>
      <w:r w:rsidRPr="00B942CD">
        <w:rPr>
          <w:rFonts w:ascii="Times New Roman" w:eastAsia="SimSun" w:hAnsi="Times New Roman" w:cs="Times New Roman"/>
          <w:snapToGrid w:val="0"/>
          <w:color w:val="000000" w:themeColor="text1"/>
          <w:sz w:val="24"/>
        </w:rPr>
        <w:t xml:space="preserve"> in the past, whether the previous test results can be directly used for study records is determined after discussion with the investigator.</w:t>
      </w:r>
    </w:p>
    <w:p w14:paraId="35D4A096" w14:textId="2A394754"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Collection of formalin-fixed, paraffin-embedded tumor tissue samples: The samples are sent to the central laboratory designated by the investigator for testing of the HRD status or HRR-related genes (optional)</w:t>
      </w:r>
    </w:p>
    <w:p w14:paraId="3921651F" w14:textId="72722A45" w:rsidR="004733E0" w:rsidRPr="00B942CD" w:rsidRDefault="004733E0" w:rsidP="004C08C9">
      <w:pPr>
        <w:widowControl/>
        <w:numPr>
          <w:ilvl w:val="0"/>
          <w:numId w:val="4"/>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patient is diagnosed as MDS/AML during the study, bone marrow aspiration and biopsy will be completed, and the whole blood samples will be collected for molecular and cytogenetic analysis</w:t>
      </w:r>
    </w:p>
    <w:p w14:paraId="51312CCE" w14:textId="77777777" w:rsidR="004733E0" w:rsidRPr="00B942CD" w:rsidRDefault="004733E0" w:rsidP="00AA119C">
      <w:pPr>
        <w:pStyle w:val="Heading3"/>
        <w:rPr>
          <w:rFonts w:cs="Times New Roman"/>
        </w:rPr>
      </w:pPr>
      <w:bookmarkStart w:id="113" w:name="3.2.3_End_of_Treatment_(within_7_days_of"/>
      <w:bookmarkStart w:id="114" w:name="_bookmark31"/>
      <w:bookmarkStart w:id="115" w:name="_Toc98358621"/>
      <w:bookmarkEnd w:id="113"/>
      <w:bookmarkEnd w:id="114"/>
      <w:r w:rsidRPr="00B942CD">
        <w:rPr>
          <w:rFonts w:cs="Times New Roman"/>
        </w:rPr>
        <w:t>Withdrawal from treatment for any reason (Visit is completed within 7 days after the last dose of study drug)</w:t>
      </w:r>
      <w:bookmarkEnd w:id="115"/>
    </w:p>
    <w:p w14:paraId="6690ACCE" w14:textId="7777777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Vital signs</w:t>
      </w:r>
    </w:p>
    <w:p w14:paraId="57425019" w14:textId="1BA564A5"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Physical examination, height and weight</w:t>
      </w:r>
    </w:p>
    <w:p w14:paraId="2607B330" w14:textId="3312C5FD"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Laboratory test</w:t>
      </w:r>
    </w:p>
    <w:p w14:paraId="107205B1" w14:textId="72424FA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Coagulation function test</w:t>
      </w:r>
    </w:p>
    <w:p w14:paraId="01511532" w14:textId="7777777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Thyroid function test</w:t>
      </w:r>
    </w:p>
    <w:p w14:paraId="1EA6D3FE" w14:textId="7777777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Urinalysis</w:t>
      </w:r>
    </w:p>
    <w:p w14:paraId="011F6CED" w14:textId="7777777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12-lead ECG</w:t>
      </w:r>
    </w:p>
    <w:p w14:paraId="2DA2812D" w14:textId="74F6A437" w:rsidR="004733E0" w:rsidRPr="00B942CD" w:rsidRDefault="004733E0" w:rsidP="004C08C9">
      <w:pPr>
        <w:pStyle w:val="ListParagraph"/>
        <w:widowControl/>
        <w:numPr>
          <w:ilvl w:val="3"/>
          <w:numId w:val="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Monitoring of AEs</w:t>
      </w:r>
    </w:p>
    <w:p w14:paraId="4E42589A" w14:textId="2573E7CB" w:rsidR="004733E0" w:rsidRPr="00B942CD" w:rsidRDefault="004733E0" w:rsidP="00AA119C">
      <w:pPr>
        <w:pStyle w:val="Heading3"/>
        <w:rPr>
          <w:rFonts w:cs="Times New Roman"/>
        </w:rPr>
      </w:pPr>
      <w:bookmarkStart w:id="116" w:name="3.2.4_Ongoing_Assessments"/>
      <w:bookmarkStart w:id="117" w:name="_bookmark32"/>
      <w:bookmarkStart w:id="118" w:name="_Toc98358622"/>
      <w:bookmarkEnd w:id="116"/>
      <w:bookmarkEnd w:id="117"/>
      <w:r w:rsidRPr="00B942CD">
        <w:rPr>
          <w:rFonts w:cs="Times New Roman"/>
        </w:rPr>
        <w:t xml:space="preserve">Continuous </w:t>
      </w:r>
      <w:r w:rsidR="009707A9" w:rsidRPr="00B942CD">
        <w:rPr>
          <w:rFonts w:cs="Times New Roman"/>
        </w:rPr>
        <w:t>assessment</w:t>
      </w:r>
      <w:bookmarkEnd w:id="118"/>
    </w:p>
    <w:p w14:paraId="624DF0F2" w14:textId="77777777" w:rsidR="004733E0" w:rsidRPr="00B942CD" w:rsidRDefault="004733E0" w:rsidP="004C08C9">
      <w:pPr>
        <w:pStyle w:val="ListParagraph"/>
        <w:widowControl/>
        <w:numPr>
          <w:ilvl w:val="0"/>
          <w:numId w:val="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AEs will be monitored for 30 days after the last dose.</w:t>
      </w:r>
    </w:p>
    <w:p w14:paraId="63216E6C" w14:textId="77777777" w:rsidR="004733E0" w:rsidRPr="00B942CD" w:rsidRDefault="004733E0" w:rsidP="004C08C9">
      <w:pPr>
        <w:widowControl/>
        <w:numPr>
          <w:ilvl w:val="0"/>
          <w:numId w:val="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Subjects will receive survival follow-up after discontinuation of study treatment every 90 days (± 7 days) to collect the information of new malignant tumors.</w:t>
      </w:r>
    </w:p>
    <w:p w14:paraId="1495FE67" w14:textId="397C6EAC" w:rsidR="004733E0" w:rsidRPr="00B942CD" w:rsidRDefault="004733E0" w:rsidP="004C08C9">
      <w:pPr>
        <w:widowControl/>
        <w:numPr>
          <w:ilvl w:val="0"/>
          <w:numId w:val="3"/>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Information (including commencement date of subsequent first anti-cancer treatment) of first new anti-cancer treatment (including chemotherapy) is collected after the end of study treatment every 90 days (± 7 days).</w:t>
      </w:r>
    </w:p>
    <w:p w14:paraId="594D6EBD" w14:textId="75AE8F5A" w:rsidR="004733E0" w:rsidRPr="00B942CD" w:rsidRDefault="004733E0" w:rsidP="00AA119C">
      <w:pPr>
        <w:pStyle w:val="Heading3"/>
        <w:rPr>
          <w:rFonts w:cs="Times New Roman"/>
        </w:rPr>
      </w:pPr>
      <w:bookmarkStart w:id="119" w:name="3.2.5_Unscheduled_Assessments"/>
      <w:bookmarkStart w:id="120" w:name="_bookmark33"/>
      <w:bookmarkStart w:id="121" w:name="_Toc98358623"/>
      <w:bookmarkEnd w:id="119"/>
      <w:bookmarkEnd w:id="120"/>
      <w:r w:rsidRPr="00B942CD">
        <w:rPr>
          <w:rFonts w:cs="Times New Roman"/>
        </w:rPr>
        <w:t>Unscheduled assessments</w:t>
      </w:r>
      <w:bookmarkEnd w:id="121"/>
    </w:p>
    <w:p w14:paraId="0A9E20C8" w14:textId="77777777" w:rsidR="004733E0" w:rsidRPr="00B942CD" w:rsidRDefault="004733E0" w:rsidP="004C08C9">
      <w:pPr>
        <w:pStyle w:val="ListParagraph"/>
        <w:widowControl/>
        <w:numPr>
          <w:ilvl w:val="0"/>
          <w:numId w:val="2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Monitoring of SAEs</w:t>
      </w:r>
    </w:p>
    <w:p w14:paraId="6F5C3D25" w14:textId="77777777" w:rsidR="004733E0" w:rsidRPr="00B942CD" w:rsidRDefault="004733E0" w:rsidP="004C08C9">
      <w:pPr>
        <w:pStyle w:val="ListParagraph"/>
        <w:widowControl/>
        <w:numPr>
          <w:ilvl w:val="1"/>
          <w:numId w:val="2"/>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at any time after study completion, the investigator identifies a study drug-related SAE, the investigator should report the SAE to the sponsor's pharmacovigilance department within 24 hours of learning of the SAE</w:t>
      </w:r>
    </w:p>
    <w:p w14:paraId="40A29FE4" w14:textId="77777777" w:rsidR="004733E0" w:rsidRPr="00B942CD" w:rsidRDefault="004733E0" w:rsidP="004C08C9">
      <w:pPr>
        <w:pStyle w:val="ListParagraph"/>
        <w:widowControl/>
        <w:numPr>
          <w:ilvl w:val="0"/>
          <w:numId w:val="2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CBC</w:t>
      </w:r>
    </w:p>
    <w:p w14:paraId="39DCB396" w14:textId="583C6349" w:rsidR="004733E0" w:rsidRPr="00B942CD" w:rsidRDefault="004733E0" w:rsidP="004C08C9">
      <w:pPr>
        <w:pStyle w:val="ListParagraph"/>
        <w:widowControl/>
        <w:numPr>
          <w:ilvl w:val="1"/>
          <w:numId w:val="2"/>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CBC is tested weekly at any stage of the study if dose interruption or adjustment is required due to hematologic toxicities until the AE resolves. To ensure the safety of the adjusted dose, CBC should continue to be tested once a week, and the dose can be continued after 4 weeks of monitoring.</w:t>
      </w:r>
    </w:p>
    <w:p w14:paraId="62E25F73" w14:textId="77777777" w:rsidR="004733E0" w:rsidRPr="00B942CD" w:rsidRDefault="004733E0" w:rsidP="004C08C9">
      <w:pPr>
        <w:pStyle w:val="ListParagraph"/>
        <w:widowControl/>
        <w:numPr>
          <w:ilvl w:val="0"/>
          <w:numId w:val="2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Chest CT or MRI</w:t>
      </w:r>
    </w:p>
    <w:p w14:paraId="2174B671" w14:textId="1FB9C03D" w:rsidR="004733E0" w:rsidRPr="00B942CD" w:rsidRDefault="004733E0" w:rsidP="004C08C9">
      <w:pPr>
        <w:pStyle w:val="ListParagraph"/>
        <w:widowControl/>
        <w:numPr>
          <w:ilvl w:val="1"/>
          <w:numId w:val="2"/>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It is not necessary for repeating chest radiography if chest CT or MRI is clear at screening and there are no chest lesions or clinical indications; otherwise, chest radiography will be performed concurrently with RECIST.</w:t>
      </w:r>
    </w:p>
    <w:p w14:paraId="1587C39A" w14:textId="11392F5C" w:rsidR="004733E0" w:rsidRPr="00B942CD" w:rsidRDefault="004733E0" w:rsidP="004C08C9">
      <w:pPr>
        <w:pStyle w:val="ListParagraph"/>
        <w:widowControl/>
        <w:numPr>
          <w:ilvl w:val="0"/>
          <w:numId w:val="25"/>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Bone marrow aspiration and biopsy</w:t>
      </w:r>
    </w:p>
    <w:p w14:paraId="1467A76A" w14:textId="59DA9059" w:rsidR="004733E0" w:rsidRPr="00B942CD" w:rsidRDefault="004733E0" w:rsidP="004C08C9">
      <w:pPr>
        <w:pStyle w:val="ListParagraph"/>
        <w:widowControl/>
        <w:numPr>
          <w:ilvl w:val="1"/>
          <w:numId w:val="2"/>
        </w:numPr>
        <w:autoSpaceDE/>
        <w:autoSpaceDN/>
        <w:adjustRightInd w:val="0"/>
        <w:snapToGrid w:val="0"/>
        <w:spacing w:beforeLines="50" w:before="120" w:line="288" w:lineRule="auto"/>
        <w:ind w:leftChars="400" w:left="1360" w:hangingChars="200" w:hanging="480"/>
        <w:jc w:val="both"/>
        <w:rPr>
          <w:rFonts w:ascii="Times New Roman" w:eastAsia="SimSun" w:hAnsi="Times New Roman" w:cs="Times New Roman"/>
          <w:snapToGrid w:val="0"/>
          <w:color w:val="000000" w:themeColor="text1"/>
          <w:sz w:val="24"/>
        </w:rPr>
      </w:pPr>
      <w:bookmarkStart w:id="122" w:name="OLE_LINK6"/>
      <w:r w:rsidRPr="00B942CD">
        <w:rPr>
          <w:rFonts w:ascii="Times New Roman" w:eastAsia="SimSun" w:hAnsi="Times New Roman" w:cs="Times New Roman"/>
          <w:snapToGrid w:val="0"/>
          <w:color w:val="000000" w:themeColor="text1"/>
          <w:sz w:val="24"/>
        </w:rPr>
        <w:t xml:space="preserve">Bone marrow aspiration and biopsy must be completed by a local hematologist for any suspected cases of MDS/AML that are reported while the patients are being treated or undergoing post-treatment evaluation. As long as the study site receives a </w:t>
      </w:r>
      <w:r w:rsidRPr="00B942CD">
        <w:rPr>
          <w:rFonts w:ascii="Times New Roman" w:eastAsia="SimSun" w:hAnsi="Times New Roman" w:cs="Times New Roman"/>
          <w:snapToGrid w:val="0"/>
          <w:color w:val="000000" w:themeColor="text1"/>
          <w:sz w:val="24"/>
        </w:rPr>
        <w:lastRenderedPageBreak/>
        <w:t>copy of the report of the hematologist and classifies it according to the World Health Organization standard, it will be a test of the treatment process. The study site must maintain a copy of the report and the patient's study file.</w:t>
      </w:r>
      <w:bookmarkEnd w:id="122"/>
    </w:p>
    <w:p w14:paraId="678E5763" w14:textId="2C8A413B" w:rsidR="004733E0" w:rsidRPr="00B942CD" w:rsidRDefault="004733E0" w:rsidP="00AA119C">
      <w:pPr>
        <w:pStyle w:val="Heading1"/>
        <w:rPr>
          <w:rFonts w:cs="Times New Roman"/>
        </w:rPr>
      </w:pPr>
      <w:bookmarkStart w:id="123" w:name="4_STUDY_MEDICATION"/>
      <w:bookmarkStart w:id="124" w:name="_bookmark34"/>
      <w:bookmarkStart w:id="125" w:name="_Toc98358624"/>
      <w:bookmarkEnd w:id="123"/>
      <w:bookmarkEnd w:id="124"/>
      <w:r w:rsidRPr="00B942CD">
        <w:rPr>
          <w:rFonts w:cs="Times New Roman"/>
        </w:rPr>
        <w:t>IMP</w:t>
      </w:r>
      <w:r w:rsidR="009707A9" w:rsidRPr="00B942CD">
        <w:rPr>
          <w:rFonts w:cs="Times New Roman"/>
        </w:rPr>
        <w:t>s</w:t>
      </w:r>
      <w:bookmarkEnd w:id="125"/>
    </w:p>
    <w:p w14:paraId="5ABB4E8D" w14:textId="2F45BEB7" w:rsidR="004733E0" w:rsidRPr="00B942CD" w:rsidRDefault="004733E0" w:rsidP="00AA119C">
      <w:pPr>
        <w:pStyle w:val="Heading2"/>
        <w:rPr>
          <w:rFonts w:cs="Times New Roman"/>
        </w:rPr>
      </w:pPr>
      <w:bookmarkStart w:id="126" w:name="_Toc98358625"/>
      <w:r w:rsidRPr="00B942CD">
        <w:rPr>
          <w:rFonts w:cs="Times New Roman"/>
        </w:rPr>
        <w:t>Anlotinib</w:t>
      </w:r>
      <w:bookmarkEnd w:id="126"/>
    </w:p>
    <w:p w14:paraId="5EC14C0A" w14:textId="77777777" w:rsidR="004733E0" w:rsidRPr="00B942CD" w:rsidRDefault="004733E0" w:rsidP="00AA119C">
      <w:pPr>
        <w:pStyle w:val="Heading3"/>
        <w:rPr>
          <w:rFonts w:cs="Times New Roman"/>
        </w:rPr>
      </w:pPr>
      <w:bookmarkStart w:id="127" w:name="_Toc98358626"/>
      <w:r w:rsidRPr="00B942CD">
        <w:rPr>
          <w:rFonts w:cs="Times New Roman"/>
        </w:rPr>
        <w:t>Management</w:t>
      </w:r>
      <w:bookmarkEnd w:id="127"/>
    </w:p>
    <w:p w14:paraId="388F0D26" w14:textId="090224A6"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study drug should be stored in study sites as required in local regulations, which is safely stored with controlled and recorded temperature, and not available to unauthorized personnel. The investigator should ensure that the study drug is dispensed to the subject only and recycled as required. The study drug must be dispensed by authorized personnel at the study site in accordance with local regulations. Its receiving, distribution, storage, return and destruction must be correctly recorded.</w:t>
      </w:r>
    </w:p>
    <w:p w14:paraId="62F84BC3" w14:textId="0E83B9BA"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Subjects take anlotinib hydrochloride capsules orally by themselves every morning before meals until PD or intolerance. They must show good compliance throughout the study. If the number of returned tablets does not match the expected number, it will be discussed with the subject and appropriate dose supplement will be conducted. At study drug return, compliance will be assessed based on drug count and subject diary. At each visit, drugs dispensed or returned to the sponsor are recorded for drug count and verification.</w:t>
      </w:r>
    </w:p>
    <w:p w14:paraId="6A7F5353" w14:textId="05862696" w:rsidR="004733E0" w:rsidRPr="00B942CD" w:rsidRDefault="004733E0" w:rsidP="00AA119C">
      <w:pPr>
        <w:pStyle w:val="Heading3"/>
        <w:rPr>
          <w:rFonts w:cs="Times New Roman"/>
        </w:rPr>
      </w:pPr>
      <w:bookmarkStart w:id="128" w:name="_Toc98358627"/>
      <w:r w:rsidRPr="00B942CD">
        <w:rPr>
          <w:rFonts w:cs="Times New Roman"/>
        </w:rPr>
        <w:t>Packaging, labeling and storage</w:t>
      </w:r>
      <w:bookmarkEnd w:id="128"/>
    </w:p>
    <w:p w14:paraId="31AC8F0A" w14:textId="0539AA1B" w:rsidR="004733E0" w:rsidRPr="00076371"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rPr>
      </w:pPr>
      <w:r w:rsidRPr="00076371">
        <w:rPr>
          <w:rFonts w:ascii="Times New Roman" w:eastAsia="SimSun" w:hAnsi="Times New Roman" w:cs="Times New Roman"/>
          <w:snapToGrid w:val="0"/>
          <w:sz w:val="24"/>
        </w:rPr>
        <w:t>Anlotinib hydrochloride capsules will be packaged in aluminum foil and be available at dosage forms of 10 mg and 8 mg in this study. All study drugs will be numbered according to the requirements of Good Manufacturing Practice (GMP).</w:t>
      </w:r>
    </w:p>
    <w:p w14:paraId="43F83E16"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investigator shall ensure that the storage conditions (temperature, light, and humidity) of the study drug are consistent with those determined by the drug manufacturer.</w:t>
      </w:r>
    </w:p>
    <w:p w14:paraId="2572A876" w14:textId="6CDCFB62"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Anlotinib hydrochloride capsules should be stored below 25℃ in sealed condition and protected from light. If there are temperature excursions or concerns regarding the quality and appearance of the study drug, isolate and suspend distribution of the study drug, and immediately contact the drug manufacturer.</w:t>
      </w:r>
    </w:p>
    <w:p w14:paraId="3AB581DF" w14:textId="77777777" w:rsidR="004733E0" w:rsidRPr="00B942CD" w:rsidRDefault="004733E0" w:rsidP="00AA119C">
      <w:pPr>
        <w:pStyle w:val="Heading3"/>
        <w:rPr>
          <w:rFonts w:cs="Times New Roman"/>
        </w:rPr>
      </w:pPr>
      <w:bookmarkStart w:id="129" w:name="_Toc98358628"/>
      <w:r w:rsidRPr="00B942CD">
        <w:rPr>
          <w:rFonts w:cs="Times New Roman"/>
        </w:rPr>
        <w:t>Handling and destruction</w:t>
      </w:r>
      <w:bookmarkEnd w:id="129"/>
    </w:p>
    <w:p w14:paraId="60441B08" w14:textId="709A7DE5"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Investigators should accurately record all the study drugs dispensed, including the date and quantity of distribution and recovery for each subject. After the end of the study, unused study drugs and empty bottles should be recycled and returned to the drug manufacturer for unified destruction.</w:t>
      </w:r>
    </w:p>
    <w:p w14:paraId="642DBFF4" w14:textId="40E7D76A" w:rsidR="006C7162" w:rsidRPr="00B942CD" w:rsidRDefault="006C7162"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br w:type="page"/>
      </w:r>
    </w:p>
    <w:p w14:paraId="2FCDE5A3" w14:textId="77777777" w:rsidR="004733E0" w:rsidRPr="00B942CD" w:rsidRDefault="004733E0" w:rsidP="00AA119C">
      <w:pPr>
        <w:pStyle w:val="Heading2"/>
        <w:rPr>
          <w:rFonts w:cs="Times New Roman"/>
        </w:rPr>
      </w:pPr>
      <w:bookmarkStart w:id="130" w:name="_Toc98358629"/>
      <w:r w:rsidRPr="00B942CD">
        <w:rPr>
          <w:rFonts w:cs="Times New Roman"/>
        </w:rPr>
        <w:lastRenderedPageBreak/>
        <w:t>Niraparib</w:t>
      </w:r>
      <w:bookmarkEnd w:id="130"/>
    </w:p>
    <w:p w14:paraId="08EF6EFE" w14:textId="71DCB3CC" w:rsidR="004733E0" w:rsidRPr="00B942CD" w:rsidRDefault="004733E0" w:rsidP="00AA119C">
      <w:pPr>
        <w:pStyle w:val="Heading3"/>
        <w:rPr>
          <w:rFonts w:cs="Times New Roman"/>
        </w:rPr>
      </w:pPr>
      <w:bookmarkStart w:id="131" w:name="_Toc98358630"/>
      <w:r w:rsidRPr="00B942CD">
        <w:rPr>
          <w:rFonts w:cs="Times New Roman"/>
        </w:rPr>
        <w:t>Characteristics</w:t>
      </w:r>
      <w:bookmarkEnd w:id="131"/>
    </w:p>
    <w:p w14:paraId="6481B268" w14:textId="24283485"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Niraparib is an oral, potent, highly selective PARP-1 and PARP-2 inhibitor.</w:t>
      </w:r>
    </w:p>
    <w:p w14:paraId="5EA61918" w14:textId="77777777" w:rsidR="004733E0" w:rsidRPr="00B942CD" w:rsidRDefault="004733E0" w:rsidP="00AA119C">
      <w:pPr>
        <w:pStyle w:val="Heading3"/>
        <w:rPr>
          <w:rFonts w:cs="Times New Roman"/>
        </w:rPr>
      </w:pPr>
      <w:bookmarkStart w:id="132" w:name="_Toc98358631"/>
      <w:r w:rsidRPr="00B942CD">
        <w:rPr>
          <w:rFonts w:cs="Times New Roman"/>
        </w:rPr>
        <w:t>Management</w:t>
      </w:r>
      <w:bookmarkEnd w:id="132"/>
    </w:p>
    <w:p w14:paraId="251D9B57" w14:textId="4848C4EA"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Niraparib will be administered at a fixed dose (based on Phase I clinical trials), depending on the cohort of patients and not on body weight or body surface area. Each dose should be swallowed completely without chewing. It is allowed to swallow the drug with water. Patients should take the medicine at approximately the same time each day prior to bedtime and record this information in the patient diary regarding their use of study drugs. The actual number of tablets taken by the patient must be calculated according to the number of tablets dispensed and returned.</w:t>
      </w:r>
    </w:p>
    <w:p w14:paraId="7BDD287A" w14:textId="50B69F0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must be instructed to return unused study drugs and empty packages back to the study site, at each visit, discontinuation or end of treatment. At each visit, drugs dispensed or returned to the sponsor are recorded for drug count and verification. The site staff must ensure that appropriate doses are used for each study drug.</w:t>
      </w:r>
    </w:p>
    <w:p w14:paraId="6E66C249" w14:textId="44ACCC1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All study drugs for treatment must be stored below 25 </w:t>
      </w:r>
      <w:proofErr w:type="spellStart"/>
      <w:r w:rsidRPr="00B942CD">
        <w:rPr>
          <w:rFonts w:ascii="Times New Roman" w:eastAsia="SimSun" w:hAnsi="Times New Roman" w:cs="Times New Roman"/>
          <w:snapToGrid w:val="0"/>
          <w:color w:val="000000" w:themeColor="text1"/>
          <w:sz w:val="24"/>
          <w:szCs w:val="24"/>
          <w:vertAlign w:val="superscript"/>
        </w:rPr>
        <w:t>o</w:t>
      </w:r>
      <w:r w:rsidRPr="00B942CD">
        <w:rPr>
          <w:rFonts w:ascii="Times New Roman" w:eastAsia="SimSun" w:hAnsi="Times New Roman" w:cs="Times New Roman"/>
          <w:snapToGrid w:val="0"/>
          <w:color w:val="000000" w:themeColor="text1"/>
          <w:sz w:val="24"/>
          <w:szCs w:val="24"/>
        </w:rPr>
        <w:t>C</w:t>
      </w:r>
      <w:proofErr w:type="spellEnd"/>
      <w:r w:rsidRPr="00B942CD">
        <w:rPr>
          <w:rFonts w:ascii="Times New Roman" w:eastAsia="SimSun" w:hAnsi="Times New Roman" w:cs="Times New Roman"/>
          <w:snapToGrid w:val="0"/>
          <w:color w:val="000000" w:themeColor="text1"/>
          <w:sz w:val="24"/>
          <w:szCs w:val="24"/>
        </w:rPr>
        <w:t xml:space="preserve"> in sealed condition in accordance with manufacturer's instructions. </w:t>
      </w:r>
      <w:r w:rsidRPr="00B942CD">
        <w:rPr>
          <w:rFonts w:ascii="Times New Roman" w:eastAsia="SimSun" w:hAnsi="Times New Roman" w:cs="Times New Roman"/>
          <w:snapToGrid w:val="0"/>
          <w:color w:val="000000" w:themeColor="text1"/>
          <w:sz w:val="24"/>
        </w:rPr>
        <w:t>They will be placed in access control places with locks that meet storage conditions and comprehensive safety precautions, as required by drug manufacturer.</w:t>
      </w:r>
    </w:p>
    <w:p w14:paraId="77384EFF" w14:textId="341D9CFD" w:rsidR="004733E0" w:rsidRPr="00B942CD" w:rsidRDefault="004733E0" w:rsidP="00AA119C">
      <w:pPr>
        <w:pStyle w:val="Heading3"/>
        <w:rPr>
          <w:rFonts w:cs="Times New Roman"/>
        </w:rPr>
      </w:pPr>
      <w:bookmarkStart w:id="133" w:name="_Toc98358632"/>
      <w:r w:rsidRPr="00B942CD">
        <w:rPr>
          <w:rFonts w:cs="Times New Roman"/>
        </w:rPr>
        <w:t>Potential risk of niraparib</w:t>
      </w:r>
      <w:bookmarkEnd w:id="133"/>
    </w:p>
    <w:p w14:paraId="463B7CCE"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information of AEs observed to date, please refer to the Investigator's Brochure.</w:t>
      </w:r>
    </w:p>
    <w:p w14:paraId="732FC186" w14:textId="316B108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MDS and AML have been observed in patients treated with PARP inhibitor, Olaparib. Given their common mechanism of action, MDS and AML are a potential risk for patients treated with niraparib.</w:t>
      </w:r>
    </w:p>
    <w:p w14:paraId="0A2037F4" w14:textId="73650B4A" w:rsidR="004733E0" w:rsidRPr="00B942CD" w:rsidRDefault="004733E0" w:rsidP="00AA119C">
      <w:pPr>
        <w:pStyle w:val="Heading3"/>
        <w:rPr>
          <w:rFonts w:cs="Times New Roman"/>
        </w:rPr>
      </w:pPr>
      <w:bookmarkStart w:id="134" w:name="_Toc98358633"/>
      <w:r w:rsidRPr="00B942CD">
        <w:rPr>
          <w:rFonts w:cs="Times New Roman"/>
        </w:rPr>
        <w:t>Packaging and labeling</w:t>
      </w:r>
      <w:bookmarkEnd w:id="134"/>
    </w:p>
    <w:p w14:paraId="110F524D" w14:textId="6023B32A"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rPr>
        <w:t>Niraparib 100 mg capsules are packaged with aluminum-plastic blisters, the box label text should include drug name, strength, package, sponsor's name, batch No., shelf life, clinical protocol No., administration and so on.</w:t>
      </w:r>
    </w:p>
    <w:p w14:paraId="13D51277" w14:textId="77777777" w:rsidR="004733E0" w:rsidRPr="00B942CD" w:rsidRDefault="004733E0" w:rsidP="00AA119C">
      <w:pPr>
        <w:pStyle w:val="Heading3"/>
        <w:rPr>
          <w:rFonts w:cs="Times New Roman"/>
        </w:rPr>
      </w:pPr>
      <w:bookmarkStart w:id="135" w:name="_Toc98358634"/>
      <w:r w:rsidRPr="00B942CD">
        <w:rPr>
          <w:rFonts w:cs="Times New Roman"/>
        </w:rPr>
        <w:t>Handling and destruction</w:t>
      </w:r>
      <w:bookmarkEnd w:id="135"/>
    </w:p>
    <w:p w14:paraId="70322570" w14:textId="549D3683"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According to local regulations, if allowed, niraparib will be recycled to the drug manufacturer for destruction.</w:t>
      </w:r>
    </w:p>
    <w:p w14:paraId="4ED31B18" w14:textId="2E411AC7" w:rsidR="004733E0" w:rsidRPr="00B942CD" w:rsidRDefault="004733E0" w:rsidP="00AA119C">
      <w:pPr>
        <w:pStyle w:val="Heading3"/>
        <w:rPr>
          <w:rFonts w:cs="Times New Roman"/>
        </w:rPr>
      </w:pPr>
      <w:bookmarkStart w:id="136" w:name="_Toc98358635"/>
      <w:r w:rsidRPr="00B942CD">
        <w:rPr>
          <w:rFonts w:cs="Times New Roman"/>
        </w:rPr>
        <w:t>Prior and concomitant medications</w:t>
      </w:r>
      <w:bookmarkEnd w:id="136"/>
    </w:p>
    <w:p w14:paraId="2959AD85" w14:textId="77777777" w:rsidR="00DC4578"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Information on all concomitant medications during the study (generic name of drug, administration purpose, administration dose and time, etc.) must be detailed in the case report form (CRF). Treatment with other clinical investigational drugs will be prohibited during the study period.</w:t>
      </w:r>
    </w:p>
    <w:p w14:paraId="1085C776" w14:textId="55830B2B" w:rsidR="00DC4578"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u w:val="single"/>
        </w:rPr>
      </w:pPr>
      <w:r w:rsidRPr="00B942CD">
        <w:rPr>
          <w:rFonts w:ascii="Times New Roman" w:eastAsia="SimSun" w:hAnsi="Times New Roman" w:cs="Times New Roman"/>
          <w:snapToGrid w:val="0"/>
          <w:sz w:val="24"/>
          <w:szCs w:val="24"/>
          <w:u w:val="single"/>
        </w:rPr>
        <w:lastRenderedPageBreak/>
        <w:t>Prohibited concomitant therapies:</w:t>
      </w:r>
    </w:p>
    <w:p w14:paraId="2C78E818" w14:textId="1F504751" w:rsidR="00DC4578" w:rsidRPr="00B942CD" w:rsidRDefault="004733E0" w:rsidP="004C08C9">
      <w:pPr>
        <w:pStyle w:val="BodyText"/>
        <w:widowControl/>
        <w:numPr>
          <w:ilvl w:val="0"/>
          <w:numId w:val="46"/>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Radiotherapy for target lesion within 4 weeks prior to initiation of study drug treatment.</w:t>
      </w:r>
    </w:p>
    <w:p w14:paraId="226F88FA" w14:textId="09A7B764" w:rsidR="00DC4578" w:rsidRPr="00B942CD" w:rsidRDefault="004733E0" w:rsidP="004C08C9">
      <w:pPr>
        <w:pStyle w:val="BodyText"/>
        <w:widowControl/>
        <w:numPr>
          <w:ilvl w:val="0"/>
          <w:numId w:val="46"/>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During the treatment with the study drug, rifampicin (and its analogs), hypericum </w:t>
      </w:r>
      <w:proofErr w:type="spellStart"/>
      <w:r w:rsidRPr="00B942CD">
        <w:rPr>
          <w:rFonts w:ascii="Times New Roman" w:eastAsia="SimSun" w:hAnsi="Times New Roman" w:cs="Times New Roman"/>
          <w:snapToGrid w:val="0"/>
          <w:sz w:val="24"/>
          <w:szCs w:val="24"/>
        </w:rPr>
        <w:t>perforatum</w:t>
      </w:r>
      <w:proofErr w:type="spellEnd"/>
      <w:r w:rsidRPr="00B942CD">
        <w:rPr>
          <w:rFonts w:ascii="Times New Roman" w:eastAsia="SimSun" w:hAnsi="Times New Roman" w:cs="Times New Roman"/>
          <w:snapToGrid w:val="0"/>
          <w:sz w:val="24"/>
          <w:szCs w:val="24"/>
        </w:rPr>
        <w:t xml:space="preserve"> or other Chinese patent medicines (including, but not limited to, </w:t>
      </w:r>
      <w:proofErr w:type="spellStart"/>
      <w:r w:rsidRPr="00B942CD">
        <w:rPr>
          <w:rFonts w:ascii="Times New Roman" w:eastAsia="SimSun" w:hAnsi="Times New Roman" w:cs="Times New Roman"/>
          <w:snapToGrid w:val="0"/>
          <w:sz w:val="24"/>
          <w:szCs w:val="24"/>
        </w:rPr>
        <w:t>Xiaoaiping</w:t>
      </w:r>
      <w:proofErr w:type="spellEnd"/>
      <w:r w:rsidRPr="00B942CD">
        <w:rPr>
          <w:rFonts w:ascii="Times New Roman" w:eastAsia="SimSun" w:hAnsi="Times New Roman" w:cs="Times New Roman"/>
          <w:snapToGrid w:val="0"/>
          <w:sz w:val="24"/>
          <w:szCs w:val="24"/>
        </w:rPr>
        <w:t xml:space="preserve">, </w:t>
      </w:r>
      <w:proofErr w:type="spellStart"/>
      <w:r w:rsidRPr="00B942CD">
        <w:rPr>
          <w:rFonts w:ascii="Times New Roman" w:eastAsia="SimSun" w:hAnsi="Times New Roman" w:cs="Times New Roman"/>
          <w:snapToGrid w:val="0"/>
          <w:sz w:val="24"/>
          <w:szCs w:val="24"/>
        </w:rPr>
        <w:t>Kanglaite</w:t>
      </w:r>
      <w:proofErr w:type="spellEnd"/>
      <w:r w:rsidRPr="00B942CD">
        <w:rPr>
          <w:rFonts w:ascii="Times New Roman" w:eastAsia="SimSun" w:hAnsi="Times New Roman" w:cs="Times New Roman"/>
          <w:snapToGrid w:val="0"/>
          <w:sz w:val="24"/>
          <w:szCs w:val="24"/>
        </w:rPr>
        <w:t xml:space="preserve">, cinobufagin, </w:t>
      </w:r>
      <w:proofErr w:type="spellStart"/>
      <w:r w:rsidRPr="00B942CD">
        <w:rPr>
          <w:rFonts w:ascii="Times New Roman" w:eastAsia="SimSun" w:hAnsi="Times New Roman" w:cs="Times New Roman"/>
          <w:snapToGrid w:val="0"/>
          <w:sz w:val="24"/>
          <w:szCs w:val="24"/>
        </w:rPr>
        <w:t>elemene</w:t>
      </w:r>
      <w:proofErr w:type="spellEnd"/>
      <w:r w:rsidRPr="00B942CD">
        <w:rPr>
          <w:rFonts w:ascii="Times New Roman" w:eastAsia="SimSun" w:hAnsi="Times New Roman" w:cs="Times New Roman"/>
          <w:snapToGrid w:val="0"/>
          <w:sz w:val="24"/>
          <w:szCs w:val="24"/>
        </w:rPr>
        <w:t xml:space="preserve"> and </w:t>
      </w:r>
      <w:proofErr w:type="spellStart"/>
      <w:r w:rsidRPr="00B942CD">
        <w:rPr>
          <w:rFonts w:ascii="Times New Roman" w:eastAsia="SimSun" w:hAnsi="Times New Roman" w:cs="Times New Roman"/>
          <w:snapToGrid w:val="0"/>
          <w:sz w:val="24"/>
          <w:szCs w:val="24"/>
        </w:rPr>
        <w:t>Delisheng</w:t>
      </w:r>
      <w:proofErr w:type="spellEnd"/>
      <w:r w:rsidRPr="00B942CD">
        <w:rPr>
          <w:rFonts w:ascii="Times New Roman" w:eastAsia="SimSun" w:hAnsi="Times New Roman" w:cs="Times New Roman"/>
          <w:snapToGrid w:val="0"/>
          <w:sz w:val="24"/>
          <w:szCs w:val="24"/>
        </w:rPr>
        <w:t xml:space="preserve"> Injection) are not allowed to be co-administered.</w:t>
      </w:r>
    </w:p>
    <w:p w14:paraId="4753819C" w14:textId="02333DB1" w:rsidR="00DC4578" w:rsidRPr="00B942CD" w:rsidRDefault="004733E0" w:rsidP="004C08C9">
      <w:pPr>
        <w:pStyle w:val="BodyText"/>
        <w:widowControl/>
        <w:numPr>
          <w:ilvl w:val="0"/>
          <w:numId w:val="46"/>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Anticoagulation therapy such as warfarin or heparin is not allowed when the subjects are administrated with the study drug.</w:t>
      </w:r>
    </w:p>
    <w:p w14:paraId="3D3FD36F" w14:textId="5E3ABB9E" w:rsidR="00DC4578" w:rsidRPr="00B942CD" w:rsidRDefault="004733E0" w:rsidP="004C08C9">
      <w:pPr>
        <w:pStyle w:val="BodyText"/>
        <w:widowControl/>
        <w:numPr>
          <w:ilvl w:val="0"/>
          <w:numId w:val="46"/>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Other chemotherapy, hormone therapy, immunotherapy, therapeutic radiation, experimental anticancer drugs, or loco-regional therapy are not allowed while the subject is using the study drug. Subjects can continue to receive hormone replacement therapy.</w:t>
      </w:r>
    </w:p>
    <w:p w14:paraId="13C346A8" w14:textId="02D251EC"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Other restrictions and precautions.</w:t>
      </w:r>
    </w:p>
    <w:p w14:paraId="457A53D4" w14:textId="215B2A3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Since anlotinib is mainly metabolized by CYP1A2 and CYP3A4/5, CYP3A4/5 inducers (rifampicin, rifabutin, rifapentine, dexamethasone, phenytoin, carbamazepine or phenobarbital, etc.) and CYP1A2 inducers (montelukast, omeprazole, </w:t>
      </w:r>
      <w:proofErr w:type="spellStart"/>
      <w:r w:rsidRPr="00B942CD">
        <w:rPr>
          <w:rFonts w:ascii="Times New Roman" w:eastAsia="SimSun" w:hAnsi="Times New Roman" w:cs="Times New Roman"/>
          <w:snapToGrid w:val="0"/>
          <w:color w:val="000000" w:themeColor="text1"/>
          <w:sz w:val="24"/>
        </w:rPr>
        <w:t>moracizine</w:t>
      </w:r>
      <w:proofErr w:type="spellEnd"/>
      <w:r w:rsidRPr="00B942CD">
        <w:rPr>
          <w:rFonts w:ascii="Times New Roman" w:eastAsia="SimSun" w:hAnsi="Times New Roman" w:cs="Times New Roman"/>
          <w:snapToGrid w:val="0"/>
          <w:color w:val="000000" w:themeColor="text1"/>
          <w:sz w:val="24"/>
        </w:rPr>
        <w:t xml:space="preserve">, etc.) may accelerate the metabolism of anlotinib and reduce the blood concentration of anlotinib. Potent CYP3A4/5 inhibitors (ketoconazole, itraconazole, clarithromycin, voriconazole, telithromycin, saquinavir, ritonavir, etc.) and potent CYP1A2 inhibitors (ciprofloxacin, </w:t>
      </w:r>
      <w:proofErr w:type="spellStart"/>
      <w:r w:rsidRPr="00B942CD">
        <w:rPr>
          <w:rFonts w:ascii="Times New Roman" w:eastAsia="SimSun" w:hAnsi="Times New Roman" w:cs="Times New Roman"/>
          <w:snapToGrid w:val="0"/>
          <w:color w:val="000000" w:themeColor="text1"/>
          <w:sz w:val="24"/>
        </w:rPr>
        <w:t>enoxacin</w:t>
      </w:r>
      <w:proofErr w:type="spellEnd"/>
      <w:r w:rsidRPr="00B942CD">
        <w:rPr>
          <w:rFonts w:ascii="Times New Roman" w:eastAsia="SimSun" w:hAnsi="Times New Roman" w:cs="Times New Roman"/>
          <w:snapToGrid w:val="0"/>
          <w:color w:val="000000" w:themeColor="text1"/>
          <w:sz w:val="24"/>
        </w:rPr>
        <w:t xml:space="preserve"> and fluvoxamine) may slow down the metabolism of anlotinib and increase the blood concentration of anlotinib.</w:t>
      </w:r>
    </w:p>
    <w:p w14:paraId="00EEB9B8"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Anlotinib has moderate inhibitory effects on CYP3A4, CYP2B6, CYP2C8, CYP2C9 and CYP2C19 (IC</w:t>
      </w:r>
      <w:r w:rsidRPr="00B942CD">
        <w:rPr>
          <w:rFonts w:ascii="Times New Roman" w:eastAsia="SimSun" w:hAnsi="Times New Roman" w:cs="Times New Roman"/>
          <w:snapToGrid w:val="0"/>
          <w:color w:val="000000" w:themeColor="text1"/>
          <w:sz w:val="24"/>
          <w:vertAlign w:val="subscript"/>
        </w:rPr>
        <w:t>50</w:t>
      </w:r>
      <w:r w:rsidRPr="00B942CD">
        <w:rPr>
          <w:rFonts w:ascii="Times New Roman" w:eastAsia="SimSun" w:hAnsi="Times New Roman" w:cs="Times New Roman"/>
          <w:snapToGrid w:val="0"/>
          <w:color w:val="000000" w:themeColor="text1"/>
          <w:sz w:val="24"/>
        </w:rPr>
        <w:t xml:space="preserve"> within the range of 1-10 µM), but has no significant induction effect on CYP1A2, CYP2B6 and CYP3A4. Concomitant use of anlotinib with narrow therapeutic range drugs metabolized by these enzymes, such as alfentanil and ergotamine metabolized by CYP3A4, warfarin metabolized by CYP2C9, should be avoided.</w:t>
      </w:r>
    </w:p>
    <w:p w14:paraId="6157892E" w14:textId="1CD96E28"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interaction between niraparib and other drugs is limited. Please refer to Appendix 2.</w:t>
      </w:r>
    </w:p>
    <w:p w14:paraId="76369289" w14:textId="24A064B6" w:rsidR="004733E0" w:rsidRPr="00B942CD" w:rsidRDefault="004733E0" w:rsidP="00AA119C">
      <w:pPr>
        <w:widowControl/>
        <w:autoSpaceDE/>
        <w:autoSpaceDN/>
        <w:adjustRightInd w:val="0"/>
        <w:snapToGrid w:val="0"/>
        <w:spacing w:beforeLines="50" w:before="120" w:line="288" w:lineRule="auto"/>
        <w:jc w:val="center"/>
        <w:rPr>
          <w:rFonts w:ascii="Times New Roman" w:eastAsia="SimSun" w:hAnsi="Times New Roman" w:cs="Times New Roman"/>
          <w:b/>
          <w:snapToGrid w:val="0"/>
          <w:color w:val="000000" w:themeColor="text1"/>
          <w:sz w:val="24"/>
        </w:rPr>
      </w:pPr>
      <w:r w:rsidRPr="00B942CD">
        <w:rPr>
          <w:rStyle w:val="fontstyle01"/>
          <w:rFonts w:ascii="Times New Roman" w:hAnsi="Times New Roman"/>
          <w:b/>
          <w:snapToGrid w:val="0"/>
          <w:color w:val="000000" w:themeColor="text1"/>
          <w:szCs w:val="22"/>
        </w:rPr>
        <w:t>Table 7:</w:t>
      </w:r>
      <w:r w:rsidRPr="00B942CD">
        <w:rPr>
          <w:rFonts w:ascii="Times New Roman" w:eastAsia="SimSun" w:hAnsi="Times New Roman" w:cs="Times New Roman"/>
          <w:b/>
          <w:snapToGrid w:val="0"/>
          <w:color w:val="000000" w:themeColor="text1"/>
          <w:sz w:val="24"/>
        </w:rPr>
        <w:t xml:space="preserve"> </w:t>
      </w:r>
      <w:r w:rsidRPr="00B942CD">
        <w:rPr>
          <w:rStyle w:val="fontstyle21"/>
          <w:rFonts w:ascii="Times New Roman" w:eastAsia="SimSun" w:hAnsi="Times New Roman"/>
          <w:b/>
          <w:snapToGrid w:val="0"/>
          <w:color w:val="000000" w:themeColor="text1"/>
          <w:szCs w:val="22"/>
        </w:rPr>
        <w:t>CYP3A4</w:t>
      </w:r>
      <w:r w:rsidRPr="00B942CD">
        <w:rPr>
          <w:rFonts w:ascii="Times New Roman" w:eastAsia="SimSun" w:hAnsi="Times New Roman" w:cs="Times New Roman"/>
          <w:b/>
          <w:snapToGrid w:val="0"/>
          <w:color w:val="000000" w:themeColor="text1"/>
          <w:sz w:val="24"/>
        </w:rPr>
        <w:t xml:space="preserve"> </w:t>
      </w:r>
      <w:r w:rsidRPr="00B942CD">
        <w:rPr>
          <w:rStyle w:val="fontstyle01"/>
          <w:rFonts w:ascii="Times New Roman" w:hAnsi="Times New Roman"/>
          <w:b/>
          <w:snapToGrid w:val="0"/>
          <w:color w:val="000000" w:themeColor="text1"/>
          <w:szCs w:val="22"/>
        </w:rPr>
        <w:t>inhibitors and inducers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675"/>
        <w:gridCol w:w="4675"/>
      </w:tblGrid>
      <w:tr w:rsidR="00C04058" w:rsidRPr="00B942CD" w14:paraId="40F1C70D" w14:textId="77777777" w:rsidTr="00A732FF">
        <w:trPr>
          <w:tblHeader/>
        </w:trPr>
        <w:tc>
          <w:tcPr>
            <w:tcW w:w="2500" w:type="pct"/>
            <w:tcBorders>
              <w:top w:val="single" w:sz="4" w:space="0" w:color="auto"/>
              <w:left w:val="single" w:sz="4" w:space="0" w:color="auto"/>
              <w:bottom w:val="single" w:sz="4" w:space="0" w:color="auto"/>
              <w:right w:val="single" w:sz="4" w:space="0" w:color="auto"/>
            </w:tcBorders>
            <w:vAlign w:val="center"/>
          </w:tcPr>
          <w:p w14:paraId="26A07B7F" w14:textId="32DCA9C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21"/>
                <w:rFonts w:ascii="Times New Roman" w:eastAsia="SimSun" w:hAnsi="Times New Roman"/>
                <w:snapToGrid w:val="0"/>
                <w:color w:val="000000" w:themeColor="text1"/>
                <w:sz w:val="21"/>
                <w:szCs w:val="21"/>
              </w:rPr>
              <w:t>CYP3A4</w:t>
            </w:r>
            <w:r w:rsidRPr="00B942CD">
              <w:rPr>
                <w:rFonts w:ascii="Times New Roman" w:eastAsia="SimSun" w:hAnsi="Times New Roman" w:cs="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 xml:space="preserve">inhibitors </w:t>
            </w:r>
          </w:p>
        </w:tc>
        <w:tc>
          <w:tcPr>
            <w:tcW w:w="2500" w:type="pct"/>
            <w:tcBorders>
              <w:top w:val="single" w:sz="4" w:space="0" w:color="auto"/>
              <w:left w:val="single" w:sz="4" w:space="0" w:color="auto"/>
              <w:bottom w:val="single" w:sz="4" w:space="0" w:color="auto"/>
              <w:right w:val="single" w:sz="4" w:space="0" w:color="auto"/>
            </w:tcBorders>
            <w:vAlign w:val="center"/>
          </w:tcPr>
          <w:p w14:paraId="75AE7600" w14:textId="5ED29E6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21"/>
                <w:rFonts w:ascii="Times New Roman" w:eastAsia="SimSun" w:hAnsi="Times New Roman"/>
                <w:snapToGrid w:val="0"/>
                <w:color w:val="000000" w:themeColor="text1"/>
                <w:sz w:val="21"/>
                <w:szCs w:val="21"/>
              </w:rPr>
              <w:t>CYP3A4</w:t>
            </w:r>
            <w:r w:rsidRPr="00B942CD">
              <w:rPr>
                <w:rFonts w:ascii="Times New Roman" w:eastAsia="SimSun" w:hAnsi="Times New Roman" w:cs="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inducers</w:t>
            </w:r>
          </w:p>
        </w:tc>
      </w:tr>
      <w:tr w:rsidR="00C04058" w:rsidRPr="00B942CD" w14:paraId="06CB37BF" w14:textId="77777777" w:rsidTr="00A732FF">
        <w:tc>
          <w:tcPr>
            <w:tcW w:w="2500" w:type="pct"/>
            <w:tcBorders>
              <w:top w:val="single" w:sz="4" w:space="0" w:color="auto"/>
              <w:left w:val="single" w:sz="4" w:space="0" w:color="auto"/>
              <w:bottom w:val="single" w:sz="4" w:space="0" w:color="auto"/>
              <w:right w:val="single" w:sz="4" w:space="0" w:color="auto"/>
            </w:tcBorders>
            <w:vAlign w:val="center"/>
          </w:tcPr>
          <w:p w14:paraId="79B8810B"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21"/>
                <w:rFonts w:ascii="Times New Roman" w:eastAsia="SimSun" w:hAnsi="Times New Roman"/>
                <w:snapToGrid w:val="0"/>
                <w:color w:val="000000" w:themeColor="text1"/>
                <w:sz w:val="21"/>
                <w:szCs w:val="21"/>
              </w:rPr>
              <w:t xml:space="preserve">HIV </w:t>
            </w:r>
            <w:r w:rsidRPr="00B942CD">
              <w:rPr>
                <w:rStyle w:val="fontstyle01"/>
                <w:rFonts w:ascii="Times New Roman" w:hAnsi="Times New Roman"/>
                <w:snapToGrid w:val="0"/>
                <w:color w:val="000000" w:themeColor="text1"/>
                <w:sz w:val="21"/>
                <w:szCs w:val="21"/>
              </w:rPr>
              <w:t>antivirus drugs</w:t>
            </w:r>
          </w:p>
          <w:p w14:paraId="25E5791A"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Indinavir</w:t>
            </w:r>
          </w:p>
          <w:p w14:paraId="5BA6ED1E"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Nelfinavir</w:t>
            </w:r>
          </w:p>
          <w:p w14:paraId="0B6C5BDE"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Ritonavir</w:t>
            </w:r>
          </w:p>
          <w:p w14:paraId="166E0AAD" w14:textId="2DE37E2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Saquinavir</w:t>
            </w:r>
          </w:p>
        </w:tc>
        <w:tc>
          <w:tcPr>
            <w:tcW w:w="2500" w:type="pct"/>
            <w:tcBorders>
              <w:top w:val="single" w:sz="4" w:space="0" w:color="auto"/>
              <w:left w:val="single" w:sz="4" w:space="0" w:color="auto"/>
              <w:bottom w:val="single" w:sz="4" w:space="0" w:color="auto"/>
              <w:right w:val="single" w:sz="4" w:space="0" w:color="auto"/>
            </w:tcBorders>
            <w:vAlign w:val="center"/>
          </w:tcPr>
          <w:p w14:paraId="2ABD1DF4"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21"/>
                <w:rFonts w:ascii="Times New Roman" w:eastAsia="SimSun" w:hAnsi="Times New Roman"/>
                <w:snapToGrid w:val="0"/>
                <w:color w:val="000000" w:themeColor="text1"/>
                <w:sz w:val="21"/>
                <w:szCs w:val="21"/>
              </w:rPr>
              <w:t xml:space="preserve">HIV </w:t>
            </w:r>
            <w:r w:rsidRPr="00B942CD">
              <w:rPr>
                <w:rStyle w:val="fontstyle01"/>
                <w:rFonts w:ascii="Times New Roman" w:hAnsi="Times New Roman"/>
                <w:snapToGrid w:val="0"/>
                <w:color w:val="000000" w:themeColor="text1"/>
                <w:sz w:val="21"/>
                <w:szCs w:val="21"/>
              </w:rPr>
              <w:t>antivirus drugs</w:t>
            </w:r>
          </w:p>
          <w:p w14:paraId="1E386F73"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Efavirenz</w:t>
            </w:r>
          </w:p>
          <w:p w14:paraId="169C573B" w14:textId="3432DC4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Nevirapine</w:t>
            </w:r>
          </w:p>
        </w:tc>
      </w:tr>
      <w:tr w:rsidR="00C04058" w:rsidRPr="00B942CD" w14:paraId="69C09168" w14:textId="77777777" w:rsidTr="00A732FF">
        <w:tc>
          <w:tcPr>
            <w:tcW w:w="2500" w:type="pct"/>
            <w:tcBorders>
              <w:top w:val="single" w:sz="4" w:space="0" w:color="auto"/>
              <w:left w:val="single" w:sz="4" w:space="0" w:color="auto"/>
              <w:bottom w:val="single" w:sz="4" w:space="0" w:color="auto"/>
              <w:right w:val="single" w:sz="4" w:space="0" w:color="auto"/>
            </w:tcBorders>
            <w:vAlign w:val="center"/>
          </w:tcPr>
          <w:p w14:paraId="1D5BF626"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t>Macrolides antibiotics</w:t>
            </w:r>
          </w:p>
          <w:p w14:paraId="28206C9F"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Clarithromycin</w:t>
            </w:r>
          </w:p>
          <w:p w14:paraId="6D64157A"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Erythromycin</w:t>
            </w:r>
          </w:p>
          <w:p w14:paraId="3D264E8A" w14:textId="7EF3E34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lastRenderedPageBreak/>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Telithromycin</w:t>
            </w:r>
          </w:p>
        </w:tc>
        <w:tc>
          <w:tcPr>
            <w:tcW w:w="2500" w:type="pct"/>
            <w:tcBorders>
              <w:top w:val="single" w:sz="4" w:space="0" w:color="auto"/>
              <w:left w:val="single" w:sz="4" w:space="0" w:color="auto"/>
              <w:bottom w:val="single" w:sz="4" w:space="0" w:color="auto"/>
              <w:right w:val="single" w:sz="4" w:space="0" w:color="auto"/>
            </w:tcBorders>
            <w:vAlign w:val="center"/>
          </w:tcPr>
          <w:p w14:paraId="0C5A8A65" w14:textId="51149C2E"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lastRenderedPageBreak/>
              <w:t>Antiepileptic drugs</w:t>
            </w:r>
          </w:p>
          <w:p w14:paraId="18B566BC"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Carbamazepine</w:t>
            </w:r>
          </w:p>
          <w:p w14:paraId="76517CAD"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Phenytoin</w:t>
            </w:r>
          </w:p>
          <w:p w14:paraId="019FC7CC" w14:textId="0232EA4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lastRenderedPageBreak/>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Phenobarbital</w:t>
            </w:r>
          </w:p>
        </w:tc>
      </w:tr>
      <w:tr w:rsidR="00C04058" w:rsidRPr="00B942CD" w14:paraId="31867CF9" w14:textId="77777777" w:rsidTr="00A732FF">
        <w:tc>
          <w:tcPr>
            <w:tcW w:w="2500" w:type="pct"/>
            <w:tcBorders>
              <w:top w:val="single" w:sz="4" w:space="0" w:color="auto"/>
              <w:left w:val="single" w:sz="4" w:space="0" w:color="auto"/>
              <w:bottom w:val="single" w:sz="4" w:space="0" w:color="auto"/>
              <w:right w:val="single" w:sz="4" w:space="0" w:color="auto"/>
            </w:tcBorders>
            <w:vAlign w:val="center"/>
          </w:tcPr>
          <w:p w14:paraId="521DEE04"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lastRenderedPageBreak/>
              <w:t>Calcium channel blockers</w:t>
            </w:r>
          </w:p>
          <w:p w14:paraId="11A49B09"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Diltiazem</w:t>
            </w:r>
          </w:p>
          <w:p w14:paraId="1B973ABF" w14:textId="6140E52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Verapamil</w:t>
            </w:r>
          </w:p>
        </w:tc>
        <w:tc>
          <w:tcPr>
            <w:tcW w:w="2500" w:type="pct"/>
            <w:tcBorders>
              <w:top w:val="single" w:sz="4" w:space="0" w:color="auto"/>
              <w:left w:val="single" w:sz="4" w:space="0" w:color="auto"/>
              <w:bottom w:val="single" w:sz="4" w:space="0" w:color="auto"/>
              <w:right w:val="single" w:sz="4" w:space="0" w:color="auto"/>
            </w:tcBorders>
            <w:vAlign w:val="center"/>
          </w:tcPr>
          <w:p w14:paraId="0A2026EB"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t>Antibiotics</w:t>
            </w:r>
          </w:p>
          <w:p w14:paraId="1FCB8375"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Rifabutin</w:t>
            </w:r>
          </w:p>
          <w:p w14:paraId="13B568E9" w14:textId="0E81ACB6"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Rifampicin</w:t>
            </w:r>
          </w:p>
        </w:tc>
      </w:tr>
      <w:tr w:rsidR="00C04058" w:rsidRPr="00B942CD" w14:paraId="5B0E000C" w14:textId="77777777" w:rsidTr="00A732FF">
        <w:tc>
          <w:tcPr>
            <w:tcW w:w="2500" w:type="pct"/>
            <w:tcBorders>
              <w:top w:val="single" w:sz="4" w:space="0" w:color="auto"/>
              <w:left w:val="single" w:sz="4" w:space="0" w:color="auto"/>
              <w:bottom w:val="single" w:sz="4" w:space="0" w:color="auto"/>
              <w:right w:val="single" w:sz="4" w:space="0" w:color="auto"/>
            </w:tcBorders>
            <w:vAlign w:val="center"/>
          </w:tcPr>
          <w:p w14:paraId="67AF9EFD"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t>Azole antifungals</w:t>
            </w:r>
          </w:p>
          <w:p w14:paraId="7AFB1B0D"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Fluconazole</w:t>
            </w:r>
          </w:p>
          <w:p w14:paraId="4033E0BD"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Ketoconazole</w:t>
            </w:r>
          </w:p>
          <w:p w14:paraId="0F753D7E" w14:textId="0E49CC6B"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Itraconazole</w:t>
            </w:r>
          </w:p>
        </w:tc>
        <w:tc>
          <w:tcPr>
            <w:tcW w:w="2500" w:type="pct"/>
            <w:tcBorders>
              <w:top w:val="single" w:sz="4" w:space="0" w:color="auto"/>
              <w:left w:val="single" w:sz="4" w:space="0" w:color="auto"/>
              <w:bottom w:val="single" w:sz="4" w:space="0" w:color="auto"/>
              <w:right w:val="single" w:sz="4" w:space="0" w:color="auto"/>
            </w:tcBorders>
            <w:vAlign w:val="center"/>
          </w:tcPr>
          <w:p w14:paraId="6B787381"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t>Others</w:t>
            </w:r>
          </w:p>
          <w:p w14:paraId="5CB1F7AF"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Modafinil</w:t>
            </w:r>
          </w:p>
          <w:p w14:paraId="3BFC8A3D"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Troglitazone</w:t>
            </w:r>
          </w:p>
          <w:p w14:paraId="1FC4C6DE" w14:textId="3277E0E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St. John’s wort</w:t>
            </w:r>
          </w:p>
        </w:tc>
      </w:tr>
      <w:tr w:rsidR="002B2947" w:rsidRPr="00B942CD" w14:paraId="1AC02063" w14:textId="77777777" w:rsidTr="00A732FF">
        <w:tc>
          <w:tcPr>
            <w:tcW w:w="2500" w:type="pct"/>
            <w:tcBorders>
              <w:top w:val="single" w:sz="4" w:space="0" w:color="auto"/>
              <w:left w:val="single" w:sz="4" w:space="0" w:color="auto"/>
              <w:bottom w:val="single" w:sz="4" w:space="0" w:color="auto"/>
              <w:right w:val="single" w:sz="4" w:space="0" w:color="auto"/>
            </w:tcBorders>
            <w:vAlign w:val="center"/>
          </w:tcPr>
          <w:p w14:paraId="33C675C1"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01"/>
                <w:rFonts w:ascii="Times New Roman" w:hAnsi="Times New Roman"/>
                <w:snapToGrid w:val="0"/>
                <w:color w:val="000000" w:themeColor="text1"/>
                <w:sz w:val="21"/>
                <w:szCs w:val="21"/>
              </w:rPr>
              <w:t>Others</w:t>
            </w:r>
          </w:p>
          <w:p w14:paraId="22927308" w14:textId="77777777" w:rsidR="00DC4578"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proofErr w:type="spellStart"/>
            <w:r w:rsidRPr="00B942CD">
              <w:rPr>
                <w:rStyle w:val="fontstyle01"/>
                <w:rFonts w:ascii="Times New Roman" w:hAnsi="Times New Roman"/>
                <w:snapToGrid w:val="0"/>
                <w:color w:val="000000" w:themeColor="text1"/>
                <w:sz w:val="21"/>
                <w:szCs w:val="21"/>
              </w:rPr>
              <w:t>Aprepitant</w:t>
            </w:r>
            <w:proofErr w:type="spellEnd"/>
          </w:p>
          <w:p w14:paraId="4324BE8D" w14:textId="5FA0456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Style w:val="fontstyle31"/>
                <w:rFonts w:ascii="Times New Roman" w:eastAsia="SimSun" w:hAnsi="Times New Roman"/>
                <w:snapToGrid w:val="0"/>
                <w:color w:val="000000" w:themeColor="text1"/>
                <w:sz w:val="21"/>
                <w:szCs w:val="21"/>
              </w:rPr>
              <w:sym w:font="Symbol" w:char="F09F"/>
            </w:r>
            <w:r w:rsidRPr="00B942CD">
              <w:rPr>
                <w:rStyle w:val="fontstyle31"/>
                <w:rFonts w:ascii="Times New Roman" w:eastAsia="SimSun" w:hAnsi="Times New Roman"/>
                <w:snapToGrid w:val="0"/>
                <w:color w:val="000000" w:themeColor="text1"/>
                <w:sz w:val="21"/>
                <w:szCs w:val="21"/>
              </w:rPr>
              <w:t xml:space="preserve"> </w:t>
            </w:r>
            <w:r w:rsidRPr="00B942CD">
              <w:rPr>
                <w:rStyle w:val="fontstyle01"/>
                <w:rFonts w:ascii="Times New Roman" w:hAnsi="Times New Roman"/>
                <w:snapToGrid w:val="0"/>
                <w:color w:val="000000" w:themeColor="text1"/>
                <w:sz w:val="21"/>
                <w:szCs w:val="21"/>
              </w:rPr>
              <w:t>Nefazodone</w:t>
            </w:r>
          </w:p>
        </w:tc>
        <w:tc>
          <w:tcPr>
            <w:tcW w:w="2500" w:type="pct"/>
            <w:vAlign w:val="center"/>
          </w:tcPr>
          <w:p w14:paraId="73AEFA2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lang w:eastAsia="zh-CN"/>
              </w:rPr>
            </w:pPr>
          </w:p>
        </w:tc>
      </w:tr>
    </w:tbl>
    <w:p w14:paraId="4235AE00" w14:textId="1477D90A" w:rsidR="004733E0" w:rsidRPr="00B942CD" w:rsidRDefault="004733E0" w:rsidP="00AA119C">
      <w:pPr>
        <w:pStyle w:val="Heading2"/>
        <w:rPr>
          <w:rFonts w:cs="Times New Roman"/>
        </w:rPr>
      </w:pPr>
      <w:bookmarkStart w:id="137" w:name="_Toc98358636"/>
      <w:r w:rsidRPr="00B942CD">
        <w:rPr>
          <w:rFonts w:cs="Times New Roman"/>
        </w:rPr>
        <w:t>Dose modification of study drugs</w:t>
      </w:r>
      <w:bookmarkEnd w:id="137"/>
    </w:p>
    <w:p w14:paraId="20610A99"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 starting dose for the combination of niraparib and anlotinib in Phase Ⅱ Study is determined by Phase Ⅰ Study.</w:t>
      </w:r>
    </w:p>
    <w:p w14:paraId="45E045D5"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bCs/>
          <w:snapToGrid w:val="0"/>
          <w:sz w:val="24"/>
          <w:szCs w:val="24"/>
        </w:rPr>
      </w:pPr>
      <w:r w:rsidRPr="00B942CD">
        <w:rPr>
          <w:rFonts w:ascii="Times New Roman" w:eastAsia="SimSun" w:hAnsi="Times New Roman" w:cs="Times New Roman"/>
          <w:b/>
          <w:bCs/>
          <w:snapToGrid w:val="0"/>
          <w:sz w:val="24"/>
          <w:szCs w:val="24"/>
        </w:rPr>
        <w:t>Niraparib</w:t>
      </w:r>
    </w:p>
    <w:p w14:paraId="47E3C356" w14:textId="4C34EE0A"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Niraparib should be orally taken before breakfast once daily for 3 weeks (a cycle). The drug should be continued until PD or intolerable adverse reactions. If a dose is missed during medication, and it is confirmed that the time from the next dose is less than 12 hours, skip the missed dose and take the next dose.</w:t>
      </w:r>
    </w:p>
    <w:p w14:paraId="3A1EEB87" w14:textId="77777777"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Starting dose</w:t>
      </w:r>
    </w:p>
    <w:p w14:paraId="4F3E72C2" w14:textId="77777777"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 starting dose is determined based on the subject's baseline body weight (but the dose adjustment after study initiation will not be based on body weight changes):</w:t>
      </w:r>
    </w:p>
    <w:p w14:paraId="29C558B7" w14:textId="71E37E10"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 starting dose is 300 mg (three 100 mg capsules) for the patient with baseline body weight of</w:t>
      </w:r>
      <w:r w:rsidR="00A001B6" w:rsidRPr="00B942CD">
        <w:rPr>
          <w:rFonts w:ascii="Times New Roman" w:eastAsia="SimSun" w:hAnsi="Times New Roman" w:cs="Times New Roman"/>
          <w:snapToGrid w:val="0"/>
          <w:sz w:val="24"/>
          <w:szCs w:val="24"/>
        </w:rPr>
        <w:t xml:space="preserve"> </w:t>
      </w:r>
      <w:r w:rsidRPr="00B942CD">
        <w:rPr>
          <w:rFonts w:ascii="Times New Roman" w:eastAsia="SimSun" w:hAnsi="Times New Roman" w:cs="Times New Roman"/>
          <w:snapToGrid w:val="0"/>
          <w:sz w:val="24"/>
          <w:szCs w:val="24"/>
        </w:rPr>
        <w:t>≥ 77 kg.</w:t>
      </w:r>
    </w:p>
    <w:p w14:paraId="5AA65530" w14:textId="6C316E9F"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The starting dose is 200 mg (two 100 mg capsules) for the patient with baseline body weight of </w:t>
      </w:r>
      <w:r w:rsidR="00CA5AF8" w:rsidRPr="00B942CD">
        <w:rPr>
          <w:rFonts w:ascii="Times New Roman" w:eastAsia="SimSun" w:hAnsi="Times New Roman" w:cs="Times New Roman"/>
          <w:snapToGrid w:val="0"/>
          <w:sz w:val="24"/>
          <w:szCs w:val="24"/>
        </w:rPr>
        <w:t>&lt;</w:t>
      </w:r>
      <w:r w:rsidRPr="00B942CD">
        <w:rPr>
          <w:rFonts w:ascii="Times New Roman" w:eastAsia="SimSun" w:hAnsi="Times New Roman" w:cs="Times New Roman"/>
          <w:snapToGrid w:val="0"/>
          <w:sz w:val="24"/>
          <w:szCs w:val="24"/>
        </w:rPr>
        <w:t xml:space="preserve"> 77 kg.</w:t>
      </w:r>
    </w:p>
    <w:p w14:paraId="07C9949C" w14:textId="259CD638"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Dose adjustment</w:t>
      </w:r>
    </w:p>
    <w:p w14:paraId="5B56DA65" w14:textId="0CD2DAFE"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During the use of niraparib, the adverse reactions should be closely monitored and the drug adjusted according to the adverse reactions so that the patients can tolerate the treatment. Adverse reactions caused by this product can be managed by symptomatic treatment, drug suspension and/or dose adjustment, etc. According to the degree of adverse reactions, it is recommended to adjust the dose under the guidance of the physician. If the dosage of 100 mg </w:t>
      </w:r>
      <w:proofErr w:type="spellStart"/>
      <w:r w:rsidRPr="00B942CD">
        <w:rPr>
          <w:rFonts w:ascii="Times New Roman" w:eastAsia="SimSun" w:hAnsi="Times New Roman" w:cs="Times New Roman"/>
          <w:snapToGrid w:val="0"/>
          <w:sz w:val="24"/>
          <w:szCs w:val="24"/>
        </w:rPr>
        <w:t>qd</w:t>
      </w:r>
      <w:proofErr w:type="spellEnd"/>
      <w:r w:rsidRPr="00B942CD">
        <w:rPr>
          <w:rFonts w:ascii="Times New Roman" w:eastAsia="SimSun" w:hAnsi="Times New Roman" w:cs="Times New Roman"/>
          <w:snapToGrid w:val="0"/>
          <w:sz w:val="24"/>
          <w:szCs w:val="24"/>
        </w:rPr>
        <w:t xml:space="preserve"> is still not tolerated, the discontinuation of drug is considered.</w:t>
      </w:r>
    </w:p>
    <w:p w14:paraId="2E053799" w14:textId="1028020A"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Dose interruptions and/or reductions can be implemented at any time for any grade of intolerable toxicity, but it is necessary to judge which drug and reduction strategy should be used in combination with the type of symptoms.</w:t>
      </w:r>
    </w:p>
    <w:p w14:paraId="1932B96F" w14:textId="0916699C"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any AEs of CTCAE (V.5) grade 3 or 4, the treatment must be interrupted. If the toxicity is appropriately reduced to baseline or grade 1 or lower within 28 days of interruption, the patient may restart the treatment, but dose levels are adjusted according to the following table.</w:t>
      </w:r>
    </w:p>
    <w:p w14:paraId="4A008A6D" w14:textId="3D71215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AE of a similar or higher grade reoccurs, the treatment should be interrupted again, and the dose must be further reduced after it has been resolved.</w:t>
      </w:r>
    </w:p>
    <w:p w14:paraId="11CB4CCB" w14:textId="19C98905"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toxicity has not been completely relieved or resolved to CTCAE grade 1 over 28 days of interruption, patients must discontinue the treatment.</w:t>
      </w:r>
    </w:p>
    <w:p w14:paraId="3F4DCF61" w14:textId="02E6B4CB"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Due to hematologic toxicities, dose interruption/adjustment criteria will be based on blood counts, which are listed in Table 8.</w:t>
      </w:r>
    </w:p>
    <w:p w14:paraId="27198898" w14:textId="639A5164"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hematologic toxicities are not resolved to the prescribed level within 4 weeks (28 days) after dose interruption, and/or the patient has one dose reduction (minimum dose: niraparib 100 mg/day), the patient must permanently discontinue niraparib treatment.</w:t>
      </w:r>
    </w:p>
    <w:p w14:paraId="1999E638" w14:textId="32315B98" w:rsidR="004733E0" w:rsidRPr="00B942CD" w:rsidRDefault="004733E0" w:rsidP="00AA119C">
      <w:pPr>
        <w:widowControl/>
        <w:autoSpaceDE/>
        <w:autoSpaceDN/>
        <w:adjustRightInd w:val="0"/>
        <w:snapToGrid w:val="0"/>
        <w:spacing w:beforeLines="50" w:before="120" w:line="288" w:lineRule="auto"/>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Table 8: Dose adjustment of ZL-2306 (Niraparib) due to hematologic toxicities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9"/>
        <w:gridCol w:w="6251"/>
      </w:tblGrid>
      <w:tr w:rsidR="00C04058" w:rsidRPr="00B942CD" w14:paraId="5B02729B" w14:textId="77777777" w:rsidTr="00B324E8">
        <w:trPr>
          <w:tblHeader/>
        </w:trPr>
        <w:tc>
          <w:tcPr>
            <w:tcW w:w="3048" w:type="dxa"/>
          </w:tcPr>
          <w:p w14:paraId="4021B242"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Results</w:t>
            </w:r>
          </w:p>
        </w:tc>
        <w:tc>
          <w:tcPr>
            <w:tcW w:w="6168" w:type="dxa"/>
          </w:tcPr>
          <w:p w14:paraId="67C0657E" w14:textId="2A93B02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w:t>
            </w:r>
          </w:p>
        </w:tc>
      </w:tr>
      <w:tr w:rsidR="00C04058" w:rsidRPr="00B942CD" w14:paraId="3608B6F2" w14:textId="77777777" w:rsidTr="00D53C5E">
        <w:tc>
          <w:tcPr>
            <w:tcW w:w="3048" w:type="dxa"/>
          </w:tcPr>
          <w:p w14:paraId="07F38A5D" w14:textId="7ED8E0FD"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Platelet count&lt;100,000 /</w:t>
            </w:r>
            <w:proofErr w:type="spellStart"/>
            <w:r w:rsidRPr="00B942CD">
              <w:rPr>
                <w:rFonts w:ascii="Times New Roman" w:eastAsia="SimSun" w:hAnsi="Times New Roman" w:cs="Times New Roman"/>
                <w:snapToGrid w:val="0"/>
                <w:color w:val="000000" w:themeColor="text1"/>
                <w:sz w:val="21"/>
                <w:szCs w:val="21"/>
              </w:rPr>
              <w:t>μL</w:t>
            </w:r>
            <w:proofErr w:type="spellEnd"/>
            <w:r w:rsidRPr="00B942CD">
              <w:rPr>
                <w:rFonts w:ascii="Times New Roman" w:eastAsia="SimSun" w:hAnsi="Times New Roman" w:cs="Times New Roman"/>
                <w:snapToGrid w:val="0"/>
                <w:color w:val="000000" w:themeColor="text1"/>
                <w:sz w:val="21"/>
                <w:szCs w:val="21"/>
                <w:vertAlign w:val="superscript"/>
              </w:rPr>
              <w:t>(1)</w:t>
            </w:r>
          </w:p>
        </w:tc>
        <w:tc>
          <w:tcPr>
            <w:tcW w:w="6168" w:type="dxa"/>
          </w:tcPr>
          <w:p w14:paraId="250FD46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Suspend the study until platelet count ≥ 100,000/µL, and monitor CBC weekly until recovery.</w:t>
            </w:r>
          </w:p>
          <w:p w14:paraId="6B5412E3" w14:textId="613C458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Restart the treatment at the same dose or at a reduced dose based on clinical judgment.</w:t>
            </w:r>
          </w:p>
          <w:p w14:paraId="13657365" w14:textId="46C3AB0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If the platelet count is still not recovered to an acceptable level within consecutive 28 days of interruption or when the dose has been reduced to the lowest level (100 mg QD), discontinue the drug.</w:t>
            </w:r>
          </w:p>
        </w:tc>
      </w:tr>
      <w:tr w:rsidR="00C04058" w:rsidRPr="00B942CD" w14:paraId="3E64F1A1" w14:textId="77777777" w:rsidTr="00D53C5E">
        <w:tc>
          <w:tcPr>
            <w:tcW w:w="3048" w:type="dxa"/>
          </w:tcPr>
          <w:p w14:paraId="075F1FC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Platelet &lt; 100,000/µL| recurs </w:t>
            </w:r>
            <w:r w:rsidRPr="00B942CD">
              <w:rPr>
                <w:rFonts w:ascii="Times New Roman" w:eastAsia="SimSun" w:hAnsi="Times New Roman" w:cs="Times New Roman"/>
                <w:snapToGrid w:val="0"/>
                <w:color w:val="000000" w:themeColor="text1"/>
                <w:sz w:val="21"/>
                <w:szCs w:val="21"/>
                <w:vertAlign w:val="superscript"/>
              </w:rPr>
              <w:t>(1)</w:t>
            </w:r>
          </w:p>
        </w:tc>
        <w:tc>
          <w:tcPr>
            <w:tcW w:w="6168" w:type="dxa"/>
          </w:tcPr>
          <w:p w14:paraId="6753FD06"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Suspend the study until platelet count ≥ 100,000/µL, and monitor CBC weekly until recovery.</w:t>
            </w:r>
          </w:p>
          <w:p w14:paraId="1C1EAB32" w14:textId="5B860D9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Restart the treatment at a reduced dose.</w:t>
            </w:r>
          </w:p>
          <w:p w14:paraId="5F9A52BC" w14:textId="32339B4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If the platelet count is still not recovered to an acceptable level within consecutive 28 days of interruption or when the dose has been reduced to the lowest level (100 mg QD), discontinue the drug.</w:t>
            </w:r>
          </w:p>
        </w:tc>
      </w:tr>
      <w:tr w:rsidR="00C04058" w:rsidRPr="00B942CD" w14:paraId="6EE32C95" w14:textId="77777777" w:rsidTr="00D53C5E">
        <w:tc>
          <w:tcPr>
            <w:tcW w:w="3048" w:type="dxa"/>
          </w:tcPr>
          <w:p w14:paraId="41968694" w14:textId="028F70D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Neutrophil count &lt;1.0 × 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r w:rsidRPr="00B942CD">
              <w:rPr>
                <w:rFonts w:ascii="Times New Roman" w:eastAsia="SimSun" w:hAnsi="Times New Roman" w:cs="Times New Roman"/>
                <w:snapToGrid w:val="0"/>
                <w:color w:val="000000" w:themeColor="text1"/>
                <w:sz w:val="21"/>
                <w:szCs w:val="21"/>
                <w:vertAlign w:val="superscript"/>
              </w:rPr>
              <w:t xml:space="preserve"> </w:t>
            </w:r>
          </w:p>
        </w:tc>
        <w:tc>
          <w:tcPr>
            <w:tcW w:w="6168" w:type="dxa"/>
          </w:tcPr>
          <w:p w14:paraId="46B5B47B" w14:textId="27226786"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Suspend the study and observe blood cell count weekly for up to 28 days until neutrophil count recovers to ≥ 1.5×10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p>
          <w:p w14:paraId="43D9AEEC" w14:textId="6DEA527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The drug must be resumed at a reduced dose.</w:t>
            </w:r>
          </w:p>
          <w:p w14:paraId="11185E37" w14:textId="516AE12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If the neutrophil count is still not recovered to an acceptable level within consecutive 28 days of interruption or when the dose has been reduced to the lowest level (100 mg QD), discontinue the drug.</w:t>
            </w:r>
          </w:p>
        </w:tc>
      </w:tr>
      <w:tr w:rsidR="00C04058" w:rsidRPr="00B942CD" w14:paraId="31FE4BF0" w14:textId="77777777" w:rsidTr="00D53C5E">
        <w:tc>
          <w:tcPr>
            <w:tcW w:w="3048" w:type="dxa"/>
          </w:tcPr>
          <w:p w14:paraId="1C3250B5" w14:textId="0C4C259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Haemoglobin</w:t>
            </w:r>
            <w:proofErr w:type="spellEnd"/>
            <w:r w:rsidRPr="00B942CD">
              <w:rPr>
                <w:rFonts w:ascii="Times New Roman" w:eastAsia="SimSun" w:hAnsi="Times New Roman" w:cs="Times New Roman"/>
                <w:snapToGrid w:val="0"/>
                <w:color w:val="000000" w:themeColor="text1"/>
                <w:sz w:val="21"/>
                <w:szCs w:val="21"/>
              </w:rPr>
              <w:t xml:space="preserve"> &lt; 80 g/L</w:t>
            </w:r>
          </w:p>
        </w:tc>
        <w:tc>
          <w:tcPr>
            <w:tcW w:w="6168" w:type="dxa"/>
          </w:tcPr>
          <w:p w14:paraId="514EFDE7" w14:textId="40E7EFE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Suspend the study and observe blood cell count weekly for up to 28 days until </w:t>
            </w:r>
            <w:proofErr w:type="spellStart"/>
            <w:r w:rsidRPr="00B942CD">
              <w:rPr>
                <w:rFonts w:ascii="Times New Roman" w:eastAsia="SimSun" w:hAnsi="Times New Roman" w:cs="Times New Roman"/>
                <w:snapToGrid w:val="0"/>
                <w:color w:val="000000" w:themeColor="text1"/>
                <w:sz w:val="21"/>
                <w:szCs w:val="21"/>
              </w:rPr>
              <w:t>haemoglobin</w:t>
            </w:r>
            <w:proofErr w:type="spellEnd"/>
            <w:r w:rsidRPr="00B942CD">
              <w:rPr>
                <w:rFonts w:ascii="Times New Roman" w:eastAsia="SimSun" w:hAnsi="Times New Roman" w:cs="Times New Roman"/>
                <w:snapToGrid w:val="0"/>
                <w:color w:val="000000" w:themeColor="text1"/>
                <w:sz w:val="21"/>
                <w:szCs w:val="21"/>
              </w:rPr>
              <w:t xml:space="preserve"> recovers to ≥ 90 g/L.</w:t>
            </w:r>
          </w:p>
          <w:p w14:paraId="5E6F7210" w14:textId="1215E813"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ZL-2306 (niraparib) must be resumed at a reduced dose.</w:t>
            </w:r>
          </w:p>
          <w:p w14:paraId="7477C645" w14:textId="39D892D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 xml:space="preserve">If the </w:t>
            </w:r>
            <w:proofErr w:type="spellStart"/>
            <w:r w:rsidRPr="00B942CD">
              <w:rPr>
                <w:rFonts w:ascii="Times New Roman" w:eastAsia="SimSun" w:hAnsi="Times New Roman" w:cs="Times New Roman"/>
                <w:snapToGrid w:val="0"/>
                <w:color w:val="000000" w:themeColor="text1"/>
                <w:sz w:val="21"/>
                <w:szCs w:val="21"/>
              </w:rPr>
              <w:t>haemoglobin</w:t>
            </w:r>
            <w:proofErr w:type="spellEnd"/>
            <w:r w:rsidRPr="00B942CD">
              <w:rPr>
                <w:rFonts w:ascii="Times New Roman" w:eastAsia="SimSun" w:hAnsi="Times New Roman" w:cs="Times New Roman"/>
                <w:snapToGrid w:val="0"/>
                <w:color w:val="000000" w:themeColor="text1"/>
                <w:sz w:val="21"/>
                <w:szCs w:val="21"/>
              </w:rPr>
              <w:t xml:space="preserve"> is still not recovered to an acceptable level within consecutive 28 days of interruption or when the dose has been reduced to the lowest level (100 mg QD), discontinue the drug.</w:t>
            </w:r>
          </w:p>
        </w:tc>
      </w:tr>
      <w:tr w:rsidR="00C04058" w:rsidRPr="00B942CD" w14:paraId="4FD47EDF" w14:textId="77777777" w:rsidTr="00D53C5E">
        <w:tc>
          <w:tcPr>
            <w:tcW w:w="3048" w:type="dxa"/>
          </w:tcPr>
          <w:p w14:paraId="03B40E3B" w14:textId="4484F6D3"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Hematologic AEs require blood transfusion or supportive therapy with haemopoietic growth factor.</w:t>
            </w:r>
          </w:p>
        </w:tc>
        <w:tc>
          <w:tcPr>
            <w:tcW w:w="6168" w:type="dxa"/>
          </w:tcPr>
          <w:p w14:paraId="2D92B152" w14:textId="3BFDDE8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If the patient's platelet count is ≤ 10×10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 platelet transfusion should be considered. If there are other coexisting risk factors, such as anticoagulants or antiplatelet drugs, consider suspending these drugs and/or transfusing blood until platelet count reaches a higher level.</w:t>
            </w:r>
          </w:p>
          <w:p w14:paraId="6FA95FFE" w14:textId="154E039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The drug must be resumed at a reduced dose.</w:t>
            </w:r>
          </w:p>
        </w:tc>
      </w:tr>
      <w:tr w:rsidR="00C04058" w:rsidRPr="00B942CD" w14:paraId="331F4539" w14:textId="77777777" w:rsidTr="00D53C5E">
        <w:tc>
          <w:tcPr>
            <w:tcW w:w="3048" w:type="dxa"/>
          </w:tcPr>
          <w:p w14:paraId="2614048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Subjects confirmed with MDS or AML</w:t>
            </w:r>
          </w:p>
        </w:tc>
        <w:tc>
          <w:tcPr>
            <w:tcW w:w="6168" w:type="dxa"/>
          </w:tcPr>
          <w:p w14:paraId="68FFA9BA" w14:textId="6CED3E1A"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Permanently discontinue the drug</w:t>
            </w:r>
          </w:p>
        </w:tc>
      </w:tr>
    </w:tbl>
    <w:p w14:paraId="51AF70D3" w14:textId="5FD7221F" w:rsidR="004733E0" w:rsidRPr="00B942CD" w:rsidRDefault="004733E0" w:rsidP="00AA119C">
      <w:pPr>
        <w:pStyle w:val="ListParagraph"/>
        <w:widowControl/>
        <w:autoSpaceDE/>
        <w:autoSpaceDN/>
        <w:adjustRightInd w:val="0"/>
        <w:snapToGrid w:val="0"/>
        <w:spacing w:beforeLines="15" w:before="36" w:line="276" w:lineRule="auto"/>
        <w:ind w:left="0" w:firstLine="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Abbreviations: CBC = complete blood count</w:t>
      </w:r>
    </w:p>
    <w:p w14:paraId="528835AE" w14:textId="2F34987A" w:rsidR="004733E0" w:rsidRPr="00B942CD" w:rsidRDefault="004733E0" w:rsidP="004C08C9">
      <w:pPr>
        <w:pStyle w:val="ListParagraph"/>
        <w:widowControl/>
        <w:numPr>
          <w:ilvl w:val="0"/>
          <w:numId w:val="47"/>
        </w:numPr>
        <w:autoSpaceDE/>
        <w:autoSpaceDN/>
        <w:adjustRightInd w:val="0"/>
        <w:snapToGrid w:val="0"/>
        <w:spacing w:beforeLines="15" w:before="36" w:line="276" w:lineRule="auto"/>
        <w:ind w:hangingChars="20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If the platelet count is not recovered to ≥ 100,000/L within 28 days of dose interruption, the patient should stop medication.</w:t>
      </w:r>
    </w:p>
    <w:p w14:paraId="4E8024AF" w14:textId="5B44E683"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During any stage of the study, if dose interruption or adjustment is required due to hematologic toxicities, CBC should be monitored weekly until AE remission. In order to ensure dose safety for restarting the treatment, CBC should still be monitored weekly. After the condition stabilizes during 4-week monitoring, the CBC can be resumed to be retested once every 4 weeks.</w:t>
      </w:r>
    </w:p>
    <w:p w14:paraId="250C2A90" w14:textId="6ACD3EB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any patient who needs transfusion of platelets or red blood cells (one or more units) or haemopoietic growth factor support, if the study treatment is resumed, the dose must be reduced after resumption.</w:t>
      </w:r>
    </w:p>
    <w:p w14:paraId="5EC999BF" w14:textId="5EEBDD6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Patients who require more than 1 blood transfusion or whose treatment-related hematologic toxicities are not resolved to CTCAE grade 1 or below after 4 weeks must be referred to a hematologist for further evaluation.</w:t>
      </w:r>
    </w:p>
    <w:p w14:paraId="771C2081" w14:textId="170178FB"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patients who need surgical treatment midway, it is necessary to consider withdrawing from treatment.</w:t>
      </w:r>
    </w:p>
    <w:p w14:paraId="0D17F931" w14:textId="4CC63E6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All dose interruptions and reductions (including any missed doses) and reasons for reduction/interruption should be documented.</w:t>
      </w:r>
    </w:p>
    <w:p w14:paraId="70822C7A" w14:textId="19999A0D"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bookmarkStart w:id="138" w:name="OLE_LINK5"/>
      <w:bookmarkStart w:id="139" w:name="OLE_LINK7"/>
      <w:r w:rsidRPr="00B942CD">
        <w:rPr>
          <w:rFonts w:ascii="Times New Roman" w:eastAsia="SimSun" w:hAnsi="Times New Roman" w:cs="Times New Roman"/>
          <w:snapToGrid w:val="0"/>
          <w:color w:val="000000" w:themeColor="text1"/>
          <w:sz w:val="24"/>
        </w:rPr>
        <w:t>For patients starting from 200 mg, it may be increased to 300 mg if there is no dose interruption or reduction caused by adverse reactions in the first two cycles of treatment.</w:t>
      </w:r>
    </w:p>
    <w:p w14:paraId="6C5413A2" w14:textId="4BD73BFA" w:rsidR="00BA53A2" w:rsidRPr="00B942CD" w:rsidRDefault="00BA53A2"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After reduction of study drugs from starting dose of 300 mg QD to 200 mg QD, the dose escalation back to 300 mg QD may be considered if it is well tolerated during at least two treatment cycles. After reduction of study drugs from 200 mg QD to 100 mg QD, the dose escalation back to 200 mg QD may be considered if it is well tolerated during at least one treatment cycle.</w:t>
      </w:r>
      <w:bookmarkEnd w:id="138"/>
      <w:bookmarkEnd w:id="139"/>
    </w:p>
    <w:p w14:paraId="6BBF77E2"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Anlotinib</w:t>
      </w:r>
    </w:p>
    <w:p w14:paraId="2B6703F3" w14:textId="01FD618A"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Anlotinib hydrochloride should be orally taken before breakfast once daily (on for 2 weeks and off for 1 week), with a cycle of 3 weeks (21 days), until PD or intolerable adverse reactions. If a </w:t>
      </w:r>
      <w:r w:rsidRPr="00B942CD">
        <w:rPr>
          <w:rFonts w:ascii="Times New Roman" w:eastAsia="SimSun" w:hAnsi="Times New Roman" w:cs="Times New Roman"/>
          <w:snapToGrid w:val="0"/>
          <w:color w:val="000000" w:themeColor="text1"/>
          <w:sz w:val="24"/>
        </w:rPr>
        <w:lastRenderedPageBreak/>
        <w:t>dose is missed during medication, and it is confirmed that the time from the next dose is less than 12 hours, skip the missed dose and take the next dose.</w:t>
      </w:r>
    </w:p>
    <w:p w14:paraId="2A0F5C04" w14:textId="7093AB2F" w:rsidR="004733E0" w:rsidRPr="00632777"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b/>
          <w:snapToGrid w:val="0"/>
          <w:sz w:val="24"/>
        </w:rPr>
      </w:pPr>
      <w:r w:rsidRPr="00632777">
        <w:rPr>
          <w:rFonts w:ascii="Times New Roman" w:eastAsia="SimSun" w:hAnsi="Times New Roman" w:cs="Times New Roman"/>
          <w:b/>
          <w:snapToGrid w:val="0"/>
          <w:sz w:val="24"/>
        </w:rPr>
        <w:t>Dose adjustment</w:t>
      </w:r>
    </w:p>
    <w:p w14:paraId="2A49DE05" w14:textId="741F74AA" w:rsidR="004733E0" w:rsidRPr="00632777"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rPr>
      </w:pPr>
      <w:r w:rsidRPr="00632777">
        <w:rPr>
          <w:rFonts w:ascii="Times New Roman" w:eastAsia="SimSun" w:hAnsi="Times New Roman" w:cs="Times New Roman"/>
          <w:snapToGrid w:val="0"/>
          <w:sz w:val="24"/>
        </w:rPr>
        <w:t>During the use of anlotinib, the adverse reactions should be closely monitored and the drug adjusted according to the adverse reactions so that the patients can tolerate the treatment. Adverse reactions caused by this product can be managed by symptomatic treatment, drug suspension and/or dose adjustment, etc. According to the degree of adverse reactions, the dose is adjusted under the guidance of the investigator: dose adjustment: 8 mg, once a day, on for 2 weeks and off for 1 week;</w:t>
      </w:r>
    </w:p>
    <w:p w14:paraId="6ED7341D" w14:textId="1F6678E4"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The following table presents the recommended regimen for delaying administration time and/or changing dose level in the event of the study drug-related toxicity. When patients develop toxicities such as </w:t>
      </w:r>
      <w:r w:rsidRPr="00B942CD">
        <w:rPr>
          <w:rFonts w:ascii="Times New Roman" w:eastAsia="SimSun" w:hAnsi="Times New Roman" w:cs="Times New Roman"/>
          <w:b/>
          <w:bCs/>
          <w:snapToGrid w:val="0"/>
          <w:color w:val="000000" w:themeColor="text1"/>
          <w:sz w:val="24"/>
        </w:rPr>
        <w:t>function liver abnormal, bleeding, proteinuria, and platelet count decreased</w:t>
      </w:r>
      <w:r w:rsidRPr="00B942CD">
        <w:rPr>
          <w:rFonts w:ascii="Times New Roman" w:eastAsia="SimSun" w:hAnsi="Times New Roman" w:cs="Times New Roman"/>
          <w:snapToGrid w:val="0"/>
          <w:color w:val="000000" w:themeColor="text1"/>
          <w:sz w:val="24"/>
        </w:rPr>
        <w:t>, please perform with reference to the requirements of subsequent separate tables.</w:t>
      </w:r>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20"/>
        <w:gridCol w:w="3120"/>
        <w:gridCol w:w="3120"/>
      </w:tblGrid>
      <w:tr w:rsidR="00C04058" w:rsidRPr="00B942CD" w14:paraId="4A5D27DD" w14:textId="77777777" w:rsidTr="00B324E8">
        <w:tc>
          <w:tcPr>
            <w:tcW w:w="3120" w:type="dxa"/>
            <w:vAlign w:val="center"/>
          </w:tcPr>
          <w:p w14:paraId="36D0DC9E" w14:textId="393895A0"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of adverse reaction</w:t>
            </w:r>
          </w:p>
          <w:p w14:paraId="05AC7AA9" w14:textId="4BABEC6A"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NCI CTC AE Version 4.0</w:t>
            </w:r>
          </w:p>
        </w:tc>
        <w:tc>
          <w:tcPr>
            <w:tcW w:w="3120" w:type="dxa"/>
            <w:vAlign w:val="center"/>
          </w:tcPr>
          <w:p w14:paraId="44EA5007" w14:textId="1D996FE2"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Administration time</w:t>
            </w:r>
          </w:p>
        </w:tc>
        <w:tc>
          <w:tcPr>
            <w:tcW w:w="3120" w:type="dxa"/>
            <w:vAlign w:val="center"/>
          </w:tcPr>
          <w:p w14:paraId="6C0D03F1" w14:textId="2265EE9F"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w:t>
            </w:r>
          </w:p>
        </w:tc>
      </w:tr>
      <w:tr w:rsidR="00C04058" w:rsidRPr="00B942CD" w14:paraId="768763BD" w14:textId="77777777" w:rsidTr="00B324E8">
        <w:tc>
          <w:tcPr>
            <w:tcW w:w="3120" w:type="dxa"/>
            <w:tcBorders>
              <w:bottom w:val="nil"/>
            </w:tcBorders>
            <w:vAlign w:val="center"/>
          </w:tcPr>
          <w:p w14:paraId="72CF381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0-2</w:t>
            </w:r>
          </w:p>
        </w:tc>
        <w:tc>
          <w:tcPr>
            <w:tcW w:w="3120" w:type="dxa"/>
            <w:tcBorders>
              <w:bottom w:val="nil"/>
            </w:tcBorders>
            <w:vAlign w:val="center"/>
          </w:tcPr>
          <w:p w14:paraId="12A83017" w14:textId="3B80021C"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Administrate on time</w:t>
            </w:r>
          </w:p>
        </w:tc>
        <w:tc>
          <w:tcPr>
            <w:tcW w:w="3120" w:type="dxa"/>
            <w:tcBorders>
              <w:bottom w:val="nil"/>
            </w:tcBorders>
            <w:vAlign w:val="center"/>
          </w:tcPr>
          <w:p w14:paraId="59499288" w14:textId="38DDB66D"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Unchanged</w:t>
            </w:r>
          </w:p>
        </w:tc>
      </w:tr>
      <w:tr w:rsidR="00C04058" w:rsidRPr="00B942CD" w14:paraId="78FD0133" w14:textId="77777777" w:rsidTr="00B324E8">
        <w:tc>
          <w:tcPr>
            <w:tcW w:w="3120" w:type="dxa"/>
            <w:tcBorders>
              <w:top w:val="nil"/>
              <w:bottom w:val="nil"/>
            </w:tcBorders>
            <w:vAlign w:val="center"/>
          </w:tcPr>
          <w:p w14:paraId="430A3EE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3</w:t>
            </w:r>
          </w:p>
        </w:tc>
        <w:tc>
          <w:tcPr>
            <w:tcW w:w="3120" w:type="dxa"/>
            <w:tcBorders>
              <w:top w:val="nil"/>
              <w:bottom w:val="nil"/>
            </w:tcBorders>
            <w:vAlign w:val="center"/>
          </w:tcPr>
          <w:p w14:paraId="7B1CC7E9" w14:textId="2CAC4DAA"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Delayed administration until resolution to grade &lt;2 #</w:t>
            </w:r>
          </w:p>
        </w:tc>
        <w:tc>
          <w:tcPr>
            <w:tcW w:w="3120" w:type="dxa"/>
            <w:tcBorders>
              <w:top w:val="nil"/>
              <w:bottom w:val="nil"/>
            </w:tcBorders>
            <w:vAlign w:val="center"/>
          </w:tcPr>
          <w:p w14:paraId="1A2E303B" w14:textId="692C32F8"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Reduce by one dose level</w:t>
            </w:r>
          </w:p>
        </w:tc>
      </w:tr>
      <w:tr w:rsidR="00C04058" w:rsidRPr="00B942CD" w14:paraId="62C464B2" w14:textId="77777777" w:rsidTr="00B324E8">
        <w:tc>
          <w:tcPr>
            <w:tcW w:w="3120" w:type="dxa"/>
            <w:tcBorders>
              <w:top w:val="nil"/>
            </w:tcBorders>
            <w:vAlign w:val="center"/>
          </w:tcPr>
          <w:p w14:paraId="1D24037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4</w:t>
            </w:r>
          </w:p>
        </w:tc>
        <w:tc>
          <w:tcPr>
            <w:tcW w:w="3120" w:type="dxa"/>
            <w:tcBorders>
              <w:top w:val="nil"/>
            </w:tcBorders>
            <w:vAlign w:val="center"/>
          </w:tcPr>
          <w:p w14:paraId="09A551C9" w14:textId="6F3F2F65"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Delayed administration until resolution to grade &lt;2 #</w:t>
            </w:r>
          </w:p>
        </w:tc>
        <w:tc>
          <w:tcPr>
            <w:tcW w:w="3120" w:type="dxa"/>
            <w:tcBorders>
              <w:top w:val="nil"/>
            </w:tcBorders>
            <w:vAlign w:val="center"/>
          </w:tcPr>
          <w:p w14:paraId="263F3AED" w14:textId="660A1D3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Reduce by one dose level. According to the treatment, the investigator judges that permanent termination of treatment may be considered.</w:t>
            </w:r>
          </w:p>
        </w:tc>
      </w:tr>
    </w:tbl>
    <w:p w14:paraId="2357EF43" w14:textId="2D10AE9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If it still has not recovered after delayed administration for 2 weeks, treatment should be permanently terminated.</w:t>
      </w:r>
    </w:p>
    <w:p w14:paraId="7F8294B5" w14:textId="74059863"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following table shows the recommended regimen for delaying administration time and/or changing dose level when function liver abnormal occurs (ALT, AST or total bilirubin increased).</w:t>
      </w:r>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20"/>
        <w:gridCol w:w="3120"/>
        <w:gridCol w:w="3120"/>
      </w:tblGrid>
      <w:tr w:rsidR="00C04058" w:rsidRPr="00B942CD" w14:paraId="1209334D" w14:textId="77777777" w:rsidTr="00B324E8">
        <w:trPr>
          <w:tblHeader/>
        </w:trPr>
        <w:tc>
          <w:tcPr>
            <w:tcW w:w="3120" w:type="dxa"/>
            <w:vAlign w:val="center"/>
          </w:tcPr>
          <w:p w14:paraId="4F8FECDF" w14:textId="15B3F22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 grade</w:t>
            </w:r>
          </w:p>
        </w:tc>
        <w:tc>
          <w:tcPr>
            <w:tcW w:w="3120" w:type="dxa"/>
            <w:vAlign w:val="center"/>
          </w:tcPr>
          <w:p w14:paraId="5F7F106F" w14:textId="1CE2986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 regimen</w:t>
            </w:r>
          </w:p>
        </w:tc>
        <w:tc>
          <w:tcPr>
            <w:tcW w:w="3120" w:type="dxa"/>
            <w:vAlign w:val="center"/>
          </w:tcPr>
          <w:p w14:paraId="28A661F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Handling recommendation</w:t>
            </w:r>
          </w:p>
        </w:tc>
      </w:tr>
      <w:tr w:rsidR="00C04058" w:rsidRPr="00B942CD" w14:paraId="5A095DA9" w14:textId="77777777" w:rsidTr="00B324E8">
        <w:tc>
          <w:tcPr>
            <w:tcW w:w="3120" w:type="dxa"/>
            <w:vAlign w:val="center"/>
          </w:tcPr>
          <w:p w14:paraId="0601BA0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1</w:t>
            </w:r>
          </w:p>
        </w:tc>
        <w:tc>
          <w:tcPr>
            <w:tcW w:w="3120" w:type="dxa"/>
            <w:vAlign w:val="center"/>
          </w:tcPr>
          <w:p w14:paraId="0B4AB36E" w14:textId="0138D901"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vAlign w:val="center"/>
          </w:tcPr>
          <w:p w14:paraId="4BD2335D" w14:textId="641E4648" w:rsidR="004733E0" w:rsidRPr="00B942CD" w:rsidRDefault="00B942CD"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Have follow-up as scheduled</w:t>
            </w:r>
          </w:p>
        </w:tc>
      </w:tr>
      <w:tr w:rsidR="00C04058" w:rsidRPr="00B942CD" w14:paraId="46B1E387" w14:textId="77777777" w:rsidTr="00B324E8">
        <w:tc>
          <w:tcPr>
            <w:tcW w:w="3120" w:type="dxa"/>
            <w:vAlign w:val="center"/>
          </w:tcPr>
          <w:p w14:paraId="345B054C" w14:textId="2E57E39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 (normal at baseline)</w:t>
            </w:r>
          </w:p>
        </w:tc>
        <w:tc>
          <w:tcPr>
            <w:tcW w:w="3120" w:type="dxa"/>
            <w:vAlign w:val="center"/>
          </w:tcPr>
          <w:p w14:paraId="22E6F37A" w14:textId="5741961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w:t>
            </w:r>
          </w:p>
        </w:tc>
        <w:tc>
          <w:tcPr>
            <w:tcW w:w="3120" w:type="dxa"/>
            <w:vAlign w:val="center"/>
          </w:tcPr>
          <w:p w14:paraId="11175202" w14:textId="2E37EEE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hepatoprotective treatment and closely monitor liver function, once a week</w:t>
            </w:r>
          </w:p>
        </w:tc>
      </w:tr>
      <w:tr w:rsidR="00C04058" w:rsidRPr="00B942CD" w14:paraId="60B1A9DF" w14:textId="77777777" w:rsidTr="00B324E8">
        <w:tc>
          <w:tcPr>
            <w:tcW w:w="3120" w:type="dxa"/>
            <w:vAlign w:val="center"/>
          </w:tcPr>
          <w:p w14:paraId="317292DA"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 (abnormal at baseline)</w:t>
            </w:r>
          </w:p>
        </w:tc>
        <w:tc>
          <w:tcPr>
            <w:tcW w:w="3120" w:type="dxa"/>
            <w:vAlign w:val="center"/>
          </w:tcPr>
          <w:p w14:paraId="137882C0" w14:textId="096D5EE0"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vAlign w:val="center"/>
          </w:tcPr>
          <w:p w14:paraId="113CB327" w14:textId="201F8175"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hepatoprotective treatment and closely monitor liver function, once a week</w:t>
            </w:r>
          </w:p>
        </w:tc>
      </w:tr>
      <w:tr w:rsidR="00C04058" w:rsidRPr="00B942CD" w14:paraId="293236CC" w14:textId="77777777" w:rsidTr="00B324E8">
        <w:tc>
          <w:tcPr>
            <w:tcW w:w="3120" w:type="dxa"/>
            <w:vAlign w:val="center"/>
          </w:tcPr>
          <w:p w14:paraId="1ACEAD86"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3</w:t>
            </w:r>
          </w:p>
        </w:tc>
        <w:tc>
          <w:tcPr>
            <w:tcW w:w="3120" w:type="dxa"/>
            <w:vAlign w:val="center"/>
          </w:tcPr>
          <w:p w14:paraId="05E3BB89" w14:textId="2CB25DCE"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w:t>
            </w:r>
          </w:p>
        </w:tc>
        <w:tc>
          <w:tcPr>
            <w:tcW w:w="3120" w:type="dxa"/>
            <w:vAlign w:val="center"/>
          </w:tcPr>
          <w:p w14:paraId="0C9E1FAF" w14:textId="38D9B4D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hepatoprotective treatment and closely monitor liver function, twice a week; until the toxicity is resolved to grade &lt; 2 or justified</w:t>
            </w:r>
          </w:p>
        </w:tc>
      </w:tr>
      <w:tr w:rsidR="00C04058" w:rsidRPr="00B942CD" w14:paraId="084E7B86" w14:textId="77777777" w:rsidTr="00B324E8">
        <w:tc>
          <w:tcPr>
            <w:tcW w:w="3120" w:type="dxa"/>
            <w:vAlign w:val="center"/>
          </w:tcPr>
          <w:p w14:paraId="066CE8C2"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Grade 4</w:t>
            </w:r>
          </w:p>
        </w:tc>
        <w:tc>
          <w:tcPr>
            <w:tcW w:w="3120" w:type="dxa"/>
            <w:vAlign w:val="center"/>
          </w:tcPr>
          <w:p w14:paraId="1B2A1A3E" w14:textId="12FAF393"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Permanently terminate treatment</w:t>
            </w:r>
          </w:p>
        </w:tc>
        <w:tc>
          <w:tcPr>
            <w:tcW w:w="3120" w:type="dxa"/>
            <w:vAlign w:val="center"/>
          </w:tcPr>
          <w:p w14:paraId="393D861B" w14:textId="164E182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hepatoprotective treatment and closely monitor liver function, once to twice a week; until the toxicity is resolved to grade &lt; 2 or justified</w:t>
            </w:r>
          </w:p>
        </w:tc>
      </w:tr>
    </w:tbl>
    <w:p w14:paraId="45E5829F"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following table shows the recommended regimen for delaying administration time and/or changing dose level when proteinuria occurs</w:t>
      </w:r>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20"/>
        <w:gridCol w:w="3120"/>
        <w:gridCol w:w="3120"/>
      </w:tblGrid>
      <w:tr w:rsidR="00C04058" w:rsidRPr="00B942CD" w14:paraId="009AA1BA" w14:textId="77777777" w:rsidTr="00B324E8">
        <w:trPr>
          <w:tblHeader/>
        </w:trPr>
        <w:tc>
          <w:tcPr>
            <w:tcW w:w="3120" w:type="dxa"/>
            <w:vAlign w:val="center"/>
          </w:tcPr>
          <w:p w14:paraId="36E4EC8D" w14:textId="4D007883"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 grade</w:t>
            </w:r>
          </w:p>
        </w:tc>
        <w:tc>
          <w:tcPr>
            <w:tcW w:w="3120" w:type="dxa"/>
            <w:vAlign w:val="center"/>
          </w:tcPr>
          <w:p w14:paraId="0753BE69" w14:textId="20331CD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 regimen</w:t>
            </w:r>
          </w:p>
        </w:tc>
        <w:tc>
          <w:tcPr>
            <w:tcW w:w="3120" w:type="dxa"/>
            <w:vAlign w:val="center"/>
          </w:tcPr>
          <w:p w14:paraId="32BC65D0"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Handling recommendation</w:t>
            </w:r>
          </w:p>
        </w:tc>
      </w:tr>
      <w:tr w:rsidR="00C04058" w:rsidRPr="00B942CD" w14:paraId="62B64428" w14:textId="77777777" w:rsidTr="00B324E8">
        <w:tc>
          <w:tcPr>
            <w:tcW w:w="3120" w:type="dxa"/>
            <w:vAlign w:val="center"/>
          </w:tcPr>
          <w:p w14:paraId="473B02C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1: Urinalysis indicates urine protein positive (+) or 24 h urinary protein quantitation result of &lt; 1.0 g</w:t>
            </w:r>
          </w:p>
        </w:tc>
        <w:tc>
          <w:tcPr>
            <w:tcW w:w="3120" w:type="dxa"/>
            <w:vAlign w:val="center"/>
          </w:tcPr>
          <w:p w14:paraId="3DE6A4EC" w14:textId="0E6B3210"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vAlign w:val="center"/>
          </w:tcPr>
          <w:p w14:paraId="5451D71D" w14:textId="416C396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Have visit as scheduled</w:t>
            </w:r>
          </w:p>
        </w:tc>
      </w:tr>
      <w:tr w:rsidR="00C04058" w:rsidRPr="00B942CD" w14:paraId="3D039FB0" w14:textId="77777777" w:rsidTr="00B324E8">
        <w:tc>
          <w:tcPr>
            <w:tcW w:w="3120" w:type="dxa"/>
            <w:vAlign w:val="center"/>
          </w:tcPr>
          <w:p w14:paraId="05619D75" w14:textId="6FE2D0A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 Urinalysis indicates urine protein positive (++), but 24 h urinary protein quantitation result of 1.0 g - 2.0 g (exclusive)</w:t>
            </w:r>
          </w:p>
        </w:tc>
        <w:tc>
          <w:tcPr>
            <w:tcW w:w="3120" w:type="dxa"/>
            <w:vAlign w:val="center"/>
          </w:tcPr>
          <w:p w14:paraId="0CE24CB3" w14:textId="6C81015A"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vAlign w:val="center"/>
          </w:tcPr>
          <w:p w14:paraId="60A53588" w14:textId="0FDB62B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treatment and monitor urinalysis (once a week); consult a nephrologist if necessary</w:t>
            </w:r>
          </w:p>
        </w:tc>
      </w:tr>
      <w:tr w:rsidR="00C04058" w:rsidRPr="00B942CD" w14:paraId="25B804BE" w14:textId="77777777" w:rsidTr="00B324E8">
        <w:tc>
          <w:tcPr>
            <w:tcW w:w="3120" w:type="dxa"/>
            <w:vAlign w:val="center"/>
          </w:tcPr>
          <w:p w14:paraId="4F11F163" w14:textId="63B3F016"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 Urinalysis indicates urine protein positive (++) or above, 24 h urinary protein quantitation result of 2.0 g - 3.5 g (exclusive)</w:t>
            </w:r>
          </w:p>
        </w:tc>
        <w:tc>
          <w:tcPr>
            <w:tcW w:w="3120" w:type="dxa"/>
            <w:vAlign w:val="center"/>
          </w:tcPr>
          <w:p w14:paraId="7E66439E" w14:textId="0CFADD3E"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 for subsequent medication.</w:t>
            </w:r>
          </w:p>
        </w:tc>
        <w:tc>
          <w:tcPr>
            <w:tcW w:w="3120" w:type="dxa"/>
            <w:vAlign w:val="center"/>
          </w:tcPr>
          <w:p w14:paraId="343D10BD" w14:textId="0F064A9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treatment, consult a nephrologist if necessary, and the treatment must be terminated permanently in case of the third occurrence;</w:t>
            </w:r>
          </w:p>
        </w:tc>
      </w:tr>
      <w:tr w:rsidR="00C04058" w:rsidRPr="00B942CD" w14:paraId="1B3D7DCA" w14:textId="77777777" w:rsidTr="00B324E8">
        <w:tc>
          <w:tcPr>
            <w:tcW w:w="3120" w:type="dxa"/>
            <w:vAlign w:val="center"/>
          </w:tcPr>
          <w:p w14:paraId="1F9ABDF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Grade 3: 24 h urinary protein quantitation result of ≥ 3.5 g </w:t>
            </w:r>
          </w:p>
        </w:tc>
        <w:tc>
          <w:tcPr>
            <w:tcW w:w="3120" w:type="dxa"/>
            <w:vAlign w:val="center"/>
          </w:tcPr>
          <w:p w14:paraId="0E75CD5A" w14:textId="6A6126A0"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 for subsequent medication</w:t>
            </w:r>
          </w:p>
        </w:tc>
        <w:tc>
          <w:tcPr>
            <w:tcW w:w="3120" w:type="dxa"/>
            <w:vAlign w:val="center"/>
          </w:tcPr>
          <w:p w14:paraId="5853A067" w14:textId="2C13A869"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treatment, consult a nephrologist if necessary, and the treatment must be terminated permanently in case of the third occurrence;</w:t>
            </w:r>
          </w:p>
        </w:tc>
      </w:tr>
    </w:tbl>
    <w:p w14:paraId="695D41BC" w14:textId="09308749"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following table shows the recommended regimen for delaying administration time and/or changing dose level when platelet count decreases</w:t>
      </w:r>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3120"/>
        <w:gridCol w:w="3120"/>
        <w:gridCol w:w="3120"/>
      </w:tblGrid>
      <w:tr w:rsidR="00C04058" w:rsidRPr="00B942CD" w14:paraId="3DD79A03" w14:textId="77777777" w:rsidTr="00AA37F9">
        <w:trPr>
          <w:tblHeader/>
        </w:trPr>
        <w:tc>
          <w:tcPr>
            <w:tcW w:w="3120" w:type="dxa"/>
            <w:tcBorders>
              <w:top w:val="single" w:sz="4" w:space="0" w:color="auto"/>
              <w:bottom w:val="single" w:sz="4" w:space="0" w:color="auto"/>
            </w:tcBorders>
            <w:vAlign w:val="center"/>
          </w:tcPr>
          <w:p w14:paraId="39AFB173" w14:textId="25C2A568"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 grade</w:t>
            </w:r>
          </w:p>
        </w:tc>
        <w:tc>
          <w:tcPr>
            <w:tcW w:w="3120" w:type="dxa"/>
            <w:tcBorders>
              <w:top w:val="single" w:sz="4" w:space="0" w:color="auto"/>
              <w:bottom w:val="single" w:sz="4" w:space="0" w:color="auto"/>
            </w:tcBorders>
            <w:vAlign w:val="center"/>
          </w:tcPr>
          <w:p w14:paraId="24374EB0" w14:textId="1EEE441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 regimen</w:t>
            </w:r>
          </w:p>
        </w:tc>
        <w:tc>
          <w:tcPr>
            <w:tcW w:w="3120" w:type="dxa"/>
            <w:tcBorders>
              <w:top w:val="single" w:sz="4" w:space="0" w:color="auto"/>
              <w:bottom w:val="single" w:sz="4" w:space="0" w:color="auto"/>
            </w:tcBorders>
            <w:vAlign w:val="center"/>
          </w:tcPr>
          <w:p w14:paraId="78D27B7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Handling recommendation</w:t>
            </w:r>
          </w:p>
        </w:tc>
      </w:tr>
      <w:tr w:rsidR="00C04058" w:rsidRPr="00B942CD" w14:paraId="792EB0CA" w14:textId="77777777" w:rsidTr="00AA37F9">
        <w:tc>
          <w:tcPr>
            <w:tcW w:w="3120" w:type="dxa"/>
            <w:tcBorders>
              <w:top w:val="single" w:sz="4" w:space="0" w:color="auto"/>
              <w:bottom w:val="single" w:sz="4" w:space="0" w:color="auto"/>
            </w:tcBorders>
            <w:vAlign w:val="center"/>
          </w:tcPr>
          <w:p w14:paraId="133C42D4" w14:textId="3FA216A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1: the platelet count is 100~75× 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p>
        </w:tc>
        <w:tc>
          <w:tcPr>
            <w:tcW w:w="3120" w:type="dxa"/>
            <w:tcBorders>
              <w:top w:val="single" w:sz="4" w:space="0" w:color="auto"/>
              <w:bottom w:val="single" w:sz="4" w:space="0" w:color="auto"/>
            </w:tcBorders>
            <w:vAlign w:val="center"/>
          </w:tcPr>
          <w:p w14:paraId="09DC7B69" w14:textId="1E203B61"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tcBorders>
              <w:top w:val="single" w:sz="4" w:space="0" w:color="auto"/>
              <w:bottom w:val="single" w:sz="4" w:space="0" w:color="auto"/>
            </w:tcBorders>
            <w:vAlign w:val="center"/>
          </w:tcPr>
          <w:p w14:paraId="6A772E0E" w14:textId="5592C32A"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Have visit as scheduled</w:t>
            </w:r>
          </w:p>
        </w:tc>
      </w:tr>
      <w:tr w:rsidR="00C04058" w:rsidRPr="00B942CD" w14:paraId="47C252D2" w14:textId="77777777" w:rsidTr="00AA37F9">
        <w:tc>
          <w:tcPr>
            <w:tcW w:w="3120" w:type="dxa"/>
            <w:vMerge w:val="restart"/>
            <w:tcBorders>
              <w:top w:val="single" w:sz="4" w:space="0" w:color="auto"/>
              <w:bottom w:val="nil"/>
            </w:tcBorders>
            <w:vAlign w:val="center"/>
          </w:tcPr>
          <w:p w14:paraId="0F413032" w14:textId="5363F25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 the platelet count is 75~50× 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p>
        </w:tc>
        <w:tc>
          <w:tcPr>
            <w:tcW w:w="3120" w:type="dxa"/>
            <w:tcBorders>
              <w:top w:val="single" w:sz="4" w:space="0" w:color="auto"/>
              <w:bottom w:val="single" w:sz="4" w:space="0" w:color="auto"/>
            </w:tcBorders>
            <w:vAlign w:val="center"/>
          </w:tcPr>
          <w:p w14:paraId="52E2968D" w14:textId="1FE1D81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1 week, maintain original dose</w:t>
            </w:r>
          </w:p>
        </w:tc>
        <w:tc>
          <w:tcPr>
            <w:tcW w:w="3120" w:type="dxa"/>
            <w:tcBorders>
              <w:top w:val="single" w:sz="4" w:space="0" w:color="auto"/>
              <w:bottom w:val="single" w:sz="4" w:space="0" w:color="auto"/>
            </w:tcBorders>
            <w:vAlign w:val="center"/>
          </w:tcPr>
          <w:p w14:paraId="59B67564" w14:textId="31F4FFE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the hematology once every 2 to 3 days; and recommend to have active treatment. Retest hematology once every week during the follow-up visit</w:t>
            </w:r>
          </w:p>
        </w:tc>
      </w:tr>
      <w:tr w:rsidR="00C04058" w:rsidRPr="00B942CD" w14:paraId="697EFA66" w14:textId="77777777" w:rsidTr="00AA37F9">
        <w:tc>
          <w:tcPr>
            <w:tcW w:w="3120" w:type="dxa"/>
            <w:vMerge/>
            <w:tcBorders>
              <w:top w:val="nil"/>
              <w:bottom w:val="single" w:sz="4" w:space="0" w:color="auto"/>
            </w:tcBorders>
            <w:vAlign w:val="center"/>
          </w:tcPr>
          <w:p w14:paraId="04F025CC"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lang w:eastAsia="zh-CN"/>
              </w:rPr>
            </w:pPr>
          </w:p>
        </w:tc>
        <w:tc>
          <w:tcPr>
            <w:tcW w:w="3120" w:type="dxa"/>
            <w:tcBorders>
              <w:top w:val="single" w:sz="4" w:space="0" w:color="auto"/>
              <w:bottom w:val="single" w:sz="4" w:space="0" w:color="auto"/>
            </w:tcBorders>
            <w:vAlign w:val="center"/>
          </w:tcPr>
          <w:p w14:paraId="0BE6BEFB" w14:textId="4590BA1C"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w:t>
            </w:r>
          </w:p>
        </w:tc>
        <w:tc>
          <w:tcPr>
            <w:tcW w:w="3120" w:type="dxa"/>
            <w:tcBorders>
              <w:top w:val="single" w:sz="4" w:space="0" w:color="auto"/>
              <w:bottom w:val="single" w:sz="4" w:space="0" w:color="auto"/>
            </w:tcBorders>
            <w:vAlign w:val="center"/>
          </w:tcPr>
          <w:p w14:paraId="2E395BAE" w14:textId="2AF239C4"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the hematology once every 2 to 3 days; and recommend to have active treatment. Retest hematology once every week during the follow-up visit</w:t>
            </w:r>
          </w:p>
        </w:tc>
      </w:tr>
      <w:tr w:rsidR="00C04058" w:rsidRPr="00B942CD" w14:paraId="06B6CE32" w14:textId="77777777" w:rsidTr="00AA37F9">
        <w:tc>
          <w:tcPr>
            <w:tcW w:w="3120" w:type="dxa"/>
            <w:tcBorders>
              <w:top w:val="single" w:sz="4" w:space="0" w:color="auto"/>
              <w:bottom w:val="single" w:sz="4" w:space="0" w:color="auto"/>
            </w:tcBorders>
            <w:vAlign w:val="center"/>
          </w:tcPr>
          <w:p w14:paraId="4759133D" w14:textId="137FA789"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Grade 3: Platelet count 50~25× 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p>
        </w:tc>
        <w:tc>
          <w:tcPr>
            <w:tcW w:w="3120" w:type="dxa"/>
            <w:tcBorders>
              <w:top w:val="single" w:sz="4" w:space="0" w:color="auto"/>
              <w:bottom w:val="single" w:sz="4" w:space="0" w:color="auto"/>
            </w:tcBorders>
            <w:vAlign w:val="center"/>
          </w:tcPr>
          <w:p w14:paraId="3F43F27D" w14:textId="09FD013F"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w:t>
            </w:r>
          </w:p>
        </w:tc>
        <w:tc>
          <w:tcPr>
            <w:tcW w:w="3120" w:type="dxa"/>
            <w:tcBorders>
              <w:top w:val="single" w:sz="4" w:space="0" w:color="auto"/>
              <w:bottom w:val="single" w:sz="4" w:space="0" w:color="auto"/>
            </w:tcBorders>
            <w:vAlign w:val="center"/>
          </w:tcPr>
          <w:p w14:paraId="2CBA6B65" w14:textId="6C71ADE2"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the hematology once every 2 to 3 days; and recommend to have active treatment. Retest hematology once every week during the follow-up visit</w:t>
            </w:r>
          </w:p>
        </w:tc>
      </w:tr>
      <w:tr w:rsidR="00C04058" w:rsidRPr="00B942CD" w14:paraId="071B810D" w14:textId="77777777" w:rsidTr="00AA37F9">
        <w:tc>
          <w:tcPr>
            <w:tcW w:w="3120" w:type="dxa"/>
            <w:tcBorders>
              <w:top w:val="single" w:sz="4" w:space="0" w:color="auto"/>
              <w:bottom w:val="single" w:sz="4" w:space="0" w:color="auto"/>
            </w:tcBorders>
            <w:vAlign w:val="center"/>
          </w:tcPr>
          <w:p w14:paraId="2E111919" w14:textId="11302993"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4: Platelet count &lt;25×10</w:t>
            </w:r>
            <w:r w:rsidRPr="00B942CD">
              <w:rPr>
                <w:rFonts w:ascii="Times New Roman" w:eastAsia="SimSun" w:hAnsi="Times New Roman" w:cs="Times New Roman"/>
                <w:snapToGrid w:val="0"/>
                <w:color w:val="000000" w:themeColor="text1"/>
                <w:sz w:val="21"/>
                <w:szCs w:val="21"/>
                <w:vertAlign w:val="superscript"/>
              </w:rPr>
              <w:t>9</w:t>
            </w:r>
            <w:r w:rsidRPr="00B942CD">
              <w:rPr>
                <w:rFonts w:ascii="Times New Roman" w:eastAsia="SimSun" w:hAnsi="Times New Roman" w:cs="Times New Roman"/>
                <w:snapToGrid w:val="0"/>
                <w:color w:val="000000" w:themeColor="text1"/>
                <w:sz w:val="21"/>
                <w:szCs w:val="21"/>
              </w:rPr>
              <w:t>/L</w:t>
            </w:r>
          </w:p>
        </w:tc>
        <w:tc>
          <w:tcPr>
            <w:tcW w:w="3120" w:type="dxa"/>
            <w:tcBorders>
              <w:top w:val="single" w:sz="4" w:space="0" w:color="auto"/>
              <w:bottom w:val="single" w:sz="4" w:space="0" w:color="auto"/>
            </w:tcBorders>
            <w:vAlign w:val="center"/>
          </w:tcPr>
          <w:p w14:paraId="60FCB21E" w14:textId="7FB7A498"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Permanently terminate treatment</w:t>
            </w:r>
          </w:p>
        </w:tc>
        <w:tc>
          <w:tcPr>
            <w:tcW w:w="3120" w:type="dxa"/>
            <w:tcBorders>
              <w:top w:val="single" w:sz="4" w:space="0" w:color="auto"/>
              <w:bottom w:val="single" w:sz="4" w:space="0" w:color="auto"/>
            </w:tcBorders>
            <w:vAlign w:val="center"/>
          </w:tcPr>
          <w:p w14:paraId="594A012A" w14:textId="1428FBB1"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the hematology every day until resolution to grade ≤ 2; infuse apheresis platelets and give active treatment.</w:t>
            </w:r>
          </w:p>
        </w:tc>
      </w:tr>
    </w:tbl>
    <w:p w14:paraId="3F475D09"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following table shows the recommended regimen for delaying administration time and/or changing dose level when the bleeding event occurs</w:t>
      </w:r>
    </w:p>
    <w:tbl>
      <w:tblPr>
        <w:tblW w:w="5000" w:type="pct"/>
        <w:tblBorders>
          <w:top w:val="single" w:sz="4" w:space="0" w:color="auto"/>
          <w:bottom w:val="single" w:sz="4" w:space="0" w:color="auto"/>
        </w:tblBorders>
        <w:tblLayout w:type="fixed"/>
        <w:tblLook w:val="0000" w:firstRow="0" w:lastRow="0" w:firstColumn="0" w:lastColumn="0" w:noHBand="0" w:noVBand="0"/>
      </w:tblPr>
      <w:tblGrid>
        <w:gridCol w:w="3120"/>
        <w:gridCol w:w="3120"/>
        <w:gridCol w:w="3120"/>
      </w:tblGrid>
      <w:tr w:rsidR="00C04058" w:rsidRPr="00B942CD" w14:paraId="7F118A85" w14:textId="77777777" w:rsidTr="00FC1DE2">
        <w:tc>
          <w:tcPr>
            <w:tcW w:w="3120" w:type="dxa"/>
            <w:tcBorders>
              <w:top w:val="single" w:sz="4" w:space="0" w:color="auto"/>
              <w:bottom w:val="single" w:sz="4" w:space="0" w:color="auto"/>
            </w:tcBorders>
            <w:vAlign w:val="center"/>
          </w:tcPr>
          <w:p w14:paraId="2FC8EB40" w14:textId="034C7631"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 grade</w:t>
            </w:r>
          </w:p>
        </w:tc>
        <w:tc>
          <w:tcPr>
            <w:tcW w:w="3120" w:type="dxa"/>
            <w:tcBorders>
              <w:top w:val="single" w:sz="4" w:space="0" w:color="auto"/>
              <w:bottom w:val="single" w:sz="4" w:space="0" w:color="auto"/>
            </w:tcBorders>
            <w:vAlign w:val="center"/>
          </w:tcPr>
          <w:p w14:paraId="49F5CCF1" w14:textId="00E2C68E"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Dose adjustment regimen</w:t>
            </w:r>
          </w:p>
        </w:tc>
        <w:tc>
          <w:tcPr>
            <w:tcW w:w="3120" w:type="dxa"/>
            <w:tcBorders>
              <w:top w:val="single" w:sz="4" w:space="0" w:color="auto"/>
              <w:bottom w:val="single" w:sz="4" w:space="0" w:color="auto"/>
            </w:tcBorders>
            <w:vAlign w:val="center"/>
          </w:tcPr>
          <w:p w14:paraId="75C41975"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Handling recommendation</w:t>
            </w:r>
          </w:p>
        </w:tc>
      </w:tr>
      <w:tr w:rsidR="00C04058" w:rsidRPr="00B942CD" w14:paraId="4E053E19" w14:textId="77777777" w:rsidTr="00FC1DE2">
        <w:tc>
          <w:tcPr>
            <w:tcW w:w="3120" w:type="dxa"/>
            <w:tcBorders>
              <w:top w:val="single" w:sz="4" w:space="0" w:color="auto"/>
            </w:tcBorders>
            <w:vAlign w:val="center"/>
          </w:tcPr>
          <w:p w14:paraId="5EFC1B9B"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1</w:t>
            </w:r>
          </w:p>
        </w:tc>
        <w:tc>
          <w:tcPr>
            <w:tcW w:w="3120" w:type="dxa"/>
            <w:tcBorders>
              <w:top w:val="single" w:sz="4" w:space="0" w:color="auto"/>
            </w:tcBorders>
            <w:vAlign w:val="center"/>
          </w:tcPr>
          <w:p w14:paraId="08BBFCED" w14:textId="5A26F982"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Maintain original dose</w:t>
            </w:r>
          </w:p>
        </w:tc>
        <w:tc>
          <w:tcPr>
            <w:tcW w:w="3120" w:type="dxa"/>
            <w:tcBorders>
              <w:top w:val="single" w:sz="4" w:space="0" w:color="auto"/>
            </w:tcBorders>
            <w:vAlign w:val="center"/>
          </w:tcPr>
          <w:p w14:paraId="2EE2CDFD" w14:textId="243EE96D"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Have follow-up as scheduled</w:t>
            </w:r>
          </w:p>
        </w:tc>
      </w:tr>
      <w:tr w:rsidR="00C04058" w:rsidRPr="00B942CD" w14:paraId="5D5B4C17" w14:textId="77777777" w:rsidTr="00FC1DE2">
        <w:tc>
          <w:tcPr>
            <w:tcW w:w="3120" w:type="dxa"/>
            <w:vAlign w:val="center"/>
          </w:tcPr>
          <w:p w14:paraId="3A2C2118"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2</w:t>
            </w:r>
          </w:p>
        </w:tc>
        <w:tc>
          <w:tcPr>
            <w:tcW w:w="3120" w:type="dxa"/>
            <w:vAlign w:val="center"/>
          </w:tcPr>
          <w:p w14:paraId="49FE71A8" w14:textId="04196C88"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Delay administration, if it is recovered to grade &lt; 2 within 2 weeks, reduce a dose level</w:t>
            </w:r>
          </w:p>
        </w:tc>
        <w:tc>
          <w:tcPr>
            <w:tcW w:w="3120" w:type="dxa"/>
            <w:vAlign w:val="center"/>
          </w:tcPr>
          <w:p w14:paraId="415B0F00" w14:textId="71CE0966"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Give active treatment</w:t>
            </w:r>
          </w:p>
        </w:tc>
      </w:tr>
      <w:tr w:rsidR="002B2947" w:rsidRPr="00B942CD" w14:paraId="7FE02188" w14:textId="77777777" w:rsidTr="00FC1DE2">
        <w:tc>
          <w:tcPr>
            <w:tcW w:w="3120" w:type="dxa"/>
            <w:tcBorders>
              <w:bottom w:val="single" w:sz="4" w:space="0" w:color="auto"/>
            </w:tcBorders>
            <w:vAlign w:val="center"/>
          </w:tcPr>
          <w:p w14:paraId="1282E713" w14:textId="77777777"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Grade ≥3</w:t>
            </w:r>
          </w:p>
        </w:tc>
        <w:tc>
          <w:tcPr>
            <w:tcW w:w="3120" w:type="dxa"/>
            <w:tcBorders>
              <w:bottom w:val="single" w:sz="4" w:space="0" w:color="auto"/>
            </w:tcBorders>
            <w:vAlign w:val="center"/>
          </w:tcPr>
          <w:p w14:paraId="42E779C7" w14:textId="084B7768"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Permanently terminate treatment</w:t>
            </w:r>
          </w:p>
        </w:tc>
        <w:tc>
          <w:tcPr>
            <w:tcW w:w="3120" w:type="dxa"/>
            <w:tcBorders>
              <w:bottom w:val="single" w:sz="4" w:space="0" w:color="auto"/>
            </w:tcBorders>
            <w:vAlign w:val="center"/>
          </w:tcPr>
          <w:p w14:paraId="453791C6" w14:textId="5230933E" w:rsidR="004733E0" w:rsidRPr="00B942CD" w:rsidRDefault="004733E0" w:rsidP="00AA119C">
            <w:pPr>
              <w:widowControl/>
              <w:autoSpaceDE/>
              <w:autoSpaceDN/>
              <w:adjustRightInd w:val="0"/>
              <w:snapToGrid w:val="0"/>
              <w:spacing w:beforeLines="15" w:before="36" w:line="276"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Emergency medical intervention</w:t>
            </w:r>
          </w:p>
        </w:tc>
      </w:tr>
    </w:tbl>
    <w:p w14:paraId="690FB7B2" w14:textId="67FA7D70"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As previously described, in the ALTER0303 clinical trial, dose reduction (from 12 mg to 10 mg) occurred only in 25 patients (8.50%) of the anlotinib group, and the second reduction (from 10 mg to 8 mg) occurred in 3 patients (1.02%). The main AEs leading to dose reduction were hand and foot skin reaction, hypertension, diarrhea, anorexia, stomatitis, function liver abnormal, proteinuria, lipids blood increased, and asthenia. In the NOVA study, more than 5% of grade 3 and higher AEs for niraparib were thrombocytopenia (33.8%), </w:t>
      </w:r>
      <w:proofErr w:type="spellStart"/>
      <w:r w:rsidRPr="00B942CD">
        <w:rPr>
          <w:rFonts w:ascii="Times New Roman" w:eastAsia="SimSun" w:hAnsi="Times New Roman" w:cs="Times New Roman"/>
          <w:snapToGrid w:val="0"/>
          <w:color w:val="000000" w:themeColor="text1"/>
          <w:sz w:val="24"/>
          <w:szCs w:val="24"/>
        </w:rPr>
        <w:t>anaemia</w:t>
      </w:r>
      <w:proofErr w:type="spellEnd"/>
      <w:r w:rsidRPr="00B942CD">
        <w:rPr>
          <w:rFonts w:ascii="Times New Roman" w:eastAsia="SimSun" w:hAnsi="Times New Roman" w:cs="Times New Roman"/>
          <w:snapToGrid w:val="0"/>
          <w:color w:val="000000" w:themeColor="text1"/>
          <w:sz w:val="24"/>
          <w:szCs w:val="24"/>
        </w:rPr>
        <w:t xml:space="preserve"> (25.3%), neutropenia (19.6%), asthenia (8.2%) and hypertension (8.2%).</w:t>
      </w:r>
    </w:p>
    <w:p w14:paraId="1B0712D0" w14:textId="0C5A431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Specifically marked AE of circulatory system: hypertension. As hypertension is a common AE of anti-angiogenic agents and combined treatment is used the clinical trial, the hypertension AE in the niraparib study set will be separately described. Of the 384 patients in the niraparib study set of ovarian cancer treatment, 28 patients (7%) reported hypertension as a TEAE. Ten (3%) of 384 patients reported to have grade 3 and higher hypertension. The incidence of hypertension in this study set was lower than that in NOVA study, among which the incidence in the niraparib group was 19%, and the incidence of grade 3 and higher events was 8%. However, the incidence of patient-exposure years (PEY) of hypertension in NOVA study (0.29) was similar to the result (0.30) reported in the study set. In the QUADRA study, 1 patient reported discontinuation of study treatment due to hypertension. Six (2%) patients interrupted the dose due to hypertension, and no patient reduced the dose due to hypertension. Before the start of the study, two cardiovascular physicians (deputy chief physician or above) will be designated as consultants in this project to manage the AE of blood pressure increased in the progress of the project. Subjects whose blood </w:t>
      </w:r>
      <w:r w:rsidRPr="00B942CD">
        <w:rPr>
          <w:rFonts w:ascii="Times New Roman" w:eastAsia="SimSun" w:hAnsi="Times New Roman" w:cs="Times New Roman"/>
          <w:snapToGrid w:val="0"/>
          <w:color w:val="000000" w:themeColor="text1"/>
          <w:sz w:val="24"/>
          <w:szCs w:val="24"/>
        </w:rPr>
        <w:lastRenderedPageBreak/>
        <w:t>pressure cannot be effectively controlled by antihypertensive drugs will be withdrawn from this study.</w:t>
      </w:r>
    </w:p>
    <w:p w14:paraId="796985A8" w14:textId="146D0186" w:rsidR="004733E0" w:rsidRPr="00B942CD" w:rsidRDefault="004733E0" w:rsidP="00AA119C">
      <w:pPr>
        <w:pStyle w:val="Heading1"/>
        <w:rPr>
          <w:rFonts w:cs="Times New Roman"/>
        </w:rPr>
      </w:pPr>
      <w:bookmarkStart w:id="140" w:name="_Toc98358637"/>
      <w:r w:rsidRPr="00B942CD">
        <w:rPr>
          <w:rFonts w:cs="Times New Roman"/>
        </w:rPr>
        <w:t xml:space="preserve">Hypotheses and </w:t>
      </w:r>
      <w:r w:rsidR="009707A9" w:rsidRPr="00B942CD">
        <w:rPr>
          <w:rFonts w:cs="Times New Roman"/>
        </w:rPr>
        <w:t>Statistical Method</w:t>
      </w:r>
      <w:bookmarkEnd w:id="140"/>
    </w:p>
    <w:p w14:paraId="603984E7" w14:textId="42BF4CD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bookmarkStart w:id="141" w:name="4.1_Other_Agent_Used_in_Combination"/>
      <w:bookmarkStart w:id="142" w:name="4.1.1_Administration"/>
      <w:bookmarkStart w:id="143" w:name="4.1.2_Dose_Modification"/>
      <w:bookmarkStart w:id="144" w:name="4.1.3_Packaging,_Labeling_and_Storage"/>
      <w:bookmarkStart w:id="145" w:name="4.1.4_Disposal_and_Destruction"/>
      <w:bookmarkStart w:id="146" w:name="4.2_Niraparib"/>
      <w:bookmarkStart w:id="147" w:name="4.2.2_Administration"/>
      <w:bookmarkStart w:id="148" w:name="4.2.3_Potential_Risks_of_Niraparib"/>
      <w:bookmarkStart w:id="149" w:name="4.2.5_Packaging,_Labeling"/>
      <w:bookmarkStart w:id="150" w:name="4.2.6_Disposal_and_Destruction"/>
      <w:bookmarkStart w:id="151" w:name="4.2.7_Previous_and_Concomitant_Medicatio"/>
      <w:bookmarkStart w:id="152" w:name="4.2_Dose-Limiting_Toxicity_(DLT)"/>
      <w:bookmarkStart w:id="153" w:name="5_STATISTICAL_METHODS"/>
      <w:bookmarkStart w:id="154" w:name="_TOC_250010"/>
      <w:bookmarkStart w:id="155" w:name="_bookmark35"/>
      <w:bookmarkStart w:id="156" w:name="_bookmark36"/>
      <w:bookmarkStart w:id="157" w:name="_bookmark37"/>
      <w:bookmarkStart w:id="158" w:name="_bookmark3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B942CD">
        <w:rPr>
          <w:rFonts w:ascii="Times New Roman" w:eastAsia="SimSun" w:hAnsi="Times New Roman" w:cs="Times New Roman"/>
          <w:snapToGrid w:val="0"/>
          <w:color w:val="000000" w:themeColor="text1"/>
          <w:sz w:val="24"/>
        </w:rPr>
        <w:t xml:space="preserve">The </w:t>
      </w:r>
      <w:r w:rsidR="00745D2E" w:rsidRPr="00B942CD">
        <w:rPr>
          <w:rFonts w:ascii="Times New Roman" w:eastAsia="SimSun" w:hAnsi="Times New Roman" w:cs="Times New Roman"/>
          <w:snapToGrid w:val="0"/>
          <w:color w:val="000000" w:themeColor="text1"/>
          <w:sz w:val="24"/>
        </w:rPr>
        <w:t>ORR</w:t>
      </w:r>
      <w:r w:rsidRPr="00B942CD">
        <w:rPr>
          <w:rFonts w:ascii="Times New Roman" w:eastAsia="SimSun" w:hAnsi="Times New Roman" w:cs="Times New Roman"/>
          <w:snapToGrid w:val="0"/>
          <w:color w:val="000000" w:themeColor="text1"/>
          <w:sz w:val="24"/>
        </w:rPr>
        <w:t xml:space="preserve"> for standard chemotherapy in patients with platinum-resistant recurrent ovarian cancer is approximately 10–20% </w:t>
      </w:r>
      <w:r w:rsidRPr="00B942CD">
        <w:rPr>
          <w:rFonts w:ascii="Times New Roman" w:eastAsia="SimSun" w:hAnsi="Times New Roman" w:cs="Times New Roman"/>
          <w:snapToGrid w:val="0"/>
          <w:color w:val="000000" w:themeColor="text1"/>
          <w:sz w:val="24"/>
          <w:vertAlign w:val="superscript"/>
        </w:rPr>
        <w:t>23,24</w:t>
      </w:r>
      <w:r w:rsidRPr="00B942CD">
        <w:rPr>
          <w:rFonts w:ascii="Times New Roman" w:eastAsia="SimSun" w:hAnsi="Times New Roman" w:cs="Times New Roman"/>
          <w:snapToGrid w:val="0"/>
          <w:color w:val="000000" w:themeColor="text1"/>
          <w:sz w:val="24"/>
        </w:rPr>
        <w:t xml:space="preserve">. </w:t>
      </w:r>
      <w:r w:rsidR="00632777" w:rsidRPr="001D103B">
        <w:rPr>
          <w:rFonts w:ascii="Times New Roman" w:eastAsia="SimSun" w:hAnsi="Times New Roman" w:cs="Times New Roman"/>
          <w:snapToGrid w:val="0"/>
          <w:color w:val="000000" w:themeColor="text1"/>
          <w:sz w:val="24"/>
        </w:rPr>
        <w:t>Assuming that the true objective response rate with anlotinib plus niraparib was 40%, a sample size of 36 patients was estimated to provide 80% power to reject the null hypothesis of an objective response rate ≤20% at a one-sided type-1 error rate of 5%. Assuming a 10% rate of loss to follow-up, a target sample size of 40 patients was planned.</w:t>
      </w:r>
    </w:p>
    <w:p w14:paraId="19AC69F6" w14:textId="7FEEF1DF"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b/>
          <w:bCs/>
          <w:snapToGrid w:val="0"/>
          <w:sz w:val="24"/>
          <w:szCs w:val="24"/>
        </w:rPr>
      </w:pPr>
      <w:bookmarkStart w:id="159" w:name="Primary_objective:"/>
      <w:bookmarkEnd w:id="159"/>
      <w:r w:rsidRPr="00B942CD">
        <w:rPr>
          <w:rStyle w:val="web-item2"/>
          <w:rFonts w:ascii="Times New Roman" w:eastAsia="SimSun" w:hAnsi="Times New Roman"/>
          <w:b/>
          <w:bCs/>
          <w:snapToGrid w:val="0"/>
          <w:color w:val="000000" w:themeColor="text1"/>
          <w:sz w:val="24"/>
          <w:szCs w:val="24"/>
        </w:rPr>
        <w:t>Primary Endpoint</w:t>
      </w:r>
      <w:r w:rsidRPr="00B942CD">
        <w:rPr>
          <w:rFonts w:ascii="Times New Roman" w:eastAsia="SimSun" w:hAnsi="Times New Roman" w:cs="Times New Roman"/>
          <w:b/>
          <w:bCs/>
          <w:snapToGrid w:val="0"/>
          <w:sz w:val="24"/>
          <w:szCs w:val="24"/>
        </w:rPr>
        <w:t>:</w:t>
      </w:r>
    </w:p>
    <w:p w14:paraId="0669C642" w14:textId="0805EB9C"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 xml:space="preserve">To evaluate the ORR for niraparib in combination with anlotinib in patients with platinum-resistant recurrent ovarian cancer, i.e., the proportion </w:t>
      </w:r>
      <w:r w:rsidR="00745D2E" w:rsidRPr="00B942CD">
        <w:rPr>
          <w:rFonts w:ascii="Times New Roman" w:hAnsi="Times New Roman"/>
          <w:color w:val="000000" w:themeColor="text1"/>
        </w:rPr>
        <w:t>of subjects</w:t>
      </w:r>
      <w:r w:rsidR="00745D2E" w:rsidRPr="00B942CD">
        <w:rPr>
          <w:rFonts w:ascii="Times New Roman" w:eastAsia="SimSun" w:hAnsi="Times New Roman" w:cs="Times New Roman"/>
          <w:snapToGrid w:val="0"/>
          <w:sz w:val="24"/>
          <w:szCs w:val="24"/>
        </w:rPr>
        <w:t xml:space="preserve"> </w:t>
      </w:r>
      <w:r w:rsidRPr="00B942CD">
        <w:rPr>
          <w:rFonts w:ascii="Times New Roman" w:eastAsia="SimSun" w:hAnsi="Times New Roman" w:cs="Times New Roman"/>
          <w:snapToGrid w:val="0"/>
          <w:sz w:val="24"/>
          <w:szCs w:val="24"/>
        </w:rPr>
        <w:t>achieving complete response (CR) and partial response (PR) in all patients.</w:t>
      </w:r>
    </w:p>
    <w:p w14:paraId="22E774D2"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Style w:val="web-item2"/>
          <w:rFonts w:ascii="Times New Roman" w:eastAsia="SimSun" w:hAnsi="Times New Roman"/>
          <w:b/>
          <w:bCs/>
          <w:snapToGrid w:val="0"/>
          <w:color w:val="000000" w:themeColor="text1"/>
          <w:sz w:val="24"/>
          <w:szCs w:val="24"/>
        </w:rPr>
      </w:pPr>
      <w:bookmarkStart w:id="160" w:name="Secondary_objective_1:"/>
      <w:bookmarkEnd w:id="160"/>
      <w:r w:rsidRPr="00B942CD">
        <w:rPr>
          <w:rStyle w:val="web-item2"/>
          <w:rFonts w:ascii="Times New Roman" w:eastAsia="SimSun" w:hAnsi="Times New Roman"/>
          <w:b/>
          <w:bCs/>
          <w:snapToGrid w:val="0"/>
          <w:color w:val="000000" w:themeColor="text1"/>
          <w:sz w:val="24"/>
          <w:szCs w:val="24"/>
        </w:rPr>
        <w:t>Secondary Endpoint 1:</w:t>
      </w:r>
    </w:p>
    <w:p w14:paraId="24796186"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 evaluate safety data of niraparib in combination with anlotinib</w:t>
      </w:r>
    </w:p>
    <w:p w14:paraId="5F9F2539"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Style w:val="web-item2"/>
          <w:rFonts w:ascii="Times New Roman" w:eastAsia="SimSun" w:hAnsi="Times New Roman"/>
          <w:b/>
          <w:bCs/>
          <w:snapToGrid w:val="0"/>
          <w:color w:val="000000" w:themeColor="text1"/>
          <w:sz w:val="24"/>
          <w:szCs w:val="24"/>
        </w:rPr>
      </w:pPr>
      <w:r w:rsidRPr="00B942CD">
        <w:rPr>
          <w:rStyle w:val="web-item2"/>
          <w:rFonts w:ascii="Times New Roman" w:eastAsia="SimSun" w:hAnsi="Times New Roman"/>
          <w:b/>
          <w:bCs/>
          <w:snapToGrid w:val="0"/>
          <w:color w:val="000000" w:themeColor="text1"/>
          <w:sz w:val="24"/>
          <w:szCs w:val="24"/>
        </w:rPr>
        <w:t>Secondary Endpoint 2:</w:t>
      </w:r>
    </w:p>
    <w:p w14:paraId="7763E9D9"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To evaluate the time to response (TTR), duration of response (DOR), overall response rate (ORR), and 24-week clinical benefit rate (CBR=CR+PR+SD) for niraparib in combination with anlotinib in patients with platinum-resistant recurrent ovarian cancer.</w:t>
      </w:r>
    </w:p>
    <w:p w14:paraId="4F0F2A7C"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Style w:val="web-item2"/>
          <w:rFonts w:ascii="Times New Roman" w:eastAsia="SimSun" w:hAnsi="Times New Roman"/>
          <w:b/>
          <w:bCs/>
          <w:snapToGrid w:val="0"/>
          <w:color w:val="000000" w:themeColor="text1"/>
          <w:sz w:val="24"/>
          <w:szCs w:val="24"/>
        </w:rPr>
      </w:pPr>
      <w:r w:rsidRPr="00B942CD">
        <w:rPr>
          <w:rStyle w:val="web-item2"/>
          <w:rFonts w:ascii="Times New Roman" w:eastAsia="SimSun" w:hAnsi="Times New Roman"/>
          <w:b/>
          <w:bCs/>
          <w:snapToGrid w:val="0"/>
          <w:color w:val="000000" w:themeColor="text1"/>
          <w:sz w:val="24"/>
          <w:szCs w:val="24"/>
        </w:rPr>
        <w:t>Secondary Endpoint 3:</w:t>
      </w:r>
    </w:p>
    <w:p w14:paraId="13DDAC3E" w14:textId="548C107B"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To evaluate the </w:t>
      </w:r>
      <w:r w:rsidR="00745D2E" w:rsidRPr="00B942CD">
        <w:rPr>
          <w:rFonts w:ascii="Times New Roman" w:eastAsia="SimSun" w:hAnsi="Times New Roman" w:cs="Times New Roman"/>
          <w:snapToGrid w:val="0"/>
          <w:color w:val="000000" w:themeColor="text1"/>
          <w:sz w:val="24"/>
        </w:rPr>
        <w:t>anti-cancer</w:t>
      </w:r>
      <w:r w:rsidRPr="00B942CD">
        <w:rPr>
          <w:rFonts w:ascii="Times New Roman" w:eastAsia="SimSun" w:hAnsi="Times New Roman" w:cs="Times New Roman"/>
          <w:snapToGrid w:val="0"/>
          <w:color w:val="000000" w:themeColor="text1"/>
          <w:sz w:val="24"/>
        </w:rPr>
        <w:t xml:space="preserve"> activity of niraparib in combination with anlotinib in patients with platinum-resistant recurrent ovarian cancer in various groups with </w:t>
      </w:r>
      <w:r w:rsidRPr="001D103B">
        <w:rPr>
          <w:rFonts w:ascii="Times New Roman" w:eastAsia="SimSun" w:hAnsi="Times New Roman" w:cs="Times New Roman"/>
          <w:i/>
          <w:iCs/>
          <w:snapToGrid w:val="0"/>
          <w:color w:val="000000" w:themeColor="text1"/>
          <w:sz w:val="24"/>
        </w:rPr>
        <w:t xml:space="preserve">BRCA </w:t>
      </w:r>
      <w:r w:rsidRPr="00B942CD">
        <w:rPr>
          <w:rFonts w:ascii="Times New Roman" w:eastAsia="SimSun" w:hAnsi="Times New Roman" w:cs="Times New Roman"/>
          <w:snapToGrid w:val="0"/>
          <w:color w:val="000000" w:themeColor="text1"/>
          <w:sz w:val="24"/>
        </w:rPr>
        <w:t xml:space="preserve">mutation </w:t>
      </w:r>
      <w:r w:rsidR="00745D2E" w:rsidRPr="00B942CD">
        <w:rPr>
          <w:rFonts w:ascii="Times New Roman" w:eastAsia="SimSun" w:hAnsi="Times New Roman" w:cs="Times New Roman"/>
          <w:snapToGrid w:val="0"/>
          <w:color w:val="000000" w:themeColor="text1"/>
          <w:sz w:val="24"/>
        </w:rPr>
        <w:t>status (Yes or No)</w:t>
      </w:r>
      <w:r w:rsidRPr="00B942CD">
        <w:rPr>
          <w:rFonts w:ascii="Times New Roman" w:eastAsia="SimSun" w:hAnsi="Times New Roman" w:cs="Times New Roman"/>
          <w:snapToGrid w:val="0"/>
          <w:color w:val="000000" w:themeColor="text1"/>
          <w:sz w:val="24"/>
        </w:rPr>
        <w:t xml:space="preserve"> as </w:t>
      </w:r>
      <w:r w:rsidR="00745D2E" w:rsidRPr="00B942CD">
        <w:rPr>
          <w:rFonts w:ascii="Times New Roman" w:eastAsia="SimSun" w:hAnsi="Times New Roman" w:cs="Times New Roman" w:hint="eastAsia"/>
          <w:snapToGrid w:val="0"/>
          <w:color w:val="000000" w:themeColor="text1"/>
          <w:sz w:val="24"/>
          <w:lang w:eastAsia="zh-CN"/>
        </w:rPr>
        <w:t>a</w:t>
      </w:r>
      <w:r w:rsidR="00745D2E" w:rsidRPr="00B942CD">
        <w:rPr>
          <w:rFonts w:ascii="Times New Roman" w:eastAsia="SimSun" w:hAnsi="Times New Roman" w:cs="Times New Roman"/>
          <w:snapToGrid w:val="0"/>
          <w:color w:val="000000" w:themeColor="text1"/>
          <w:sz w:val="24"/>
          <w:lang w:eastAsia="zh-CN"/>
        </w:rPr>
        <w:t xml:space="preserve"> </w:t>
      </w:r>
      <w:r w:rsidRPr="00B942CD">
        <w:rPr>
          <w:rFonts w:ascii="Times New Roman" w:eastAsia="SimSun" w:hAnsi="Times New Roman" w:cs="Times New Roman"/>
          <w:snapToGrid w:val="0"/>
          <w:color w:val="000000" w:themeColor="text1"/>
          <w:sz w:val="24"/>
        </w:rPr>
        <w:t>stratification factor.</w:t>
      </w:r>
    </w:p>
    <w:p w14:paraId="3A258E28"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Style w:val="web-item2"/>
          <w:rFonts w:ascii="Times New Roman" w:eastAsia="SimSun" w:hAnsi="Times New Roman"/>
          <w:b/>
          <w:bCs/>
          <w:snapToGrid w:val="0"/>
          <w:color w:val="000000" w:themeColor="text1"/>
          <w:sz w:val="24"/>
          <w:szCs w:val="24"/>
        </w:rPr>
      </w:pPr>
      <w:bookmarkStart w:id="161" w:name="Tumor_Assessment"/>
      <w:bookmarkEnd w:id="161"/>
      <w:r w:rsidRPr="00B942CD">
        <w:rPr>
          <w:rStyle w:val="web-item2"/>
          <w:rFonts w:ascii="Times New Roman" w:eastAsia="SimSun" w:hAnsi="Times New Roman"/>
          <w:b/>
          <w:bCs/>
          <w:snapToGrid w:val="0"/>
          <w:color w:val="000000" w:themeColor="text1"/>
          <w:sz w:val="24"/>
          <w:szCs w:val="24"/>
        </w:rPr>
        <w:t>Tumor assessment</w:t>
      </w:r>
    </w:p>
    <w:p w14:paraId="4DCB60E2" w14:textId="744DACB0"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Therapeutic efficacy is assessed according to RECIST 1.1 for all measurable lesions. The assessment doctors are two independent senior radiologists regularly engaged for this study. They do not participate in other diagnosis and treatment activities of this study, and only perform imaging assessment. Tumor assessments </w:t>
      </w:r>
      <w:r w:rsidR="00745D2E" w:rsidRPr="00B942CD">
        <w:rPr>
          <w:rFonts w:ascii="Times New Roman" w:eastAsia="SimSun" w:hAnsi="Times New Roman" w:cs="Times New Roman"/>
          <w:snapToGrid w:val="0"/>
          <w:color w:val="000000" w:themeColor="text1"/>
          <w:sz w:val="24"/>
        </w:rPr>
        <w:t>for</w:t>
      </w:r>
      <w:r w:rsidRPr="00B942CD">
        <w:rPr>
          <w:rFonts w:ascii="Times New Roman" w:eastAsia="SimSun" w:hAnsi="Times New Roman" w:cs="Times New Roman"/>
          <w:snapToGrid w:val="0"/>
          <w:color w:val="000000" w:themeColor="text1"/>
          <w:sz w:val="24"/>
        </w:rPr>
        <w:t xml:space="preserve"> treatment response will be performed every 9 weeks until </w:t>
      </w:r>
      <w:r w:rsidR="00745D2E" w:rsidRPr="00B942CD">
        <w:rPr>
          <w:rFonts w:ascii="Times New Roman" w:eastAsia="SimSun" w:hAnsi="Times New Roman" w:cs="Times New Roman"/>
          <w:snapToGrid w:val="0"/>
          <w:color w:val="000000" w:themeColor="text1"/>
          <w:sz w:val="24"/>
        </w:rPr>
        <w:t>PD</w:t>
      </w:r>
      <w:r w:rsidRPr="00B942CD">
        <w:rPr>
          <w:rFonts w:ascii="Times New Roman" w:eastAsia="SimSun" w:hAnsi="Times New Roman" w:cs="Times New Roman"/>
          <w:snapToGrid w:val="0"/>
          <w:color w:val="000000" w:themeColor="text1"/>
          <w:sz w:val="24"/>
        </w:rPr>
        <w:t>. All disease sites must be assessed using baseline assessment method. Confirmatory assessments of CR or PR must be performed at least 4 weeks after the initial</w:t>
      </w:r>
      <w:r w:rsidR="00745D2E" w:rsidRPr="00B942CD">
        <w:rPr>
          <w:rFonts w:ascii="Times New Roman" w:hAnsi="Times New Roman"/>
          <w:color w:val="000000" w:themeColor="text1"/>
        </w:rPr>
        <w:t>ly documented</w:t>
      </w:r>
      <w:r w:rsidRPr="00B942CD">
        <w:rPr>
          <w:rFonts w:ascii="Times New Roman" w:eastAsia="SimSun" w:hAnsi="Times New Roman" w:cs="Times New Roman"/>
          <w:snapToGrid w:val="0"/>
          <w:color w:val="000000" w:themeColor="text1"/>
          <w:sz w:val="24"/>
        </w:rPr>
        <w:t xml:space="preserve"> response.</w:t>
      </w:r>
    </w:p>
    <w:p w14:paraId="0E509B77" w14:textId="62E6C0C8"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All tumor marker assessments must be performed by the same laboratory for each patient. All target lesions will be measured by the same imaging technique throughout the study. The same technique should be used for each patient' s assessment. The results should be recorded in the CRF. Imaging copies may be provided for review. Patients who receive at least 2 treatment cycles and </w:t>
      </w:r>
      <w:r w:rsidRPr="00B942CD">
        <w:rPr>
          <w:rFonts w:ascii="Times New Roman" w:eastAsia="SimSun" w:hAnsi="Times New Roman" w:cs="Times New Roman"/>
          <w:snapToGrid w:val="0"/>
          <w:color w:val="000000" w:themeColor="text1"/>
          <w:sz w:val="24"/>
        </w:rPr>
        <w:lastRenderedPageBreak/>
        <w:t xml:space="preserve">at least one disease assessment </w:t>
      </w:r>
      <w:r w:rsidR="00745D2E" w:rsidRPr="00B942CD">
        <w:rPr>
          <w:rFonts w:ascii="Times New Roman" w:eastAsia="SimSun" w:hAnsi="Times New Roman" w:cs="Times New Roman"/>
          <w:snapToGrid w:val="0"/>
          <w:color w:val="000000" w:themeColor="text1"/>
          <w:sz w:val="24"/>
        </w:rPr>
        <w:t>during</w:t>
      </w:r>
      <w:r w:rsidRPr="00B942CD">
        <w:rPr>
          <w:rFonts w:ascii="Times New Roman" w:eastAsia="SimSun" w:hAnsi="Times New Roman" w:cs="Times New Roman"/>
          <w:snapToGrid w:val="0"/>
          <w:color w:val="000000" w:themeColor="text1"/>
          <w:sz w:val="24"/>
        </w:rPr>
        <w:t xml:space="preserve"> the study, or patients with early progression, will be regarded as evaluable patients.</w:t>
      </w:r>
      <w:bookmarkStart w:id="162" w:name="Response_Assessment_for_Gynecologic_Pati"/>
      <w:bookmarkEnd w:id="162"/>
    </w:p>
    <w:p w14:paraId="4568E425" w14:textId="06284E40" w:rsidR="004733E0" w:rsidRPr="00B942CD" w:rsidRDefault="004733E0" w:rsidP="00AA119C">
      <w:pPr>
        <w:pStyle w:val="Heading2"/>
        <w:rPr>
          <w:rFonts w:cs="Times New Roman"/>
        </w:rPr>
      </w:pPr>
      <w:bookmarkStart w:id="163" w:name="5.1_Safety_Analyses"/>
      <w:bookmarkStart w:id="164" w:name="_Toc98358638"/>
      <w:bookmarkEnd w:id="163"/>
      <w:r w:rsidRPr="00B942CD">
        <w:rPr>
          <w:rFonts w:cs="Times New Roman"/>
        </w:rPr>
        <w:t xml:space="preserve">Safety </w:t>
      </w:r>
      <w:r w:rsidR="009707A9" w:rsidRPr="00B942CD">
        <w:rPr>
          <w:rFonts w:cs="Times New Roman"/>
        </w:rPr>
        <w:t>Analysis</w:t>
      </w:r>
      <w:bookmarkEnd w:id="164"/>
    </w:p>
    <w:p w14:paraId="640536F5" w14:textId="791559CF"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Trained study coordinators and/or data administrators will enter the information described in this section. All AEs will be </w:t>
      </w:r>
      <w:r w:rsidR="00745D2E" w:rsidRPr="00B942CD">
        <w:rPr>
          <w:rFonts w:ascii="Times New Roman" w:eastAsia="SimSun" w:hAnsi="Times New Roman" w:cs="Times New Roman"/>
          <w:snapToGrid w:val="0"/>
          <w:color w:val="000000" w:themeColor="text1"/>
          <w:sz w:val="24"/>
        </w:rPr>
        <w:t>coded using</w:t>
      </w:r>
      <w:r w:rsidRPr="00B942CD">
        <w:rPr>
          <w:rFonts w:ascii="Times New Roman" w:eastAsia="SimSun" w:hAnsi="Times New Roman" w:cs="Times New Roman"/>
          <w:snapToGrid w:val="0"/>
          <w:color w:val="000000" w:themeColor="text1"/>
          <w:sz w:val="24"/>
        </w:rPr>
        <w:t xml:space="preserve"> MedDRA </w:t>
      </w:r>
      <w:r w:rsidR="00745D2E" w:rsidRPr="00B942CD">
        <w:rPr>
          <w:rFonts w:ascii="Times New Roman" w:eastAsia="SimSun" w:hAnsi="Times New Roman" w:cs="Times New Roman"/>
          <w:snapToGrid w:val="0"/>
          <w:color w:val="000000" w:themeColor="text1"/>
          <w:sz w:val="24"/>
        </w:rPr>
        <w:t>terminology</w:t>
      </w:r>
      <w:r w:rsidRPr="00B942CD">
        <w:rPr>
          <w:rFonts w:ascii="Times New Roman" w:eastAsia="SimSun" w:hAnsi="Times New Roman" w:cs="Times New Roman"/>
          <w:snapToGrid w:val="0"/>
          <w:color w:val="000000" w:themeColor="text1"/>
          <w:sz w:val="24"/>
        </w:rPr>
        <w:t>. In addition, a table of incidence of individual AEs coded by MedDRA</w:t>
      </w:r>
      <w:r w:rsidR="00745D2E" w:rsidRPr="00B942CD">
        <w:rPr>
          <w:rFonts w:ascii="Times New Roman" w:eastAsia="SimSun" w:hAnsi="Times New Roman" w:cs="Times New Roman"/>
          <w:snapToGrid w:val="0"/>
          <w:color w:val="000000" w:themeColor="text1"/>
          <w:sz w:val="24"/>
        </w:rPr>
        <w:t xml:space="preserve"> terminology</w:t>
      </w:r>
      <w:r w:rsidRPr="00B942CD">
        <w:rPr>
          <w:rFonts w:ascii="Times New Roman" w:eastAsia="SimSun" w:hAnsi="Times New Roman" w:cs="Times New Roman"/>
          <w:snapToGrid w:val="0"/>
          <w:color w:val="000000" w:themeColor="text1"/>
          <w:sz w:val="24"/>
        </w:rPr>
        <w:t xml:space="preserve"> will be presented according to the following criteria: 1) Toxicity grade (</w:t>
      </w:r>
      <w:r w:rsidR="00745D2E" w:rsidRPr="00B942CD">
        <w:rPr>
          <w:rFonts w:ascii="Times New Roman" w:eastAsia="SimSun" w:hAnsi="Times New Roman" w:cs="Times New Roman"/>
          <w:snapToGrid w:val="0"/>
          <w:color w:val="000000" w:themeColor="text1"/>
          <w:sz w:val="24"/>
        </w:rPr>
        <w:t>seriousness</w:t>
      </w:r>
      <w:r w:rsidRPr="00B942CD">
        <w:rPr>
          <w:rFonts w:ascii="Times New Roman" w:eastAsia="SimSun" w:hAnsi="Times New Roman" w:cs="Times New Roman"/>
          <w:snapToGrid w:val="0"/>
          <w:color w:val="000000" w:themeColor="text1"/>
          <w:sz w:val="24"/>
        </w:rPr>
        <w:t>), classified per the Common Terminology Criteria for Adverse Events (CTCAE) v5.0; 2) Determination of the relationship between AEs and treatment with the investigator.</w:t>
      </w:r>
    </w:p>
    <w:p w14:paraId="371A34D7"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All discontinuation of drug caused by SAEs and AEs, or deaths during trial or within 30 days after trial termination will be summarized per each patient.</w:t>
      </w:r>
    </w:p>
    <w:p w14:paraId="0369DBCC" w14:textId="67229BD3"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Patient survival information and information of MDS/AML patients will be collected every 8 weeks from the start of treatment until 90 days after the end of the study.</w:t>
      </w:r>
    </w:p>
    <w:p w14:paraId="0F21E3B9" w14:textId="7BDDCDBE" w:rsidR="004733E0" w:rsidRPr="00B942CD" w:rsidRDefault="004733E0" w:rsidP="00AA119C">
      <w:pPr>
        <w:pStyle w:val="Heading2"/>
        <w:rPr>
          <w:rFonts w:cs="Times New Roman"/>
        </w:rPr>
      </w:pPr>
      <w:bookmarkStart w:id="165" w:name="5.2_Determination_of_Sample_Size_n/a"/>
      <w:bookmarkStart w:id="166" w:name="5.3_Missing_Data_n/a"/>
      <w:bookmarkStart w:id="167" w:name="_Toc98358639"/>
      <w:bookmarkEnd w:id="165"/>
      <w:bookmarkEnd w:id="166"/>
      <w:r w:rsidRPr="00B942CD">
        <w:rPr>
          <w:rFonts w:cs="Times New Roman"/>
        </w:rPr>
        <w:t xml:space="preserve">Missing </w:t>
      </w:r>
      <w:r w:rsidR="009707A9" w:rsidRPr="00B942CD">
        <w:rPr>
          <w:rFonts w:cs="Times New Roman"/>
        </w:rPr>
        <w:t xml:space="preserve">Data </w:t>
      </w:r>
      <w:proofErr w:type="spellStart"/>
      <w:r w:rsidRPr="00B942CD">
        <w:rPr>
          <w:rFonts w:cs="Times New Roman"/>
        </w:rPr>
        <w:t>n/a</w:t>
      </w:r>
      <w:bookmarkEnd w:id="167"/>
      <w:proofErr w:type="spellEnd"/>
    </w:p>
    <w:p w14:paraId="2229F60B" w14:textId="35C0CBD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Missing data will not be imputed.</w:t>
      </w:r>
    </w:p>
    <w:p w14:paraId="3ED0C290" w14:textId="100F3EBF" w:rsidR="004733E0" w:rsidRPr="00B942CD" w:rsidRDefault="004733E0" w:rsidP="00AA119C">
      <w:pPr>
        <w:pStyle w:val="Heading2"/>
        <w:rPr>
          <w:rFonts w:cs="Times New Roman"/>
          <w:color w:val="000000" w:themeColor="text1"/>
        </w:rPr>
      </w:pPr>
      <w:bookmarkStart w:id="168" w:name="5.4_Interim_Analysis_n/a"/>
      <w:bookmarkStart w:id="169" w:name="_TOC_250000"/>
      <w:bookmarkStart w:id="170" w:name="_Toc98358640"/>
      <w:bookmarkEnd w:id="168"/>
      <w:r w:rsidRPr="00B942CD">
        <w:rPr>
          <w:rFonts w:cs="Times New Roman"/>
        </w:rPr>
        <w:t xml:space="preserve">Interim </w:t>
      </w:r>
      <w:bookmarkEnd w:id="169"/>
      <w:r w:rsidR="009707A9" w:rsidRPr="00B942CD">
        <w:rPr>
          <w:rFonts w:cs="Times New Roman"/>
        </w:rPr>
        <w:t>Analysis</w:t>
      </w:r>
      <w:r w:rsidR="009707A9" w:rsidRPr="00B942CD">
        <w:rPr>
          <w:rFonts w:cs="Times New Roman"/>
          <w:color w:val="000000" w:themeColor="text1"/>
        </w:rPr>
        <w:t xml:space="preserve"> </w:t>
      </w:r>
      <w:proofErr w:type="spellStart"/>
      <w:r w:rsidRPr="00B942CD">
        <w:rPr>
          <w:rFonts w:cs="Times New Roman"/>
          <w:color w:val="000000" w:themeColor="text1"/>
        </w:rPr>
        <w:t>n/a</w:t>
      </w:r>
      <w:bookmarkEnd w:id="170"/>
      <w:proofErr w:type="spellEnd"/>
    </w:p>
    <w:p w14:paraId="69C4DB7D" w14:textId="4058B6F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Phase I patients are followed up to week 24 after the end of enrollment. If ORR value cannot reach 20%, the study will be terminated. Safety data will be continuously reviewed.</w:t>
      </w:r>
    </w:p>
    <w:p w14:paraId="402527B2" w14:textId="0E565A89" w:rsidR="004733E0" w:rsidRPr="00B942CD" w:rsidRDefault="004733E0" w:rsidP="00AA119C">
      <w:pPr>
        <w:pStyle w:val="Heading1"/>
        <w:rPr>
          <w:rFonts w:cs="Times New Roman"/>
        </w:rPr>
      </w:pPr>
      <w:bookmarkStart w:id="171" w:name="6_ETHICAL,_LEGAL_AND_ADMINISTRATIVE_ASPE"/>
      <w:bookmarkStart w:id="172" w:name="_bookmark39"/>
      <w:bookmarkStart w:id="173" w:name="_Toc98358641"/>
      <w:bookmarkEnd w:id="171"/>
      <w:bookmarkEnd w:id="172"/>
      <w:r w:rsidRPr="00B942CD">
        <w:rPr>
          <w:rFonts w:cs="Times New Roman"/>
        </w:rPr>
        <w:t xml:space="preserve">Ethical, </w:t>
      </w:r>
      <w:r w:rsidR="009707A9" w:rsidRPr="00B942CD">
        <w:rPr>
          <w:rFonts w:cs="Times New Roman"/>
        </w:rPr>
        <w:t xml:space="preserve">Legal </w:t>
      </w:r>
      <w:r w:rsidRPr="00B942CD">
        <w:rPr>
          <w:rFonts w:cs="Times New Roman"/>
        </w:rPr>
        <w:t xml:space="preserve">and </w:t>
      </w:r>
      <w:r w:rsidR="009707A9" w:rsidRPr="00B942CD">
        <w:rPr>
          <w:rFonts w:cs="Times New Roman"/>
        </w:rPr>
        <w:t>Administrative Provisions</w:t>
      </w:r>
      <w:bookmarkEnd w:id="173"/>
    </w:p>
    <w:p w14:paraId="6C70B6F8" w14:textId="77777777" w:rsidR="004733E0" w:rsidRPr="00B942CD" w:rsidRDefault="004733E0" w:rsidP="00AA119C">
      <w:pPr>
        <w:pStyle w:val="Heading2"/>
        <w:rPr>
          <w:rFonts w:cs="Times New Roman"/>
        </w:rPr>
      </w:pPr>
      <w:bookmarkStart w:id="174" w:name="6.1_Good_Clinical_Practice"/>
      <w:bookmarkStart w:id="175" w:name="_bookmark40"/>
      <w:bookmarkStart w:id="176" w:name="_Toc98358642"/>
      <w:bookmarkEnd w:id="174"/>
      <w:bookmarkEnd w:id="175"/>
      <w:r w:rsidRPr="00B942CD">
        <w:rPr>
          <w:rFonts w:cs="Times New Roman"/>
        </w:rPr>
        <w:t>GCP</w:t>
      </w:r>
      <w:bookmarkEnd w:id="176"/>
    </w:p>
    <w:p w14:paraId="3B284A18" w14:textId="6AB12DE9"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This clinical study shall be implemented in accordance with the </w:t>
      </w:r>
      <w:r w:rsidRPr="00B942CD">
        <w:rPr>
          <w:rFonts w:ascii="Times New Roman" w:eastAsia="SimSun" w:hAnsi="Times New Roman" w:cs="Times New Roman"/>
          <w:i/>
          <w:snapToGrid w:val="0"/>
          <w:color w:val="000000" w:themeColor="text1"/>
          <w:sz w:val="24"/>
          <w:szCs w:val="24"/>
        </w:rPr>
        <w:t>Declaration of Helsinki</w:t>
      </w:r>
      <w:r w:rsidRPr="00B942CD">
        <w:rPr>
          <w:rFonts w:ascii="Times New Roman" w:eastAsia="SimSun" w:hAnsi="Times New Roman" w:cs="Times New Roman"/>
          <w:snapToGrid w:val="0"/>
          <w:color w:val="000000" w:themeColor="text1"/>
          <w:sz w:val="24"/>
          <w:szCs w:val="24"/>
        </w:rPr>
        <w:t xml:space="preserve">, Good Clinical Practice </w:t>
      </w:r>
      <w:r w:rsidR="00745D2E" w:rsidRPr="00B942CD">
        <w:rPr>
          <w:rFonts w:ascii="Times New Roman" w:eastAsia="SimSun" w:hAnsi="Times New Roman" w:cs="Times New Roman"/>
          <w:snapToGrid w:val="0"/>
          <w:color w:val="000000" w:themeColor="text1"/>
          <w:sz w:val="24"/>
          <w:szCs w:val="24"/>
        </w:rPr>
        <w:t>in China and regulations of drug clinical trials</w:t>
      </w:r>
      <w:r w:rsidRPr="00B942CD">
        <w:rPr>
          <w:rFonts w:ascii="Times New Roman" w:eastAsia="SimSun" w:hAnsi="Times New Roman" w:cs="Times New Roman"/>
          <w:snapToGrid w:val="0"/>
          <w:color w:val="000000" w:themeColor="text1"/>
          <w:sz w:val="24"/>
          <w:szCs w:val="24"/>
        </w:rPr>
        <w:t>.</w:t>
      </w:r>
    </w:p>
    <w:p w14:paraId="13AF5A41" w14:textId="04131F9C" w:rsidR="004733E0" w:rsidRPr="00B942CD" w:rsidRDefault="004733E0" w:rsidP="00AA119C">
      <w:pPr>
        <w:pStyle w:val="Heading2"/>
        <w:rPr>
          <w:rFonts w:cs="Times New Roman"/>
        </w:rPr>
      </w:pPr>
      <w:bookmarkStart w:id="177" w:name="6.2_Informed_Consent"/>
      <w:bookmarkStart w:id="178" w:name="_bookmark41"/>
      <w:bookmarkStart w:id="179" w:name="_Toc98358643"/>
      <w:bookmarkEnd w:id="177"/>
      <w:bookmarkEnd w:id="178"/>
      <w:r w:rsidRPr="00B942CD">
        <w:rPr>
          <w:rFonts w:cs="Times New Roman"/>
        </w:rPr>
        <w:t xml:space="preserve">Informed </w:t>
      </w:r>
      <w:r w:rsidR="009707A9" w:rsidRPr="00B942CD">
        <w:rPr>
          <w:rFonts w:cs="Times New Roman"/>
        </w:rPr>
        <w:t>Consent</w:t>
      </w:r>
      <w:bookmarkEnd w:id="179"/>
    </w:p>
    <w:p w14:paraId="492639CB" w14:textId="532AF5BE"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The </w:t>
      </w:r>
      <w:r w:rsidR="00745D2E" w:rsidRPr="00B942CD">
        <w:rPr>
          <w:rFonts w:ascii="Times New Roman" w:eastAsia="SimSun" w:hAnsi="Times New Roman" w:cs="Times New Roman"/>
          <w:snapToGrid w:val="0"/>
          <w:color w:val="000000" w:themeColor="text1"/>
          <w:sz w:val="24"/>
          <w:szCs w:val="24"/>
        </w:rPr>
        <w:t>investigator has the responsibility to explain to each patient the purpose, methods, benefits and potential risks of this clinical study. Signed ICF must be obtained from patients before conducting any study-specific procedures. Informed consent should be expressed in written form. The ICF must be dated and signed by the patient him/herself. For those patients who could not sign the ICF by themselves for any reasons, their parents, legal guardians, or protectors should sign the ICF. The original copy of signed ICF must be preserved and documented in the CRF and relevant trial source documents by the investigator.</w:t>
      </w:r>
    </w:p>
    <w:p w14:paraId="5A83F3D7" w14:textId="65733378"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By </w:t>
      </w:r>
      <w:r w:rsidR="00745D2E" w:rsidRPr="00B942CD">
        <w:rPr>
          <w:rFonts w:ascii="Times New Roman" w:eastAsia="SimSun" w:hAnsi="Times New Roman" w:cs="Times New Roman"/>
          <w:snapToGrid w:val="0"/>
          <w:color w:val="000000" w:themeColor="text1"/>
          <w:sz w:val="24"/>
          <w:szCs w:val="24"/>
        </w:rPr>
        <w:t xml:space="preserve">signing the ICF, the patient must also agree to allow the investigator, the drug approval authorities, and the auditor and (or) the monitor to check and verify the obtained source data and </w:t>
      </w:r>
      <w:r w:rsidR="00745D2E" w:rsidRPr="00B942CD">
        <w:rPr>
          <w:rFonts w:ascii="Times New Roman" w:eastAsia="SimSun" w:hAnsi="Times New Roman" w:cs="Times New Roman"/>
          <w:snapToGrid w:val="0"/>
          <w:color w:val="000000" w:themeColor="text1"/>
          <w:sz w:val="24"/>
          <w:szCs w:val="24"/>
        </w:rPr>
        <w:lastRenderedPageBreak/>
        <w:t>materials related to the clinical study, and all parties mentioned above must comply with confidentiality statement.</w:t>
      </w:r>
    </w:p>
    <w:p w14:paraId="132E69CE" w14:textId="19CC9113" w:rsidR="004733E0" w:rsidRPr="00B942CD" w:rsidRDefault="004733E0" w:rsidP="00AA119C">
      <w:pPr>
        <w:pStyle w:val="Heading2"/>
        <w:rPr>
          <w:rFonts w:cs="Times New Roman"/>
        </w:rPr>
      </w:pPr>
      <w:bookmarkStart w:id="180" w:name="6.3_Protocol_Approval_and_Amendment"/>
      <w:bookmarkStart w:id="181" w:name="_bookmark42"/>
      <w:bookmarkStart w:id="182" w:name="_Toc98358644"/>
      <w:bookmarkEnd w:id="180"/>
      <w:bookmarkEnd w:id="181"/>
      <w:r w:rsidRPr="00B942CD">
        <w:rPr>
          <w:rFonts w:cs="Times New Roman"/>
        </w:rPr>
        <w:t xml:space="preserve">Approval and </w:t>
      </w:r>
      <w:r w:rsidR="009707A9" w:rsidRPr="00B942CD">
        <w:rPr>
          <w:rFonts w:cs="Times New Roman"/>
        </w:rPr>
        <w:t xml:space="preserve">Amendment </w:t>
      </w:r>
      <w:r w:rsidRPr="00B942CD">
        <w:rPr>
          <w:rFonts w:cs="Times New Roman"/>
        </w:rPr>
        <w:t>of Protocol</w:t>
      </w:r>
      <w:bookmarkEnd w:id="182"/>
    </w:p>
    <w:p w14:paraId="769DD07C" w14:textId="271586C2"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After </w:t>
      </w:r>
      <w:r w:rsidR="00745D2E" w:rsidRPr="00B942CD">
        <w:rPr>
          <w:rFonts w:ascii="Times New Roman" w:eastAsia="SimSun" w:hAnsi="Times New Roman" w:cs="Times New Roman"/>
          <w:snapToGrid w:val="0"/>
          <w:color w:val="000000" w:themeColor="text1"/>
          <w:sz w:val="24"/>
          <w:szCs w:val="24"/>
        </w:rPr>
        <w:t>the final version of the study protocol is confirmed, any modifications to the protocol must be documented in detail and signed, and the version number and date should be also indicated.</w:t>
      </w:r>
    </w:p>
    <w:p w14:paraId="1F541E48" w14:textId="6610C493"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The </w:t>
      </w:r>
      <w:r w:rsidR="00745D2E" w:rsidRPr="00B942CD">
        <w:rPr>
          <w:rFonts w:ascii="Times New Roman" w:eastAsia="SimSun" w:hAnsi="Times New Roman" w:cs="Times New Roman"/>
          <w:snapToGrid w:val="0"/>
          <w:color w:val="000000" w:themeColor="text1"/>
          <w:sz w:val="24"/>
          <w:szCs w:val="24"/>
        </w:rPr>
        <w:t>protocol amendment should involve the sponsors and the investigator. The amendment should not be implemented before obtaining the approval of the Ethics Committee</w:t>
      </w:r>
      <w:r w:rsidRPr="00B942CD">
        <w:rPr>
          <w:rFonts w:ascii="Times New Roman" w:eastAsia="SimSun" w:hAnsi="Times New Roman" w:cs="Times New Roman"/>
          <w:snapToGrid w:val="0"/>
          <w:color w:val="000000" w:themeColor="text1"/>
          <w:sz w:val="24"/>
          <w:szCs w:val="24"/>
        </w:rPr>
        <w:t>.</w:t>
      </w:r>
      <w:bookmarkStart w:id="183" w:name="6.4_Subject_Confidentiality_and_Data_Pro"/>
      <w:bookmarkEnd w:id="183"/>
    </w:p>
    <w:p w14:paraId="57C5A579" w14:textId="383F33CB" w:rsidR="004733E0" w:rsidRPr="00B942CD" w:rsidRDefault="00745D2E" w:rsidP="00AA119C">
      <w:pPr>
        <w:pStyle w:val="Heading2"/>
        <w:rPr>
          <w:rFonts w:cs="Times New Roman"/>
        </w:rPr>
      </w:pPr>
      <w:bookmarkStart w:id="184" w:name="_Toc98358645"/>
      <w:r w:rsidRPr="00B942CD">
        <w:rPr>
          <w:rFonts w:cs="Times New Roman"/>
        </w:rPr>
        <w:t>C</w:t>
      </w:r>
      <w:r w:rsidR="004733E0" w:rsidRPr="00B942CD">
        <w:rPr>
          <w:rFonts w:cs="Times New Roman"/>
        </w:rPr>
        <w:t xml:space="preserve">onfidentiality and </w:t>
      </w:r>
      <w:r w:rsidR="009707A9" w:rsidRPr="00B942CD">
        <w:rPr>
          <w:rFonts w:cs="Times New Roman"/>
        </w:rPr>
        <w:t>Data Protection of Subjects</w:t>
      </w:r>
      <w:bookmarkEnd w:id="184"/>
    </w:p>
    <w:p w14:paraId="546A036C" w14:textId="40320A05"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The </w:t>
      </w:r>
      <w:r w:rsidR="00745D2E" w:rsidRPr="00B942CD">
        <w:rPr>
          <w:rFonts w:ascii="Times New Roman" w:eastAsia="SimSun" w:hAnsi="Times New Roman" w:cs="Times New Roman"/>
          <w:snapToGrid w:val="0"/>
          <w:color w:val="000000" w:themeColor="text1"/>
          <w:sz w:val="24"/>
          <w:szCs w:val="24"/>
        </w:rPr>
        <w:t>investigator must keep confidential the information about the study drug that is provided or disclosed for the clinical study cooperation, and such information can only be used with authorization.</w:t>
      </w:r>
    </w:p>
    <w:p w14:paraId="021238BB" w14:textId="5AB729E5"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Investigators are obligated to protect the privacy of patients participating in </w:t>
      </w:r>
      <w:r w:rsidR="00745D2E" w:rsidRPr="00B942CD">
        <w:rPr>
          <w:rFonts w:ascii="Times New Roman" w:eastAsia="SimSun" w:hAnsi="Times New Roman" w:cs="Times New Roman"/>
          <w:snapToGrid w:val="0"/>
          <w:color w:val="000000" w:themeColor="text1"/>
          <w:sz w:val="24"/>
          <w:szCs w:val="24"/>
        </w:rPr>
        <w:t xml:space="preserve">the </w:t>
      </w:r>
      <w:r w:rsidRPr="00B942CD">
        <w:rPr>
          <w:rFonts w:ascii="Times New Roman" w:eastAsia="SimSun" w:hAnsi="Times New Roman" w:cs="Times New Roman"/>
          <w:snapToGrid w:val="0"/>
          <w:color w:val="000000" w:themeColor="text1"/>
          <w:sz w:val="24"/>
          <w:szCs w:val="24"/>
        </w:rPr>
        <w:t>clinical study. In all the documents, the identity of any patient in the clinical study will be coded by the patient number, while the patient’s name, admission number should not show up. The investigator must appropriately keep name and address of clinical trial patients, as well as enrollment table corresponding to clinical study patient number. These enrollment tables will be strictly kept confidential and stored by the investigator.</w:t>
      </w:r>
    </w:p>
    <w:p w14:paraId="10170007" w14:textId="4545BE88" w:rsidR="004733E0" w:rsidRPr="00B942CD" w:rsidRDefault="004733E0" w:rsidP="00AA119C">
      <w:pPr>
        <w:pStyle w:val="Heading2"/>
        <w:rPr>
          <w:rFonts w:cs="Times New Roman"/>
        </w:rPr>
      </w:pPr>
      <w:bookmarkStart w:id="185" w:name="_Toc98358646"/>
      <w:r w:rsidRPr="00B942CD">
        <w:rPr>
          <w:rFonts w:cs="Times New Roman"/>
        </w:rPr>
        <w:t xml:space="preserve">Source </w:t>
      </w:r>
      <w:r w:rsidR="009707A9" w:rsidRPr="00B942CD">
        <w:rPr>
          <w:rFonts w:cs="Times New Roman"/>
        </w:rPr>
        <w:t>Data Verification</w:t>
      </w:r>
      <w:bookmarkEnd w:id="185"/>
    </w:p>
    <w:p w14:paraId="5D68D8D2" w14:textId="01AA4368"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szCs w:val="24"/>
        </w:rPr>
      </w:pPr>
      <w:bookmarkStart w:id="186" w:name="6.5_Data_Quality_Assurance"/>
      <w:bookmarkStart w:id="187" w:name="6.6_Access_to_Source_Documents"/>
      <w:bookmarkEnd w:id="186"/>
      <w:bookmarkEnd w:id="187"/>
      <w:r w:rsidRPr="00B942CD">
        <w:rPr>
          <w:rFonts w:ascii="Times New Roman" w:eastAsia="SimSun" w:hAnsi="Times New Roman" w:cs="Times New Roman"/>
          <w:snapToGrid w:val="0"/>
          <w:color w:val="000000" w:themeColor="text1"/>
          <w:sz w:val="24"/>
          <w:szCs w:val="24"/>
        </w:rPr>
        <w:t xml:space="preserve">The investigator must appropriately handle all data obtained during the clinical study to ensure rights and privacy of patients participating in the clinical study. The investigator must permit the monitor/auditor/inspector to consult and review required clinical study data to verify accuracy of original data and learn about study progress. If the original records cannot be verified, the investigator should agree to assist to further validation of data </w:t>
      </w:r>
      <w:r w:rsidR="002E79F1" w:rsidRPr="00B942CD">
        <w:rPr>
          <w:rFonts w:ascii="Times New Roman" w:eastAsia="SimSun" w:hAnsi="Times New Roman" w:cs="Times New Roman"/>
          <w:snapToGrid w:val="0"/>
          <w:color w:val="000000" w:themeColor="text1"/>
          <w:sz w:val="24"/>
          <w:szCs w:val="24"/>
        </w:rPr>
        <w:t xml:space="preserve">quality </w:t>
      </w:r>
      <w:r w:rsidRPr="00B942CD">
        <w:rPr>
          <w:rFonts w:ascii="Times New Roman" w:eastAsia="SimSun" w:hAnsi="Times New Roman" w:cs="Times New Roman"/>
          <w:snapToGrid w:val="0"/>
          <w:color w:val="000000" w:themeColor="text1"/>
          <w:sz w:val="24"/>
          <w:szCs w:val="24"/>
        </w:rPr>
        <w:t>with them.</w:t>
      </w:r>
    </w:p>
    <w:p w14:paraId="1A52DDB0" w14:textId="75DBE9B4" w:rsidR="004733E0" w:rsidRPr="00B942CD" w:rsidRDefault="004733E0" w:rsidP="00AA119C">
      <w:pPr>
        <w:pStyle w:val="Heading2"/>
        <w:rPr>
          <w:rFonts w:cs="Times New Roman"/>
        </w:rPr>
      </w:pPr>
      <w:bookmarkStart w:id="188" w:name="6.7_Study_Monitoring"/>
      <w:bookmarkStart w:id="189" w:name="_Toc98358647"/>
      <w:bookmarkStart w:id="190" w:name="_Toc509308035"/>
      <w:bookmarkStart w:id="191" w:name="_Toc447174527"/>
      <w:bookmarkStart w:id="192" w:name="_Toc445383385"/>
      <w:bookmarkStart w:id="193" w:name="_Toc361931923"/>
      <w:bookmarkStart w:id="194" w:name="_Toc327544735"/>
      <w:bookmarkStart w:id="195" w:name="_Toc14818"/>
      <w:bookmarkEnd w:id="188"/>
      <w:r w:rsidRPr="00B942CD">
        <w:rPr>
          <w:rFonts w:cs="Times New Roman"/>
        </w:rPr>
        <w:t>Quality</w:t>
      </w:r>
      <w:r w:rsidR="009707A9" w:rsidRPr="00B942CD">
        <w:rPr>
          <w:rFonts w:cs="Times New Roman"/>
        </w:rPr>
        <w:t xml:space="preserve"> Assurance, Review and Approval</w:t>
      </w:r>
      <w:bookmarkEnd w:id="189"/>
    </w:p>
    <w:p w14:paraId="780F63E7" w14:textId="44A19B1A"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The </w:t>
      </w:r>
      <w:r w:rsidR="002E79F1" w:rsidRPr="00B942CD">
        <w:rPr>
          <w:rFonts w:ascii="Times New Roman" w:eastAsia="SimSun" w:hAnsi="Times New Roman" w:cs="Times New Roman"/>
          <w:snapToGrid w:val="0"/>
          <w:color w:val="000000" w:themeColor="text1"/>
          <w:sz w:val="24"/>
          <w:szCs w:val="24"/>
        </w:rPr>
        <w:t>quality of all drugs and materials used in the clinical study must be controlled. The personnel authorized by investigator or related medical management agencies have the right to audit the clinical study in order to ensure the authenticity of the clinical study record data and comply with the provisions of the clinical study protocol. Patients participating in the clinical study will be informed of the audit, but the privacy and data of patients will be strictly protected.</w:t>
      </w:r>
    </w:p>
    <w:p w14:paraId="01789340" w14:textId="77777777" w:rsidR="004733E0" w:rsidRPr="00B942CD" w:rsidRDefault="004733E0" w:rsidP="00AA119C">
      <w:pPr>
        <w:pStyle w:val="Heading2"/>
        <w:rPr>
          <w:rFonts w:cs="Times New Roman"/>
        </w:rPr>
      </w:pPr>
      <w:bookmarkStart w:id="196" w:name="_Toc98358648"/>
      <w:r w:rsidRPr="00B942CD">
        <w:rPr>
          <w:rFonts w:cs="Times New Roman"/>
        </w:rPr>
        <w:t>Monitoring</w:t>
      </w:r>
      <w:bookmarkEnd w:id="196"/>
    </w:p>
    <w:bookmarkEnd w:id="190"/>
    <w:bookmarkEnd w:id="191"/>
    <w:bookmarkEnd w:id="192"/>
    <w:bookmarkEnd w:id="193"/>
    <w:bookmarkEnd w:id="194"/>
    <w:bookmarkEnd w:id="195"/>
    <w:p w14:paraId="09B5BB52" w14:textId="70B517C8"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t xml:space="preserve">The </w:t>
      </w:r>
      <w:r w:rsidR="002E79F1" w:rsidRPr="00B942CD">
        <w:rPr>
          <w:rFonts w:ascii="Times New Roman" w:eastAsia="SimSun" w:hAnsi="Times New Roman" w:cs="Times New Roman"/>
          <w:snapToGrid w:val="0"/>
          <w:color w:val="000000" w:themeColor="text1"/>
          <w:sz w:val="24"/>
          <w:szCs w:val="24"/>
        </w:rPr>
        <w:t>i</w:t>
      </w:r>
      <w:r w:rsidRPr="00B942CD">
        <w:rPr>
          <w:rFonts w:ascii="Times New Roman" w:eastAsia="SimSun" w:hAnsi="Times New Roman" w:cs="Times New Roman"/>
          <w:snapToGrid w:val="0"/>
          <w:color w:val="000000" w:themeColor="text1"/>
          <w:sz w:val="24"/>
          <w:szCs w:val="24"/>
        </w:rPr>
        <w:t xml:space="preserve">nvestigator assigns certain monitor to perform on-site monitoring. The </w:t>
      </w:r>
      <w:r w:rsidR="002E79F1" w:rsidRPr="00B942CD">
        <w:rPr>
          <w:rFonts w:ascii="Times New Roman" w:eastAsia="SimSun" w:hAnsi="Times New Roman" w:cs="Times New Roman"/>
          <w:snapToGrid w:val="0"/>
          <w:color w:val="000000" w:themeColor="text1"/>
          <w:sz w:val="24"/>
          <w:szCs w:val="24"/>
        </w:rPr>
        <w:t>monitor</w:t>
      </w:r>
      <w:r w:rsidRPr="00B942CD">
        <w:rPr>
          <w:rFonts w:ascii="Times New Roman" w:eastAsia="SimSun" w:hAnsi="Times New Roman" w:cs="Times New Roman"/>
          <w:snapToGrid w:val="0"/>
          <w:color w:val="000000" w:themeColor="text1"/>
          <w:sz w:val="24"/>
          <w:szCs w:val="24"/>
        </w:rPr>
        <w:t xml:space="preserve">s should operate in compliance with the company’s standard </w:t>
      </w:r>
      <w:r w:rsidR="002E79F1" w:rsidRPr="00B942CD">
        <w:rPr>
          <w:rFonts w:ascii="Times New Roman" w:eastAsia="SimSun" w:hAnsi="Times New Roman" w:cs="Times New Roman"/>
          <w:snapToGrid w:val="0"/>
          <w:color w:val="000000" w:themeColor="text1"/>
          <w:sz w:val="24"/>
          <w:szCs w:val="24"/>
        </w:rPr>
        <w:t xml:space="preserve">operating </w:t>
      </w:r>
      <w:r w:rsidRPr="00B942CD">
        <w:rPr>
          <w:rFonts w:ascii="Times New Roman" w:eastAsia="SimSun" w:hAnsi="Times New Roman" w:cs="Times New Roman"/>
          <w:snapToGrid w:val="0"/>
          <w:color w:val="000000" w:themeColor="text1"/>
          <w:sz w:val="24"/>
          <w:szCs w:val="24"/>
        </w:rPr>
        <w:t xml:space="preserve">procedure (SOP). They should perform regular visits from the start to the end of study. </w:t>
      </w:r>
    </w:p>
    <w:p w14:paraId="1BDFEDB1" w14:textId="6E5E386F"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szCs w:val="24"/>
        </w:rPr>
      </w:pPr>
      <w:r w:rsidRPr="00B942CD">
        <w:rPr>
          <w:rFonts w:ascii="Times New Roman" w:eastAsia="SimSun" w:hAnsi="Times New Roman" w:cs="Times New Roman"/>
          <w:snapToGrid w:val="0"/>
          <w:color w:val="000000" w:themeColor="text1"/>
          <w:sz w:val="24"/>
          <w:szCs w:val="24"/>
        </w:rPr>
        <w:lastRenderedPageBreak/>
        <w:t xml:space="preserve">The </w:t>
      </w:r>
      <w:r w:rsidR="002E79F1" w:rsidRPr="00B942CD">
        <w:rPr>
          <w:rFonts w:ascii="Times New Roman" w:eastAsia="SimSun" w:hAnsi="Times New Roman" w:cs="Times New Roman"/>
          <w:snapToGrid w:val="0"/>
          <w:color w:val="000000" w:themeColor="text1"/>
          <w:sz w:val="24"/>
          <w:szCs w:val="24"/>
        </w:rPr>
        <w:t>monitor</w:t>
      </w:r>
      <w:r w:rsidRPr="00B942CD">
        <w:rPr>
          <w:rFonts w:ascii="Times New Roman" w:eastAsia="SimSun" w:hAnsi="Times New Roman" w:cs="Times New Roman"/>
          <w:snapToGrid w:val="0"/>
          <w:color w:val="000000" w:themeColor="text1"/>
          <w:sz w:val="24"/>
          <w:szCs w:val="24"/>
        </w:rPr>
        <w:t>s will have access to relevant source data of the clinical study, and review CRF according to SOP to confirm information completeness, accuracy and consistency with original data.</w:t>
      </w:r>
    </w:p>
    <w:p w14:paraId="78AE676B" w14:textId="550B5E72"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szCs w:val="24"/>
        </w:rPr>
        <w:t xml:space="preserve">CRFs, copies of lab tests and medical tests must be accessible to </w:t>
      </w:r>
      <w:r w:rsidR="002E79F1" w:rsidRPr="00B942CD">
        <w:rPr>
          <w:rFonts w:ascii="Times New Roman" w:eastAsia="SimSun" w:hAnsi="Times New Roman" w:cs="Times New Roman"/>
          <w:snapToGrid w:val="0"/>
          <w:color w:val="000000" w:themeColor="text1"/>
          <w:sz w:val="24"/>
          <w:szCs w:val="24"/>
        </w:rPr>
        <w:t>monitor</w:t>
      </w:r>
      <w:r w:rsidRPr="00B942CD">
        <w:rPr>
          <w:rFonts w:ascii="Times New Roman" w:eastAsia="SimSun" w:hAnsi="Times New Roman" w:cs="Times New Roman"/>
          <w:snapToGrid w:val="0"/>
          <w:color w:val="000000" w:themeColor="text1"/>
          <w:sz w:val="24"/>
          <w:szCs w:val="24"/>
        </w:rPr>
        <w:t xml:space="preserve">s, auditors and health authorities for review at any time. The </w:t>
      </w:r>
      <w:r w:rsidR="002E79F1" w:rsidRPr="00B942CD">
        <w:rPr>
          <w:rFonts w:ascii="Times New Roman" w:eastAsia="SimSun" w:hAnsi="Times New Roman" w:cs="Times New Roman"/>
          <w:snapToGrid w:val="0"/>
          <w:color w:val="000000" w:themeColor="text1"/>
          <w:sz w:val="24"/>
          <w:szCs w:val="24"/>
        </w:rPr>
        <w:t>monitor</w:t>
      </w:r>
      <w:r w:rsidRPr="00B942CD">
        <w:rPr>
          <w:rFonts w:ascii="Times New Roman" w:eastAsia="SimSun" w:hAnsi="Times New Roman" w:cs="Times New Roman"/>
          <w:snapToGrid w:val="0"/>
          <w:color w:val="000000" w:themeColor="text1"/>
          <w:sz w:val="24"/>
          <w:szCs w:val="24"/>
        </w:rPr>
        <w:t>s should review all CRFs and</w:t>
      </w:r>
      <w:r w:rsidR="002E79F1" w:rsidRPr="00B942CD">
        <w:rPr>
          <w:rFonts w:ascii="Times New Roman" w:eastAsia="SimSun" w:hAnsi="Times New Roman" w:cs="Times New Roman"/>
          <w:snapToGrid w:val="0"/>
          <w:color w:val="000000" w:themeColor="text1"/>
          <w:sz w:val="24"/>
          <w:szCs w:val="24"/>
        </w:rPr>
        <w:t xml:space="preserve"> ICF</w:t>
      </w:r>
      <w:r w:rsidRPr="00B942CD">
        <w:rPr>
          <w:rFonts w:ascii="Times New Roman" w:eastAsia="SimSun" w:hAnsi="Times New Roman" w:cs="Times New Roman"/>
          <w:snapToGrid w:val="0"/>
          <w:color w:val="000000" w:themeColor="text1"/>
          <w:sz w:val="24"/>
          <w:szCs w:val="24"/>
        </w:rPr>
        <w:t>s.</w:t>
      </w:r>
      <w:bookmarkStart w:id="197" w:name="6.8_Reporting_Product_Quality_Complaints"/>
      <w:bookmarkEnd w:id="197"/>
    </w:p>
    <w:p w14:paraId="55C25A56" w14:textId="68A9D540" w:rsidR="004733E0" w:rsidRPr="00B942CD" w:rsidRDefault="004733E0" w:rsidP="00AA119C">
      <w:pPr>
        <w:pStyle w:val="Heading2"/>
        <w:rPr>
          <w:rFonts w:cs="Times New Roman"/>
        </w:rPr>
      </w:pPr>
      <w:bookmarkStart w:id="198" w:name="6.9_Reporting_Adverse_Events"/>
      <w:bookmarkStart w:id="199" w:name="_Toc98358649"/>
      <w:bookmarkEnd w:id="198"/>
      <w:r w:rsidRPr="00B942CD">
        <w:rPr>
          <w:rFonts w:cs="Times New Roman"/>
        </w:rPr>
        <w:t xml:space="preserve">Safety </w:t>
      </w:r>
      <w:r w:rsidR="009707A9" w:rsidRPr="00B942CD">
        <w:rPr>
          <w:rFonts w:cs="Times New Roman"/>
        </w:rPr>
        <w:t>Monitoring and Reporting</w:t>
      </w:r>
      <w:bookmarkEnd w:id="199"/>
    </w:p>
    <w:p w14:paraId="79DA1A7F" w14:textId="6F4D4D35" w:rsidR="004733E0" w:rsidRPr="00B942CD" w:rsidRDefault="004733E0" w:rsidP="00AA119C">
      <w:pPr>
        <w:pStyle w:val="Heading3"/>
        <w:rPr>
          <w:rFonts w:cs="Times New Roman"/>
        </w:rPr>
      </w:pPr>
      <w:bookmarkStart w:id="200" w:name="_Toc98358650"/>
      <w:r w:rsidRPr="00B942CD">
        <w:rPr>
          <w:rFonts w:cs="Times New Roman"/>
        </w:rPr>
        <w:t>Definition of AEs</w:t>
      </w:r>
      <w:bookmarkEnd w:id="200"/>
    </w:p>
    <w:p w14:paraId="3F3768F5" w14:textId="3386A77E" w:rsidR="004733E0" w:rsidRPr="00B942CD" w:rsidRDefault="004733E0" w:rsidP="00AA119C">
      <w:pPr>
        <w:pStyle w:val="Para"/>
        <w:suppressAutoHyphens w:val="0"/>
        <w:adjustRightInd w:val="0"/>
        <w:snapToGrid w:val="0"/>
        <w:spacing w:beforeLines="50" w:before="120" w:after="0" w:line="288" w:lineRule="auto"/>
        <w:jc w:val="both"/>
        <w:rPr>
          <w:snapToGrid w:val="0"/>
          <w:color w:val="000000" w:themeColor="text1"/>
          <w:sz w:val="24"/>
        </w:rPr>
      </w:pPr>
      <w:r w:rsidRPr="00B942CD">
        <w:rPr>
          <w:snapToGrid w:val="0"/>
          <w:color w:val="000000" w:themeColor="text1"/>
          <w:sz w:val="24"/>
        </w:rPr>
        <w:t xml:space="preserve">An adverse event is any untoward medical occurrence in a patient or subject administered a pharmaceutical product and which does not necessarily have to have a causal relationship with this treatment. Example of AEs include, but not limited to adverse signs (including abnormal findings in laboratory test) and symptoms, conditions that have a temporal relationship with use of </w:t>
      </w:r>
      <w:r w:rsidR="002E79F1" w:rsidRPr="00B942CD">
        <w:rPr>
          <w:snapToGrid w:val="0"/>
          <w:color w:val="000000" w:themeColor="text1"/>
          <w:sz w:val="24"/>
        </w:rPr>
        <w:t>study</w:t>
      </w:r>
      <w:r w:rsidRPr="00B942CD">
        <w:rPr>
          <w:snapToGrid w:val="0"/>
          <w:color w:val="000000" w:themeColor="text1"/>
          <w:sz w:val="24"/>
        </w:rPr>
        <w:t xml:space="preserve"> drug, regardless of causal relationship to the </w:t>
      </w:r>
      <w:r w:rsidR="002E79F1" w:rsidRPr="00B942CD">
        <w:rPr>
          <w:snapToGrid w:val="0"/>
          <w:color w:val="000000" w:themeColor="text1"/>
          <w:sz w:val="24"/>
        </w:rPr>
        <w:t>study drug</w:t>
      </w:r>
      <w:r w:rsidRPr="00B942CD">
        <w:rPr>
          <w:snapToGrid w:val="0"/>
          <w:color w:val="000000" w:themeColor="text1"/>
          <w:sz w:val="24"/>
        </w:rPr>
        <w:t>. AEs include serious adverse events (SAEs) and non-serious AEs.</w:t>
      </w:r>
    </w:p>
    <w:p w14:paraId="4BC24B5B" w14:textId="344D03FF" w:rsidR="004733E0" w:rsidRPr="00B942CD" w:rsidRDefault="002E79F1" w:rsidP="00AA119C">
      <w:pPr>
        <w:pStyle w:val="Heading3"/>
        <w:rPr>
          <w:rFonts w:cs="Times New Roman"/>
        </w:rPr>
      </w:pPr>
      <w:bookmarkStart w:id="201" w:name="_Toc98358651"/>
      <w:r w:rsidRPr="00B942CD">
        <w:rPr>
          <w:rFonts w:cs="Times New Roman"/>
        </w:rPr>
        <w:t>Definition</w:t>
      </w:r>
      <w:r w:rsidR="004733E0" w:rsidRPr="00B942CD">
        <w:rPr>
          <w:rFonts w:cs="Times New Roman"/>
        </w:rPr>
        <w:t xml:space="preserve"> of SAE</w:t>
      </w:r>
      <w:r w:rsidR="009707A9" w:rsidRPr="00B942CD">
        <w:rPr>
          <w:rFonts w:cs="Times New Roman"/>
        </w:rPr>
        <w:t>s</w:t>
      </w:r>
      <w:bookmarkEnd w:id="201"/>
    </w:p>
    <w:p w14:paraId="77D1BF6B" w14:textId="1DFF59EB" w:rsidR="004733E0" w:rsidRPr="00B942CD" w:rsidRDefault="004733E0" w:rsidP="00AA119C">
      <w:pPr>
        <w:pStyle w:val="Para"/>
        <w:suppressAutoHyphens w:val="0"/>
        <w:adjustRightInd w:val="0"/>
        <w:snapToGrid w:val="0"/>
        <w:spacing w:beforeLines="50" w:before="120" w:after="0" w:line="288" w:lineRule="auto"/>
        <w:jc w:val="both"/>
        <w:rPr>
          <w:snapToGrid w:val="0"/>
          <w:color w:val="000000" w:themeColor="text1"/>
          <w:sz w:val="24"/>
        </w:rPr>
      </w:pPr>
      <w:r w:rsidRPr="00B942CD">
        <w:rPr>
          <w:snapToGrid w:val="0"/>
          <w:color w:val="000000" w:themeColor="text1"/>
          <w:sz w:val="24"/>
        </w:rPr>
        <w:t>A SAE is a serious adverse event that occurs during the course of a clinical trial and may include:</w:t>
      </w:r>
    </w:p>
    <w:p w14:paraId="44A95226" w14:textId="77777777"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Events leading to death;</w:t>
      </w:r>
    </w:p>
    <w:p w14:paraId="2EC15366" w14:textId="11E2153D"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Life-threatening events (refers to an event in which the subject is at risk of death at the time of the event);</w:t>
      </w:r>
    </w:p>
    <w:p w14:paraId="49A9307E" w14:textId="77777777"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Events requiring hospitalization or prolongation of hospitalization;</w:t>
      </w:r>
    </w:p>
    <w:p w14:paraId="7AB633B4" w14:textId="518E5987" w:rsidR="004733E0" w:rsidRPr="00B942CD" w:rsidRDefault="00800548"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Events</w:t>
      </w:r>
      <w:r w:rsidR="004733E0" w:rsidRPr="00B942CD">
        <w:rPr>
          <w:rFonts w:ascii="Times New Roman" w:eastAsia="SimSun" w:hAnsi="Times New Roman"/>
          <w:snapToGrid w:val="0"/>
          <w:color w:val="000000" w:themeColor="text1"/>
          <w:kern w:val="0"/>
          <w:szCs w:val="22"/>
        </w:rPr>
        <w:t xml:space="preserve"> that result in permanent or significant disability/ incapacity/ impairment of work;</w:t>
      </w:r>
    </w:p>
    <w:p w14:paraId="3AEA69BE" w14:textId="5D0D8109" w:rsidR="004733E0" w:rsidRPr="00B942CD" w:rsidRDefault="00800548"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Events that result</w:t>
      </w:r>
      <w:r w:rsidR="004733E0" w:rsidRPr="00B942CD">
        <w:rPr>
          <w:rFonts w:ascii="Times New Roman" w:eastAsia="SimSun" w:hAnsi="Times New Roman"/>
          <w:snapToGrid w:val="0"/>
          <w:color w:val="000000" w:themeColor="text1"/>
          <w:kern w:val="0"/>
          <w:szCs w:val="22"/>
        </w:rPr>
        <w:t xml:space="preserve"> in congenital abnormality or birth defect;</w:t>
      </w:r>
    </w:p>
    <w:p w14:paraId="4DE7607C" w14:textId="7C50ED69"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Other important medical event (defined as an event/events </w:t>
      </w:r>
      <w:r w:rsidR="00800548" w:rsidRPr="00B942CD">
        <w:rPr>
          <w:rFonts w:ascii="Times New Roman" w:eastAsia="SimSun" w:hAnsi="Times New Roman"/>
          <w:snapToGrid w:val="0"/>
          <w:color w:val="000000" w:themeColor="text1"/>
          <w:kern w:val="0"/>
          <w:szCs w:val="22"/>
        </w:rPr>
        <w:t xml:space="preserve">that </w:t>
      </w:r>
      <w:r w:rsidRPr="00B942CD">
        <w:rPr>
          <w:rFonts w:ascii="Times New Roman" w:eastAsia="SimSun" w:hAnsi="Times New Roman"/>
          <w:snapToGrid w:val="0"/>
          <w:color w:val="000000" w:themeColor="text1"/>
          <w:kern w:val="0"/>
          <w:szCs w:val="22"/>
        </w:rPr>
        <w:t>may jeopardize the subject or may require intervention to prevent one of above listed outcomes).</w:t>
      </w:r>
    </w:p>
    <w:p w14:paraId="406D534F" w14:textId="6A1C0CCF" w:rsidR="004733E0" w:rsidRPr="00B942CD" w:rsidRDefault="004733E0" w:rsidP="00AA119C">
      <w:pPr>
        <w:pStyle w:val="20"/>
        <w:widowControl/>
        <w:numPr>
          <w:ilvl w:val="0"/>
          <w:numId w:val="0"/>
        </w:numPr>
        <w:adjustRightInd w:val="0"/>
        <w:snapToGrid w:val="0"/>
        <w:spacing w:beforeLines="50" w:before="120" w:line="288" w:lineRule="auto"/>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The following scenarios </w:t>
      </w:r>
      <w:r w:rsidRPr="00B942CD">
        <w:rPr>
          <w:rFonts w:ascii="Times New Roman" w:eastAsia="SimSun" w:hAnsi="Times New Roman"/>
          <w:b/>
          <w:bCs/>
          <w:snapToGrid w:val="0"/>
          <w:color w:val="000000" w:themeColor="text1"/>
          <w:kern w:val="0"/>
          <w:szCs w:val="22"/>
        </w:rPr>
        <w:t>will not</w:t>
      </w:r>
      <w:r w:rsidRPr="00B942CD">
        <w:rPr>
          <w:rFonts w:ascii="Times New Roman" w:eastAsia="SimSun" w:hAnsi="Times New Roman"/>
          <w:snapToGrid w:val="0"/>
          <w:color w:val="000000" w:themeColor="text1"/>
          <w:kern w:val="0"/>
          <w:szCs w:val="22"/>
        </w:rPr>
        <w:t xml:space="preserve"> be reported as SAEs:</w:t>
      </w:r>
    </w:p>
    <w:p w14:paraId="3D21C482" w14:textId="7A8BABAA"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Any results, including death, caused by </w:t>
      </w:r>
      <w:r w:rsidR="00800548" w:rsidRPr="00B942CD">
        <w:rPr>
          <w:rFonts w:ascii="Times New Roman" w:eastAsia="SimSun" w:hAnsi="Times New Roman"/>
          <w:snapToGrid w:val="0"/>
          <w:color w:val="000000" w:themeColor="text1"/>
          <w:kern w:val="0"/>
          <w:szCs w:val="22"/>
        </w:rPr>
        <w:t>tumor progression</w:t>
      </w:r>
      <w:r w:rsidRPr="00B942CD">
        <w:rPr>
          <w:rFonts w:ascii="Times New Roman" w:eastAsia="SimSun" w:hAnsi="Times New Roman"/>
          <w:snapToGrid w:val="0"/>
          <w:color w:val="000000" w:themeColor="text1"/>
          <w:kern w:val="0"/>
          <w:szCs w:val="22"/>
        </w:rPr>
        <w:t xml:space="preserve"> as </w:t>
      </w:r>
      <w:r w:rsidR="00800548" w:rsidRPr="00B942CD">
        <w:rPr>
          <w:rFonts w:ascii="Times New Roman" w:eastAsia="SimSun" w:hAnsi="Times New Roman"/>
          <w:snapToGrid w:val="0"/>
          <w:color w:val="000000" w:themeColor="text1"/>
          <w:kern w:val="0"/>
          <w:szCs w:val="22"/>
        </w:rPr>
        <w:t>expected</w:t>
      </w:r>
      <w:r w:rsidRPr="00B942CD">
        <w:rPr>
          <w:rFonts w:ascii="Times New Roman" w:eastAsia="SimSun" w:hAnsi="Times New Roman"/>
          <w:snapToGrid w:val="0"/>
          <w:color w:val="000000" w:themeColor="text1"/>
          <w:kern w:val="0"/>
          <w:szCs w:val="22"/>
        </w:rPr>
        <w:t xml:space="preserve"> by investigator.</w:t>
      </w:r>
    </w:p>
    <w:p w14:paraId="537C7BA7" w14:textId="5B45A339" w:rsidR="004733E0" w:rsidRPr="00B942CD" w:rsidRDefault="004733E0" w:rsidP="004C08C9">
      <w:pPr>
        <w:pStyle w:val="20"/>
        <w:widowControl/>
        <w:numPr>
          <w:ilvl w:val="0"/>
          <w:numId w:val="26"/>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Hospitalization or prolonged hospitalization due to economic issue or for purpose of reimbursement.</w:t>
      </w:r>
    </w:p>
    <w:p w14:paraId="69A099FF" w14:textId="19D141CF" w:rsidR="004733E0" w:rsidRPr="00B942CD" w:rsidRDefault="00590BAE" w:rsidP="00AA119C">
      <w:pPr>
        <w:pStyle w:val="Heading3"/>
        <w:rPr>
          <w:rFonts w:cs="Times New Roman"/>
        </w:rPr>
      </w:pPr>
      <w:bookmarkStart w:id="202" w:name="_Toc98358652"/>
      <w:r w:rsidRPr="00B942CD">
        <w:rPr>
          <w:rFonts w:cs="Times New Roman"/>
        </w:rPr>
        <w:t xml:space="preserve">AE </w:t>
      </w:r>
      <w:r w:rsidR="009707A9" w:rsidRPr="00B942CD">
        <w:rPr>
          <w:rFonts w:cs="Times New Roman"/>
        </w:rPr>
        <w:t>recording</w:t>
      </w:r>
      <w:bookmarkEnd w:id="202"/>
    </w:p>
    <w:p w14:paraId="5140ADCB" w14:textId="2C570F3F" w:rsidR="004733E0" w:rsidRPr="00B942CD" w:rsidRDefault="004733E0" w:rsidP="00AA119C">
      <w:pPr>
        <w:pStyle w:val="Para"/>
        <w:suppressAutoHyphens w:val="0"/>
        <w:adjustRightInd w:val="0"/>
        <w:snapToGrid w:val="0"/>
        <w:spacing w:beforeLines="50" w:before="120" w:after="0" w:line="288" w:lineRule="auto"/>
        <w:jc w:val="both"/>
        <w:rPr>
          <w:snapToGrid w:val="0"/>
          <w:color w:val="000000" w:themeColor="text1"/>
          <w:sz w:val="24"/>
        </w:rPr>
      </w:pPr>
      <w:r w:rsidRPr="00B942CD">
        <w:rPr>
          <w:snapToGrid w:val="0"/>
          <w:color w:val="000000" w:themeColor="text1"/>
          <w:sz w:val="24"/>
        </w:rPr>
        <w:t xml:space="preserve">The </w:t>
      </w:r>
      <w:r w:rsidR="00590BAE" w:rsidRPr="00B942CD">
        <w:rPr>
          <w:snapToGrid w:val="0"/>
          <w:color w:val="000000" w:themeColor="text1"/>
          <w:sz w:val="24"/>
        </w:rPr>
        <w:t xml:space="preserve">AEs collection and recording will be throughout the clinical trial, from the signing of the ICF to the end of the trial (30 days after the last dose of study drugs). AEs and SAEs that occur following the signing of the ICF but before the first dose should be recorded on CRF as pretreatment symptoms and signs, and not collected as AEs, but if they deteriorate during the trial, </w:t>
      </w:r>
      <w:r w:rsidR="00590BAE" w:rsidRPr="00B942CD">
        <w:rPr>
          <w:snapToGrid w:val="0"/>
          <w:color w:val="000000" w:themeColor="text1"/>
          <w:sz w:val="24"/>
        </w:rPr>
        <w:lastRenderedPageBreak/>
        <w:t>such events should be recorded as AEs. PD events are efficacy criteria and therefore not considered as AEs. If AEs/SAEs are related to PD, these AEs/SAEs must be reported as required.</w:t>
      </w:r>
    </w:p>
    <w:p w14:paraId="39581CA3" w14:textId="533BA581" w:rsidR="004733E0" w:rsidRPr="00B942CD" w:rsidRDefault="00590BAE" w:rsidP="00AA119C">
      <w:pPr>
        <w:pStyle w:val="Heading3"/>
        <w:rPr>
          <w:rFonts w:cs="Times New Roman"/>
        </w:rPr>
      </w:pPr>
      <w:bookmarkStart w:id="203" w:name="6.9.2_Assessment_of_Adverse_Events"/>
      <w:bookmarkStart w:id="204" w:name="_Toc98358653"/>
      <w:bookmarkEnd w:id="203"/>
      <w:r w:rsidRPr="00B942CD">
        <w:rPr>
          <w:rFonts w:cs="Times New Roman"/>
        </w:rPr>
        <w:t>AE assessment</w:t>
      </w:r>
      <w:bookmarkEnd w:id="204"/>
    </w:p>
    <w:p w14:paraId="044F7588"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investigator will evaluate each AE for the following categories:</w:t>
      </w:r>
    </w:p>
    <w:p w14:paraId="775C8D7D" w14:textId="77777777" w:rsidR="004733E0" w:rsidRPr="00B942CD" w:rsidRDefault="004733E0" w:rsidP="004C08C9">
      <w:pPr>
        <w:pStyle w:val="ListParagraph"/>
        <w:widowControl/>
        <w:numPr>
          <w:ilvl w:val="0"/>
          <w:numId w:val="27"/>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Severity</w:t>
      </w:r>
    </w:p>
    <w:p w14:paraId="34ACDF42" w14:textId="324919EF" w:rsidR="004733E0" w:rsidRPr="00B942CD" w:rsidRDefault="00590BAE" w:rsidP="004C08C9">
      <w:pPr>
        <w:pStyle w:val="ListParagraph"/>
        <w:widowControl/>
        <w:numPr>
          <w:ilvl w:val="0"/>
          <w:numId w:val="27"/>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Intensity</w:t>
      </w:r>
    </w:p>
    <w:p w14:paraId="66FDC1B6" w14:textId="3974B805" w:rsidR="004733E0" w:rsidRPr="00B942CD" w:rsidRDefault="004733E0" w:rsidP="004C08C9">
      <w:pPr>
        <w:pStyle w:val="ListParagraph"/>
        <w:widowControl/>
        <w:numPr>
          <w:ilvl w:val="0"/>
          <w:numId w:val="27"/>
        </w:numPr>
        <w:autoSpaceDE/>
        <w:autoSpaceDN/>
        <w:adjustRightInd w:val="0"/>
        <w:snapToGrid w:val="0"/>
        <w:spacing w:beforeLines="50" w:before="120" w:line="288" w:lineRule="auto"/>
        <w:ind w:leftChars="200" w:left="92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Causal relationship</w:t>
      </w:r>
    </w:p>
    <w:p w14:paraId="2FFD620C" w14:textId="54E4DCCC"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Severity and causality should be evaluated according to the International Conference on Harmonization, Technical Requirements for Clinical Safety Data Management (E2A Guidance). The intensity should be evaluated according to the Common Terminology Criteria for Adverse Events (CTCAE v.5).</w:t>
      </w:r>
    </w:p>
    <w:p w14:paraId="26A734A9" w14:textId="77777777" w:rsidR="004733E0" w:rsidRPr="00B942CD" w:rsidRDefault="004733E0" w:rsidP="00AA119C">
      <w:pPr>
        <w:pStyle w:val="Heading3"/>
        <w:rPr>
          <w:rFonts w:cs="Times New Roman"/>
        </w:rPr>
      </w:pPr>
      <w:bookmarkStart w:id="205" w:name="6.9.3_Reporting_Serious_Adverse_Events_("/>
      <w:bookmarkStart w:id="206" w:name="_Toc98358654"/>
      <w:bookmarkEnd w:id="205"/>
      <w:r w:rsidRPr="00B942CD">
        <w:rPr>
          <w:rFonts w:cs="Times New Roman"/>
        </w:rPr>
        <w:t>Reporting of SAEs</w:t>
      </w:r>
      <w:bookmarkEnd w:id="206"/>
    </w:p>
    <w:p w14:paraId="779C0A1D" w14:textId="3E6A7632"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Any SAE</w:t>
      </w:r>
      <w:r w:rsidR="008B32FB" w:rsidRPr="00B942CD">
        <w:rPr>
          <w:rFonts w:ascii="Times New Roman" w:eastAsia="SimSun" w:hAnsi="Times New Roman" w:cs="Times New Roman"/>
          <w:snapToGrid w:val="0"/>
          <w:sz w:val="24"/>
          <w:szCs w:val="24"/>
        </w:rPr>
        <w:t>s</w:t>
      </w:r>
      <w:r w:rsidRPr="00B942CD">
        <w:rPr>
          <w:rFonts w:ascii="Times New Roman" w:eastAsia="SimSun" w:hAnsi="Times New Roman" w:cs="Times New Roman"/>
          <w:snapToGrid w:val="0"/>
          <w:sz w:val="24"/>
          <w:szCs w:val="24"/>
        </w:rPr>
        <w:t xml:space="preserve"> occurring during the trial, regardless of causal relationship to </w:t>
      </w:r>
      <w:r w:rsidR="008B32FB" w:rsidRPr="00B942CD">
        <w:rPr>
          <w:rFonts w:ascii="Times New Roman" w:eastAsia="SimSun" w:hAnsi="Times New Roman" w:cs="Times New Roman"/>
          <w:snapToGrid w:val="0"/>
          <w:sz w:val="24"/>
          <w:szCs w:val="24"/>
        </w:rPr>
        <w:t>the treatment</w:t>
      </w:r>
      <w:r w:rsidRPr="00B942CD">
        <w:rPr>
          <w:rFonts w:ascii="Times New Roman" w:eastAsia="SimSun" w:hAnsi="Times New Roman" w:cs="Times New Roman"/>
          <w:snapToGrid w:val="0"/>
          <w:sz w:val="24"/>
          <w:szCs w:val="24"/>
        </w:rPr>
        <w:t>, should be reported by following the SAE reporting procedures required by competent regulatory authorities or Independent Ethics Committee.</w:t>
      </w:r>
    </w:p>
    <w:p w14:paraId="383CE8C1" w14:textId="77777777"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investigator should:</w:t>
      </w:r>
    </w:p>
    <w:p w14:paraId="13BA1573" w14:textId="77777777" w:rsidR="004733E0" w:rsidRPr="00B942CD" w:rsidRDefault="004733E0" w:rsidP="004C08C9">
      <w:pPr>
        <w:pStyle w:val="20"/>
        <w:widowControl/>
        <w:numPr>
          <w:ilvl w:val="0"/>
          <w:numId w:val="10"/>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4"/>
        </w:rPr>
      </w:pPr>
      <w:r w:rsidRPr="00B942CD">
        <w:rPr>
          <w:rFonts w:ascii="Times New Roman" w:eastAsia="SimSun" w:hAnsi="Times New Roman"/>
          <w:snapToGrid w:val="0"/>
          <w:color w:val="000000" w:themeColor="text1"/>
          <w:kern w:val="0"/>
          <w:szCs w:val="24"/>
        </w:rPr>
        <w:t>Immediately take appropriate medical measures, if necessary;</w:t>
      </w:r>
    </w:p>
    <w:p w14:paraId="64D58E61" w14:textId="15452EF6" w:rsidR="004733E0" w:rsidRPr="00B942CD" w:rsidRDefault="004733E0" w:rsidP="004C08C9">
      <w:pPr>
        <w:pStyle w:val="20"/>
        <w:widowControl/>
        <w:numPr>
          <w:ilvl w:val="0"/>
          <w:numId w:val="10"/>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4"/>
        </w:rPr>
      </w:pPr>
      <w:r w:rsidRPr="00B942CD">
        <w:rPr>
          <w:rFonts w:ascii="Times New Roman" w:eastAsia="SimSun" w:hAnsi="Times New Roman"/>
          <w:snapToGrid w:val="0"/>
          <w:color w:val="000000" w:themeColor="text1"/>
          <w:kern w:val="0"/>
          <w:szCs w:val="24"/>
        </w:rPr>
        <w:t>Record SAEs in the AE Form</w:t>
      </w:r>
      <w:r w:rsidR="00D154EC" w:rsidRPr="00B942CD">
        <w:rPr>
          <w:rFonts w:ascii="Times New Roman" w:eastAsia="SimSun" w:hAnsi="Times New Roman"/>
          <w:snapToGrid w:val="0"/>
          <w:color w:val="000000" w:themeColor="text1"/>
          <w:kern w:val="0"/>
          <w:szCs w:val="24"/>
        </w:rPr>
        <w:t xml:space="preserve"> of CRF</w:t>
      </w:r>
      <w:r w:rsidRPr="00B942CD">
        <w:rPr>
          <w:rFonts w:ascii="Times New Roman" w:eastAsia="SimSun" w:hAnsi="Times New Roman"/>
          <w:snapToGrid w:val="0"/>
          <w:color w:val="000000" w:themeColor="text1"/>
          <w:kern w:val="0"/>
          <w:szCs w:val="24"/>
        </w:rPr>
        <w:t>, SAE Form and source documents.</w:t>
      </w:r>
    </w:p>
    <w:p w14:paraId="6FC40284" w14:textId="73EECEEF" w:rsidR="004733E0" w:rsidRPr="00B942CD" w:rsidRDefault="004733E0" w:rsidP="004C08C9">
      <w:pPr>
        <w:pStyle w:val="20"/>
        <w:widowControl/>
        <w:numPr>
          <w:ilvl w:val="0"/>
          <w:numId w:val="10"/>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4"/>
        </w:rPr>
      </w:pPr>
      <w:r w:rsidRPr="00B942CD">
        <w:rPr>
          <w:rFonts w:ascii="Times New Roman" w:eastAsia="SimSun" w:hAnsi="Times New Roman"/>
          <w:snapToGrid w:val="0"/>
          <w:color w:val="000000" w:themeColor="text1"/>
          <w:kern w:val="0"/>
          <w:szCs w:val="24"/>
        </w:rPr>
        <w:t xml:space="preserve">The investigator should immediately (within 24 hours of becoming aware of the event) send the singed and dated SAE Form to the following parties: A. Independent Ethics Committee, B. Drug Safety Department of the Sponsors (fax or email as follows), C. Provincial and </w:t>
      </w:r>
      <w:r w:rsidR="00D154EC" w:rsidRPr="00B942CD">
        <w:rPr>
          <w:rFonts w:ascii="Times New Roman" w:eastAsia="SimSun" w:hAnsi="Times New Roman"/>
          <w:snapToGrid w:val="0"/>
          <w:color w:val="000000" w:themeColor="text1"/>
          <w:kern w:val="0"/>
          <w:szCs w:val="24"/>
        </w:rPr>
        <w:t xml:space="preserve">China </w:t>
      </w:r>
      <w:r w:rsidRPr="00B942CD">
        <w:rPr>
          <w:rFonts w:ascii="Times New Roman" w:eastAsia="SimSun" w:hAnsi="Times New Roman"/>
          <w:snapToGrid w:val="0"/>
          <w:color w:val="000000" w:themeColor="text1"/>
          <w:kern w:val="0"/>
          <w:szCs w:val="24"/>
        </w:rPr>
        <w:t xml:space="preserve">Food and Drug Administrations (report through network system or fax according to provincial bureau's provisions); and D. National Health and Family Planning Commission of </w:t>
      </w:r>
      <w:r w:rsidR="00D154EC" w:rsidRPr="00B942CD">
        <w:rPr>
          <w:rFonts w:ascii="Times New Roman" w:eastAsia="SimSun" w:hAnsi="Times New Roman"/>
          <w:snapToGrid w:val="0"/>
          <w:color w:val="000000" w:themeColor="text1"/>
          <w:kern w:val="0"/>
          <w:szCs w:val="24"/>
        </w:rPr>
        <w:t xml:space="preserve">the </w:t>
      </w:r>
      <w:r w:rsidRPr="00B942CD">
        <w:rPr>
          <w:rFonts w:ascii="Times New Roman" w:eastAsia="SimSun" w:hAnsi="Times New Roman"/>
          <w:snapToGrid w:val="0"/>
          <w:color w:val="000000" w:themeColor="text1"/>
          <w:kern w:val="0"/>
          <w:szCs w:val="24"/>
        </w:rPr>
        <w:t>PRC.</w:t>
      </w:r>
    </w:p>
    <w:p w14:paraId="4DA175A4" w14:textId="2B859E90" w:rsidR="004733E0" w:rsidRPr="00B942CD" w:rsidRDefault="004733E0" w:rsidP="00AA119C">
      <w:pPr>
        <w:pStyle w:val="20"/>
        <w:widowControl/>
        <w:numPr>
          <w:ilvl w:val="0"/>
          <w:numId w:val="0"/>
        </w:numPr>
        <w:adjustRightInd w:val="0"/>
        <w:snapToGrid w:val="0"/>
        <w:spacing w:beforeLines="50" w:before="120" w:line="288" w:lineRule="auto"/>
        <w:ind w:leftChars="200" w:left="440"/>
        <w:rPr>
          <w:rStyle w:val="Hyperlink"/>
          <w:rFonts w:ascii="Times New Roman" w:eastAsia="SimSun" w:hAnsi="Times New Roman"/>
          <w:snapToGrid w:val="0"/>
          <w:color w:val="000000" w:themeColor="text1"/>
          <w:kern w:val="0"/>
          <w:szCs w:val="22"/>
        </w:rPr>
      </w:pPr>
      <w:r w:rsidRPr="00B942CD">
        <w:rPr>
          <w:rFonts w:ascii="Times New Roman" w:eastAsia="SimSun" w:hAnsi="Times New Roman"/>
          <w:snapToGrid w:val="0"/>
          <w:kern w:val="0"/>
        </w:rPr>
        <w:t xml:space="preserve">Please send SAE reports to the public email box of Zai Lab's Drug Safety Department: </w:t>
      </w:r>
      <w:r w:rsidR="00D154EC" w:rsidRPr="00B942CD">
        <w:rPr>
          <w:rStyle w:val="Hyperlink"/>
          <w:rFonts w:ascii="Times New Roman" w:eastAsia="SimSun" w:hAnsi="Times New Roman"/>
          <w:snapToGrid w:val="0"/>
          <w:color w:val="000000" w:themeColor="text1"/>
          <w:kern w:val="0"/>
          <w:szCs w:val="22"/>
        </w:rPr>
        <w:t>saereporting@zailaboratory.com</w:t>
      </w:r>
    </w:p>
    <w:p w14:paraId="462AFFCD" w14:textId="423EDE77" w:rsidR="004733E0" w:rsidRPr="00B942CD" w:rsidRDefault="004733E0" w:rsidP="008637BE">
      <w:pPr>
        <w:pStyle w:val="20"/>
        <w:widowControl/>
        <w:numPr>
          <w:ilvl w:val="0"/>
          <w:numId w:val="0"/>
        </w:numPr>
        <w:adjustRightInd w:val="0"/>
        <w:snapToGrid w:val="0"/>
        <w:spacing w:beforeLines="50" w:before="120" w:line="288" w:lineRule="auto"/>
        <w:ind w:leftChars="200" w:left="44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Drug Safety</w:t>
      </w:r>
      <w:r w:rsidR="00D154EC" w:rsidRPr="00B942CD">
        <w:rPr>
          <w:rFonts w:ascii="Times New Roman" w:eastAsia="SimSun" w:hAnsi="Times New Roman"/>
          <w:snapToGrid w:val="0"/>
          <w:color w:val="000000" w:themeColor="text1"/>
          <w:kern w:val="0"/>
          <w:szCs w:val="22"/>
        </w:rPr>
        <w:t xml:space="preserve"> </w:t>
      </w:r>
      <w:r w:rsidR="00D154EC" w:rsidRPr="00B942CD">
        <w:rPr>
          <w:rFonts w:ascii="Times New Roman" w:eastAsia="SimSun" w:hAnsi="Times New Roman"/>
          <w:snapToGrid w:val="0"/>
          <w:kern w:val="0"/>
        </w:rPr>
        <w:t>Department</w:t>
      </w:r>
      <w:r w:rsidRPr="00B942CD">
        <w:rPr>
          <w:rFonts w:ascii="Times New Roman" w:eastAsia="SimSun" w:hAnsi="Times New Roman"/>
          <w:snapToGrid w:val="0"/>
          <w:color w:val="000000" w:themeColor="text1"/>
          <w:kern w:val="0"/>
          <w:szCs w:val="22"/>
        </w:rPr>
        <w:t xml:space="preserve">, Chia Tai </w:t>
      </w:r>
      <w:proofErr w:type="spellStart"/>
      <w:r w:rsidRPr="00B942CD">
        <w:rPr>
          <w:rFonts w:ascii="Times New Roman" w:eastAsia="SimSun" w:hAnsi="Times New Roman"/>
          <w:snapToGrid w:val="0"/>
          <w:color w:val="000000" w:themeColor="text1"/>
          <w:kern w:val="0"/>
          <w:szCs w:val="22"/>
        </w:rPr>
        <w:t>Tianqing</w:t>
      </w:r>
      <w:proofErr w:type="spellEnd"/>
      <w:r w:rsidRPr="00B942CD">
        <w:rPr>
          <w:rFonts w:ascii="Times New Roman" w:eastAsia="SimSun" w:hAnsi="Times New Roman"/>
          <w:snapToGrid w:val="0"/>
          <w:color w:val="000000" w:themeColor="text1"/>
          <w:kern w:val="0"/>
          <w:szCs w:val="22"/>
        </w:rPr>
        <w:t xml:space="preserve"> Pharmaceutical Group Co., Ltd.</w:t>
      </w:r>
    </w:p>
    <w:p w14:paraId="7AA43289" w14:textId="1AF83069" w:rsidR="004733E0" w:rsidRPr="00B942CD" w:rsidRDefault="004733E0" w:rsidP="00AA119C">
      <w:pPr>
        <w:pStyle w:val="20"/>
        <w:widowControl/>
        <w:numPr>
          <w:ilvl w:val="0"/>
          <w:numId w:val="0"/>
        </w:numPr>
        <w:adjustRightInd w:val="0"/>
        <w:snapToGrid w:val="0"/>
        <w:spacing w:beforeLines="50" w:before="120" w:line="288" w:lineRule="auto"/>
        <w:ind w:leftChars="200" w:left="440"/>
        <w:rPr>
          <w:rFonts w:ascii="Times New Roman" w:eastAsia="SimSun" w:hAnsi="Times New Roman"/>
          <w:bCs/>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Contact </w:t>
      </w:r>
      <w:r w:rsidRPr="00B942CD">
        <w:rPr>
          <w:rFonts w:ascii="Times New Roman" w:eastAsia="SimSun" w:hAnsi="Times New Roman"/>
          <w:snapToGrid w:val="0"/>
          <w:kern w:val="0"/>
        </w:rPr>
        <w:t>person</w:t>
      </w:r>
      <w:r w:rsidRPr="00B942CD">
        <w:rPr>
          <w:rFonts w:ascii="Times New Roman" w:eastAsia="SimSun" w:hAnsi="Times New Roman"/>
          <w:snapToGrid w:val="0"/>
          <w:color w:val="000000" w:themeColor="text1"/>
          <w:kern w:val="0"/>
          <w:szCs w:val="22"/>
        </w:rPr>
        <w:t xml:space="preserve"> 1: Zai Lab</w:t>
      </w:r>
      <w:r w:rsidR="00D154EC" w:rsidRPr="00B942CD">
        <w:rPr>
          <w:rFonts w:ascii="Times New Roman" w:eastAsia="SimSun" w:hAnsi="Times New Roman"/>
          <w:snapToGrid w:val="0"/>
          <w:color w:val="000000" w:themeColor="text1"/>
          <w:kern w:val="0"/>
          <w:szCs w:val="22"/>
        </w:rPr>
        <w:t>’s</w:t>
      </w:r>
      <w:r w:rsidRPr="00B942CD">
        <w:rPr>
          <w:rFonts w:ascii="Times New Roman" w:eastAsia="SimSun" w:hAnsi="Times New Roman"/>
          <w:snapToGrid w:val="0"/>
          <w:color w:val="000000" w:themeColor="text1"/>
          <w:kern w:val="0"/>
          <w:szCs w:val="22"/>
        </w:rPr>
        <w:t xml:space="preserve"> Drug Safety Officer: +86 13501637451</w:t>
      </w:r>
    </w:p>
    <w:p w14:paraId="0833B486" w14:textId="3E0BBF12" w:rsidR="004733E0" w:rsidRPr="00B942CD" w:rsidRDefault="004733E0" w:rsidP="00AA119C">
      <w:pPr>
        <w:pStyle w:val="20"/>
        <w:widowControl/>
        <w:numPr>
          <w:ilvl w:val="0"/>
          <w:numId w:val="0"/>
        </w:numPr>
        <w:adjustRightInd w:val="0"/>
        <w:snapToGrid w:val="0"/>
        <w:spacing w:beforeLines="50" w:before="120" w:line="288" w:lineRule="auto"/>
        <w:ind w:leftChars="200" w:left="44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Contact </w:t>
      </w:r>
      <w:r w:rsidRPr="00B942CD">
        <w:rPr>
          <w:rFonts w:ascii="Times New Roman" w:eastAsia="SimSun" w:hAnsi="Times New Roman"/>
          <w:snapToGrid w:val="0"/>
          <w:kern w:val="0"/>
        </w:rPr>
        <w:t>person</w:t>
      </w:r>
      <w:r w:rsidRPr="00B942CD">
        <w:rPr>
          <w:rFonts w:ascii="Times New Roman" w:eastAsia="SimSun" w:hAnsi="Times New Roman"/>
          <w:snapToGrid w:val="0"/>
          <w:color w:val="000000" w:themeColor="text1"/>
          <w:kern w:val="0"/>
          <w:szCs w:val="22"/>
        </w:rPr>
        <w:t xml:space="preserve"> 2: Zai Lab</w:t>
      </w:r>
      <w:r w:rsidR="00D154EC" w:rsidRPr="00B942CD">
        <w:rPr>
          <w:rFonts w:ascii="Times New Roman" w:eastAsia="SimSun" w:hAnsi="Times New Roman"/>
          <w:snapToGrid w:val="0"/>
          <w:color w:val="000000" w:themeColor="text1"/>
          <w:kern w:val="0"/>
          <w:szCs w:val="22"/>
        </w:rPr>
        <w:t>’s</w:t>
      </w:r>
      <w:r w:rsidRPr="00B942CD">
        <w:rPr>
          <w:rFonts w:ascii="Times New Roman" w:eastAsia="SimSun" w:hAnsi="Times New Roman"/>
          <w:snapToGrid w:val="0"/>
          <w:color w:val="000000" w:themeColor="text1"/>
          <w:kern w:val="0"/>
          <w:szCs w:val="22"/>
        </w:rPr>
        <w:t xml:space="preserve"> Drug Safety Officer: +86 13611624754</w:t>
      </w:r>
    </w:p>
    <w:p w14:paraId="42A12ACF" w14:textId="5F01CE72" w:rsidR="004733E0" w:rsidRPr="00B942CD" w:rsidRDefault="004733E0" w:rsidP="00AA119C">
      <w:pPr>
        <w:pStyle w:val="20"/>
        <w:widowControl/>
        <w:numPr>
          <w:ilvl w:val="0"/>
          <w:numId w:val="0"/>
        </w:numPr>
        <w:adjustRightInd w:val="0"/>
        <w:snapToGrid w:val="0"/>
        <w:spacing w:beforeLines="50" w:before="120" w:line="288" w:lineRule="auto"/>
        <w:ind w:leftChars="200" w:left="44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Contact </w:t>
      </w:r>
      <w:r w:rsidRPr="00B942CD">
        <w:rPr>
          <w:rFonts w:ascii="Times New Roman" w:eastAsia="SimSun" w:hAnsi="Times New Roman"/>
          <w:snapToGrid w:val="0"/>
          <w:kern w:val="0"/>
        </w:rPr>
        <w:t>person</w:t>
      </w:r>
      <w:r w:rsidRPr="00B942CD">
        <w:rPr>
          <w:rFonts w:ascii="Times New Roman" w:eastAsia="SimSun" w:hAnsi="Times New Roman"/>
          <w:snapToGrid w:val="0"/>
          <w:color w:val="000000" w:themeColor="text1"/>
          <w:kern w:val="0"/>
          <w:szCs w:val="22"/>
        </w:rPr>
        <w:t xml:space="preserve"> 3: Chia Tai </w:t>
      </w:r>
      <w:proofErr w:type="spellStart"/>
      <w:r w:rsidRPr="00B942CD">
        <w:rPr>
          <w:rFonts w:ascii="Times New Roman" w:eastAsia="SimSun" w:hAnsi="Times New Roman"/>
          <w:snapToGrid w:val="0"/>
          <w:color w:val="000000" w:themeColor="text1"/>
          <w:kern w:val="0"/>
          <w:szCs w:val="22"/>
        </w:rPr>
        <w:t>Tianqing</w:t>
      </w:r>
      <w:r w:rsidR="00D154EC" w:rsidRPr="00B942CD">
        <w:rPr>
          <w:rFonts w:ascii="Times New Roman" w:eastAsia="SimSun" w:hAnsi="Times New Roman"/>
          <w:snapToGrid w:val="0"/>
          <w:color w:val="000000" w:themeColor="text1"/>
          <w:kern w:val="0"/>
          <w:szCs w:val="22"/>
        </w:rPr>
        <w:t>’s</w:t>
      </w:r>
      <w:proofErr w:type="spellEnd"/>
      <w:r w:rsidRPr="00B942CD">
        <w:rPr>
          <w:rFonts w:ascii="Times New Roman" w:eastAsia="SimSun" w:hAnsi="Times New Roman"/>
          <w:snapToGrid w:val="0"/>
          <w:color w:val="000000" w:themeColor="text1"/>
          <w:kern w:val="0"/>
          <w:szCs w:val="22"/>
        </w:rPr>
        <w:t xml:space="preserve"> Drug Safety Officer:</w:t>
      </w:r>
    </w:p>
    <w:p w14:paraId="3BF40E88" w14:textId="00E9639C" w:rsidR="004733E0" w:rsidRPr="00B942CD" w:rsidRDefault="004733E0" w:rsidP="00AA119C">
      <w:pPr>
        <w:pStyle w:val="20"/>
        <w:widowControl/>
        <w:numPr>
          <w:ilvl w:val="0"/>
          <w:numId w:val="0"/>
        </w:numPr>
        <w:adjustRightInd w:val="0"/>
        <w:snapToGrid w:val="0"/>
        <w:spacing w:beforeLines="50" w:before="120" w:line="288" w:lineRule="auto"/>
        <w:ind w:leftChars="200" w:left="44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Fixed-line telephone: </w:t>
      </w:r>
      <w:r w:rsidR="00D154EC" w:rsidRPr="00B942CD">
        <w:rPr>
          <w:rFonts w:ascii="Times New Roman" w:eastAsia="SimSun" w:hAnsi="Times New Roman"/>
          <w:snapToGrid w:val="0"/>
          <w:color w:val="000000" w:themeColor="text1"/>
          <w:kern w:val="0"/>
          <w:szCs w:val="22"/>
        </w:rPr>
        <w:t>+86 10 6505 3288-</w:t>
      </w:r>
      <w:r w:rsidRPr="00B942CD">
        <w:rPr>
          <w:rFonts w:ascii="Times New Roman" w:eastAsia="SimSun" w:hAnsi="Times New Roman"/>
          <w:snapToGrid w:val="0"/>
          <w:color w:val="000000" w:themeColor="text1"/>
          <w:kern w:val="0"/>
          <w:szCs w:val="22"/>
        </w:rPr>
        <w:t>608</w:t>
      </w:r>
    </w:p>
    <w:p w14:paraId="1CDE4E40" w14:textId="1ADCC7CB" w:rsidR="004733E0" w:rsidRPr="00B942CD" w:rsidRDefault="004733E0" w:rsidP="00AA119C">
      <w:pPr>
        <w:pStyle w:val="20"/>
        <w:widowControl/>
        <w:numPr>
          <w:ilvl w:val="0"/>
          <w:numId w:val="0"/>
        </w:numPr>
        <w:adjustRightInd w:val="0"/>
        <w:snapToGrid w:val="0"/>
        <w:spacing w:beforeLines="50" w:before="120" w:line="288" w:lineRule="auto"/>
        <w:ind w:leftChars="200" w:left="44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t xml:space="preserve">Fax: </w:t>
      </w:r>
      <w:r w:rsidR="00D154EC" w:rsidRPr="00B942CD">
        <w:rPr>
          <w:rFonts w:ascii="Times New Roman" w:eastAsia="SimSun" w:hAnsi="Times New Roman"/>
          <w:snapToGrid w:val="0"/>
          <w:color w:val="000000" w:themeColor="text1"/>
          <w:kern w:val="0"/>
          <w:szCs w:val="22"/>
        </w:rPr>
        <w:t>+86 10 65059826; +86 21 61632570</w:t>
      </w:r>
    </w:p>
    <w:p w14:paraId="176CB4BC" w14:textId="70CC20BB" w:rsidR="004733E0" w:rsidRPr="00B942CD" w:rsidRDefault="004733E0" w:rsidP="004C08C9">
      <w:pPr>
        <w:pStyle w:val="20"/>
        <w:widowControl/>
        <w:numPr>
          <w:ilvl w:val="0"/>
          <w:numId w:val="10"/>
        </w:numPr>
        <w:adjustRightInd w:val="0"/>
        <w:snapToGrid w:val="0"/>
        <w:spacing w:beforeLines="50" w:before="120" w:line="288" w:lineRule="auto"/>
        <w:ind w:leftChars="200" w:left="920" w:hangingChars="200" w:hanging="480"/>
        <w:rPr>
          <w:rFonts w:ascii="Times New Roman" w:eastAsia="SimSun" w:hAnsi="Times New Roman"/>
          <w:snapToGrid w:val="0"/>
          <w:color w:val="000000" w:themeColor="text1"/>
          <w:kern w:val="0"/>
          <w:szCs w:val="22"/>
        </w:rPr>
      </w:pPr>
      <w:r w:rsidRPr="00B942CD">
        <w:rPr>
          <w:rFonts w:ascii="Times New Roman" w:eastAsia="SimSun" w:hAnsi="Times New Roman"/>
          <w:snapToGrid w:val="0"/>
          <w:color w:val="000000" w:themeColor="text1"/>
          <w:kern w:val="0"/>
          <w:szCs w:val="22"/>
        </w:rPr>
        <w:lastRenderedPageBreak/>
        <w:t>Follow</w:t>
      </w:r>
      <w:r w:rsidR="008C6B5A" w:rsidRPr="00B942CD">
        <w:rPr>
          <w:rFonts w:ascii="Times New Roman" w:eastAsia="SimSun" w:hAnsi="Times New Roman"/>
          <w:snapToGrid w:val="0"/>
          <w:color w:val="000000" w:themeColor="text1"/>
          <w:kern w:val="0"/>
          <w:szCs w:val="22"/>
        </w:rPr>
        <w:t>-</w:t>
      </w:r>
      <w:r w:rsidRPr="00B942CD">
        <w:rPr>
          <w:rFonts w:ascii="Times New Roman" w:eastAsia="SimSun" w:hAnsi="Times New Roman"/>
          <w:snapToGrid w:val="0"/>
          <w:color w:val="000000" w:themeColor="text1"/>
          <w:kern w:val="0"/>
          <w:szCs w:val="22"/>
        </w:rPr>
        <w:t xml:space="preserve">up </w:t>
      </w:r>
      <w:r w:rsidR="008C6B5A" w:rsidRPr="00B942CD">
        <w:rPr>
          <w:rFonts w:ascii="Times New Roman" w:eastAsia="SimSun" w:hAnsi="Times New Roman"/>
          <w:snapToGrid w:val="0"/>
          <w:color w:val="000000" w:themeColor="text1"/>
          <w:kern w:val="0"/>
          <w:szCs w:val="22"/>
        </w:rPr>
        <w:t xml:space="preserve">of </w:t>
      </w:r>
      <w:r w:rsidRPr="00B942CD">
        <w:rPr>
          <w:rFonts w:ascii="Times New Roman" w:eastAsia="SimSun" w:hAnsi="Times New Roman"/>
          <w:snapToGrid w:val="0"/>
          <w:color w:val="000000" w:themeColor="text1"/>
          <w:kern w:val="0"/>
          <w:szCs w:val="22"/>
        </w:rPr>
        <w:t>SAEs will be pursued until they are recovered/resolved to the baseline level or clinically stable.</w:t>
      </w:r>
    </w:p>
    <w:p w14:paraId="405E4EB6" w14:textId="34A6E438"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All AEs will be recorded from the </w:t>
      </w:r>
      <w:r w:rsidR="005528F5" w:rsidRPr="00B942CD">
        <w:rPr>
          <w:rFonts w:ascii="Times New Roman" w:eastAsia="SimSun" w:hAnsi="Times New Roman" w:cs="Times New Roman"/>
          <w:snapToGrid w:val="0"/>
          <w:color w:val="000000" w:themeColor="text1"/>
          <w:sz w:val="24"/>
        </w:rPr>
        <w:t>signing</w:t>
      </w:r>
      <w:r w:rsidRPr="00B942CD">
        <w:rPr>
          <w:rFonts w:ascii="Times New Roman" w:eastAsia="SimSun" w:hAnsi="Times New Roman" w:cs="Times New Roman"/>
          <w:snapToGrid w:val="0"/>
          <w:color w:val="000000" w:themeColor="text1"/>
          <w:sz w:val="24"/>
        </w:rPr>
        <w:t xml:space="preserve"> of the </w:t>
      </w:r>
      <w:r w:rsidR="005528F5" w:rsidRPr="00B942CD">
        <w:rPr>
          <w:rFonts w:ascii="Times New Roman" w:eastAsia="SimSun" w:hAnsi="Times New Roman" w:cs="Times New Roman"/>
          <w:snapToGrid w:val="0"/>
          <w:color w:val="000000" w:themeColor="text1"/>
          <w:sz w:val="24"/>
        </w:rPr>
        <w:t>ICF</w:t>
      </w:r>
      <w:r w:rsidRPr="00B942CD">
        <w:rPr>
          <w:rFonts w:ascii="Times New Roman" w:eastAsia="SimSun" w:hAnsi="Times New Roman" w:cs="Times New Roman"/>
          <w:snapToGrid w:val="0"/>
          <w:color w:val="000000" w:themeColor="text1"/>
          <w:sz w:val="24"/>
        </w:rPr>
        <w:t xml:space="preserve"> to 30 days after study treatment termination. The SAE that occurs after this 30-day period and attracts the attention of the investigator must be reported if, in the opinion of the investigator, it is causally associated with the study drug.</w:t>
      </w:r>
    </w:p>
    <w:p w14:paraId="7CFE81B7" w14:textId="018E0779" w:rsidR="004733E0" w:rsidRPr="00B942CD" w:rsidRDefault="004733E0" w:rsidP="00AA119C">
      <w:pPr>
        <w:pStyle w:val="Heading3"/>
        <w:rPr>
          <w:rFonts w:cs="Times New Roman"/>
        </w:rPr>
      </w:pPr>
      <w:bookmarkStart w:id="207" w:name="_Toc98358655"/>
      <w:r w:rsidRPr="00B942CD">
        <w:rPr>
          <w:rFonts w:cs="Times New Roman"/>
        </w:rPr>
        <w:t xml:space="preserve">Follow-up of </w:t>
      </w:r>
      <w:r w:rsidR="005528F5" w:rsidRPr="00B942CD">
        <w:rPr>
          <w:rFonts w:cs="Times New Roman"/>
        </w:rPr>
        <w:t>AEs</w:t>
      </w:r>
      <w:bookmarkEnd w:id="207"/>
    </w:p>
    <w:p w14:paraId="4AC3555F" w14:textId="36C5DE6B" w:rsidR="004733E0" w:rsidRPr="00B942CD" w:rsidRDefault="005528F5"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r w:rsidRPr="00B942CD">
        <w:rPr>
          <w:rFonts w:ascii="Times New Roman" w:eastAsia="SimSun" w:hAnsi="Times New Roman" w:cs="Times New Roman"/>
          <w:snapToGrid w:val="0"/>
          <w:sz w:val="24"/>
          <w:szCs w:val="24"/>
        </w:rPr>
        <w:t>The investigator shall continue to follow up any AEs that are not resolved at the last visit of the patient in this study until there are no clinical indications. Subsequent follow-up may be excluded from the CRF, but the sponsors shall have the right to request the investigator to provide further information when deemed necessary.</w:t>
      </w:r>
    </w:p>
    <w:p w14:paraId="42AEFC25" w14:textId="1CF5CBB3" w:rsidR="004733E0" w:rsidRPr="00B942CD" w:rsidRDefault="0029365E" w:rsidP="00AA119C">
      <w:pPr>
        <w:pStyle w:val="Heading3"/>
        <w:rPr>
          <w:rFonts w:cs="Times New Roman"/>
        </w:rPr>
      </w:pPr>
      <w:bookmarkStart w:id="208" w:name="_Toc98358656"/>
      <w:r w:rsidRPr="00B942CD">
        <w:rPr>
          <w:rFonts w:cs="Times New Roman"/>
        </w:rPr>
        <w:t xml:space="preserve">Suspected </w:t>
      </w:r>
      <w:r w:rsidR="00B942CD" w:rsidRPr="00B942CD">
        <w:rPr>
          <w:rFonts w:cs="Times New Roman"/>
        </w:rPr>
        <w:t xml:space="preserve">unexpected serious adverse reactions </w:t>
      </w:r>
      <w:r w:rsidRPr="00B942CD">
        <w:rPr>
          <w:rFonts w:cs="Times New Roman"/>
        </w:rPr>
        <w:t>(SUSARs)</w:t>
      </w:r>
      <w:bookmarkEnd w:id="208"/>
    </w:p>
    <w:p w14:paraId="4E0C0117"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For any serious AE in the study and unexpected (defined as any term not listed in the current Investigator’s Brochure) AEs related to the study treatment, the additional reporting requirements are as follows. These types of reports are known as (SUSARs).</w:t>
      </w:r>
    </w:p>
    <w:p w14:paraId="3D92AD8A" w14:textId="715FBA7B" w:rsidR="004733E0" w:rsidRPr="00B942CD" w:rsidRDefault="004733E0" w:rsidP="004C08C9">
      <w:pPr>
        <w:pStyle w:val="ListParagraph"/>
        <w:widowControl/>
        <w:numPr>
          <w:ilvl w:val="0"/>
          <w:numId w:val="16"/>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If </w:t>
      </w:r>
      <w:r w:rsidR="0029365E" w:rsidRPr="00B942CD">
        <w:rPr>
          <w:rFonts w:ascii="Times New Roman" w:eastAsia="SimSun" w:hAnsi="Times New Roman" w:cs="Times New Roman"/>
          <w:snapToGrid w:val="0"/>
          <w:color w:val="000000" w:themeColor="text1"/>
          <w:sz w:val="24"/>
        </w:rPr>
        <w:t>the SUSAR is a fatal or life-threatening, study treatment-related, unexpected AE, the management authority and Independent Ethics Committees (IECs) will be notified within 7 days of the investigator learning of the event. Information (cause of death, necropsy report, and hospital report) obtained from unscheduled follow-up</w:t>
      </w:r>
      <w:r w:rsidR="00B942CD" w:rsidRPr="00B942CD">
        <w:rPr>
          <w:rFonts w:ascii="Times New Roman" w:eastAsia="SimSun" w:hAnsi="Times New Roman" w:cs="Times New Roman"/>
          <w:snapToGrid w:val="0"/>
          <w:color w:val="000000" w:themeColor="text1"/>
          <w:sz w:val="24"/>
        </w:rPr>
        <w:t xml:space="preserve"> </w:t>
      </w:r>
      <w:r w:rsidR="0029365E" w:rsidRPr="00B942CD">
        <w:rPr>
          <w:rFonts w:ascii="Times New Roman" w:eastAsia="SimSun" w:hAnsi="Times New Roman" w:cs="Times New Roman"/>
          <w:snapToGrid w:val="0"/>
          <w:color w:val="000000" w:themeColor="text1"/>
          <w:sz w:val="24"/>
        </w:rPr>
        <w:t>should be reported within the next 8 days (15 days in total).</w:t>
      </w:r>
    </w:p>
    <w:p w14:paraId="3F186D56" w14:textId="77777777" w:rsidR="004733E0" w:rsidRPr="00B942CD" w:rsidRDefault="004733E0" w:rsidP="004C08C9">
      <w:pPr>
        <w:pStyle w:val="ListParagraph"/>
        <w:widowControl/>
        <w:numPr>
          <w:ilvl w:val="0"/>
          <w:numId w:val="16"/>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If the SUSAR is not fatal or life-threatening, but is serious in other aspects, and is an unexpected AE related to study treatment, the regulatory authorities and IECs will be notified within 15 days after the investigator learning of the event.</w:t>
      </w:r>
    </w:p>
    <w:p w14:paraId="27274CCB" w14:textId="5390F615"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This </w:t>
      </w:r>
      <w:r w:rsidR="0029365E" w:rsidRPr="00B942CD">
        <w:rPr>
          <w:rFonts w:ascii="Times New Roman" w:eastAsia="SimSun" w:hAnsi="Times New Roman" w:cs="Times New Roman"/>
          <w:snapToGrid w:val="0"/>
          <w:color w:val="000000" w:themeColor="text1"/>
          <w:sz w:val="24"/>
        </w:rPr>
        <w:t>organization</w:t>
      </w:r>
      <w:r w:rsidRPr="00B942CD">
        <w:rPr>
          <w:rFonts w:ascii="Times New Roman" w:eastAsia="SimSun" w:hAnsi="Times New Roman" w:cs="Times New Roman"/>
          <w:snapToGrid w:val="0"/>
          <w:color w:val="000000" w:themeColor="text1"/>
          <w:sz w:val="24"/>
        </w:rPr>
        <w:t xml:space="preserve"> will also provide annual safety data updates to regulatory authorities and IECs. These updates will include information on SUSARs and other related safety information.</w:t>
      </w:r>
    </w:p>
    <w:p w14:paraId="29B9C557" w14:textId="77777777" w:rsidR="004733E0" w:rsidRPr="00B942CD" w:rsidRDefault="004733E0" w:rsidP="00AA119C">
      <w:pPr>
        <w:pStyle w:val="Heading3"/>
        <w:rPr>
          <w:rFonts w:cs="Times New Roman"/>
        </w:rPr>
      </w:pPr>
      <w:bookmarkStart w:id="209" w:name="_Toc98358657"/>
      <w:r w:rsidRPr="00B942CD">
        <w:rPr>
          <w:rFonts w:cs="Times New Roman"/>
        </w:rPr>
        <w:t>Pregnancy</w:t>
      </w:r>
      <w:bookmarkEnd w:id="209"/>
    </w:p>
    <w:p w14:paraId="56D459EB" w14:textId="36476ABC" w:rsidR="004733E0" w:rsidRPr="00B942CD" w:rsidRDefault="004733E0"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sz w:val="24"/>
          <w:szCs w:val="24"/>
        </w:rPr>
      </w:pPr>
      <w:bookmarkStart w:id="210" w:name="6.9.4_Follow-up_of_Adverse_Events"/>
      <w:bookmarkEnd w:id="210"/>
      <w:r w:rsidRPr="00B942CD">
        <w:rPr>
          <w:rFonts w:ascii="Times New Roman" w:eastAsia="SimSun" w:hAnsi="Times New Roman" w:cs="Times New Roman"/>
          <w:snapToGrid w:val="0"/>
          <w:sz w:val="24"/>
          <w:szCs w:val="24"/>
        </w:rPr>
        <w:t xml:space="preserve">Patients </w:t>
      </w:r>
      <w:r w:rsidR="0029365E" w:rsidRPr="00B942CD">
        <w:rPr>
          <w:rFonts w:ascii="Times New Roman" w:eastAsia="SimSun" w:hAnsi="Times New Roman" w:cs="Times New Roman"/>
          <w:snapToGrid w:val="0"/>
          <w:sz w:val="24"/>
          <w:szCs w:val="24"/>
        </w:rPr>
        <w:t>enrolled in this study are required for contraception. If a subject is found to be pregnant following administration, the study drug will be discontinued and the subject will be withdrawn from the trial. The investigator will immediately report any pregnancy event to the sponsors by phone or fax within 24 hours after learning of it, follow up the event until the end of pregnancy, and inform the sponsors of the pregnancy outcome. If the outcome of the pregnancy meets SAE criteria (e.g., spontaneous abortion or therapeutic abortion [with any detected congenital anomaly in fetus documented], stillbirth, neonatal death, or birth defect), it will be reported as SAE. The investigator should send the completed “SAE Reporting Form” to the sponsors (or designee) via phone or fax within 24 hours of becoming aware of the event.</w:t>
      </w:r>
    </w:p>
    <w:p w14:paraId="2B8A78DE" w14:textId="7A37BAA8" w:rsidR="004733E0" w:rsidRPr="00B942CD" w:rsidRDefault="004733E0" w:rsidP="00AA119C">
      <w:pPr>
        <w:pStyle w:val="Heading2"/>
        <w:rPr>
          <w:rFonts w:cs="Times New Roman"/>
        </w:rPr>
      </w:pPr>
      <w:bookmarkStart w:id="211" w:name="6.9.5_Suspected_Unexpected_Serious_Adver"/>
      <w:bookmarkStart w:id="212" w:name="6.9.6_Pregnancy"/>
      <w:bookmarkStart w:id="213" w:name="6.9.7_Sponsor_SAE_and_Pregnancy_Reportin"/>
      <w:bookmarkStart w:id="214" w:name="6.10_Investigational_Product"/>
      <w:bookmarkStart w:id="215" w:name="_Toc98358658"/>
      <w:bookmarkEnd w:id="211"/>
      <w:bookmarkEnd w:id="212"/>
      <w:bookmarkEnd w:id="213"/>
      <w:bookmarkEnd w:id="214"/>
      <w:r w:rsidRPr="00B942CD">
        <w:rPr>
          <w:rFonts w:cs="Times New Roman"/>
        </w:rPr>
        <w:t>I</w:t>
      </w:r>
      <w:r w:rsidR="0029365E" w:rsidRPr="00B942CD">
        <w:rPr>
          <w:rFonts w:cs="Times New Roman"/>
        </w:rPr>
        <w:t>MPs</w:t>
      </w:r>
      <w:bookmarkEnd w:id="215"/>
    </w:p>
    <w:p w14:paraId="7A4BB715"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The investigator should be responsible for and take all measures for proper records, and ensure that the supply, treatment, storage, distribution and use of the study drug comply with the study protocol and any applicable laws and regulations.</w:t>
      </w:r>
    </w:p>
    <w:p w14:paraId="45BBAA0C" w14:textId="77777777" w:rsidR="004733E0" w:rsidRPr="00B942CD" w:rsidRDefault="004733E0" w:rsidP="00AA119C">
      <w:pPr>
        <w:pStyle w:val="Heading3"/>
        <w:rPr>
          <w:rFonts w:cs="Times New Roman"/>
        </w:rPr>
      </w:pPr>
      <w:bookmarkStart w:id="216" w:name="_Toc98358659"/>
      <w:r w:rsidRPr="00B942CD">
        <w:rPr>
          <w:rFonts w:cs="Times New Roman"/>
        </w:rPr>
        <w:t>Dispensing</w:t>
      </w:r>
      <w:bookmarkEnd w:id="216"/>
    </w:p>
    <w:p w14:paraId="4B776D4B" w14:textId="00500D14"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The investigator agree that the study drug will be dispensed by personnel designated in the investigator's agreement or his/her qualified designated personnel, and the study drug is only available to subjects who have provided written </w:t>
      </w:r>
      <w:r w:rsidR="0029365E" w:rsidRPr="00B942CD">
        <w:rPr>
          <w:rFonts w:ascii="Times New Roman" w:eastAsia="SimSun" w:hAnsi="Times New Roman" w:cs="Times New Roman"/>
          <w:snapToGrid w:val="0"/>
          <w:color w:val="000000" w:themeColor="text1"/>
          <w:sz w:val="24"/>
        </w:rPr>
        <w:t>ICFs</w:t>
      </w:r>
      <w:r w:rsidRPr="00B942CD">
        <w:rPr>
          <w:rFonts w:ascii="Times New Roman" w:eastAsia="SimSun" w:hAnsi="Times New Roman" w:cs="Times New Roman"/>
          <w:snapToGrid w:val="0"/>
          <w:color w:val="000000" w:themeColor="text1"/>
          <w:sz w:val="24"/>
        </w:rPr>
        <w:t xml:space="preserve"> and meet all inclusion criteria and the instructions set forth in the </w:t>
      </w:r>
      <w:r w:rsidRPr="00B942CD">
        <w:rPr>
          <w:rFonts w:ascii="Times New Roman" w:eastAsia="SimSun" w:hAnsi="Times New Roman" w:cs="Times New Roman"/>
          <w:i/>
          <w:iCs/>
          <w:snapToGrid w:val="0"/>
          <w:color w:val="000000" w:themeColor="text1"/>
          <w:sz w:val="24"/>
        </w:rPr>
        <w:t>Pharmacy Manual</w:t>
      </w:r>
      <w:r w:rsidRPr="00B942CD">
        <w:rPr>
          <w:rFonts w:ascii="Times New Roman" w:eastAsia="SimSun" w:hAnsi="Times New Roman" w:cs="Times New Roman"/>
          <w:snapToGrid w:val="0"/>
          <w:color w:val="000000" w:themeColor="text1"/>
          <w:sz w:val="24"/>
        </w:rPr>
        <w:t>.</w:t>
      </w:r>
    </w:p>
    <w:p w14:paraId="3FA8B568" w14:textId="1A1258DD" w:rsidR="004733E0" w:rsidRPr="00B942CD" w:rsidRDefault="004733E0" w:rsidP="00AA119C">
      <w:pPr>
        <w:pStyle w:val="Heading3"/>
        <w:rPr>
          <w:rFonts w:cs="Times New Roman"/>
        </w:rPr>
      </w:pPr>
      <w:bookmarkStart w:id="217" w:name="_Toc98358660"/>
      <w:r w:rsidRPr="00B942CD">
        <w:rPr>
          <w:rFonts w:cs="Times New Roman"/>
        </w:rPr>
        <w:t>Drug liability</w:t>
      </w:r>
      <w:bookmarkEnd w:id="217"/>
    </w:p>
    <w:p w14:paraId="4644247B" w14:textId="0A8BB199"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The investigator or </w:t>
      </w:r>
      <w:r w:rsidR="0029365E" w:rsidRPr="00B942CD">
        <w:rPr>
          <w:rFonts w:ascii="Times New Roman" w:eastAsia="SimSun" w:hAnsi="Times New Roman" w:cs="Times New Roman"/>
          <w:snapToGrid w:val="0"/>
          <w:color w:val="000000" w:themeColor="text1"/>
          <w:sz w:val="24"/>
        </w:rPr>
        <w:t xml:space="preserve">his/her </w:t>
      </w:r>
      <w:r w:rsidRPr="00B942CD">
        <w:rPr>
          <w:rFonts w:ascii="Times New Roman" w:eastAsia="SimSun" w:hAnsi="Times New Roman" w:cs="Times New Roman"/>
          <w:snapToGrid w:val="0"/>
          <w:color w:val="000000" w:themeColor="text1"/>
          <w:sz w:val="24"/>
        </w:rPr>
        <w:t xml:space="preserve">designated personnel is responsible for completely recording the accurate distribution of study drug throughout the clinical study. Accountability records for study treatment include registration number, quantity and date of distribution, and quantity and date </w:t>
      </w:r>
      <w:r w:rsidR="0029365E" w:rsidRPr="00B942CD">
        <w:rPr>
          <w:rFonts w:ascii="Times New Roman" w:eastAsia="SimSun" w:hAnsi="Times New Roman" w:cs="Times New Roman"/>
          <w:snapToGrid w:val="0"/>
          <w:color w:val="000000" w:themeColor="text1"/>
          <w:sz w:val="24"/>
        </w:rPr>
        <w:t xml:space="preserve">of </w:t>
      </w:r>
      <w:r w:rsidRPr="00B942CD">
        <w:rPr>
          <w:rFonts w:ascii="Times New Roman" w:eastAsia="SimSun" w:hAnsi="Times New Roman" w:cs="Times New Roman"/>
          <w:snapToGrid w:val="0"/>
          <w:color w:val="000000" w:themeColor="text1"/>
          <w:sz w:val="24"/>
        </w:rPr>
        <w:t xml:space="preserve">return to the pharmacy (if applicable). Drugs returned to the pharmacy will be kept under the same conditions as </w:t>
      </w:r>
      <w:r w:rsidR="0029365E" w:rsidRPr="00B942CD">
        <w:rPr>
          <w:rFonts w:ascii="Times New Roman" w:eastAsia="SimSun" w:hAnsi="Times New Roman" w:cs="Times New Roman"/>
          <w:snapToGrid w:val="0"/>
          <w:color w:val="000000" w:themeColor="text1"/>
          <w:sz w:val="24"/>
        </w:rPr>
        <w:t>those not</w:t>
      </w:r>
      <w:r w:rsidR="0029365E" w:rsidRPr="00B942CD" w:rsidDel="0029365E">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snapToGrid w:val="0"/>
          <w:color w:val="000000" w:themeColor="text1"/>
          <w:sz w:val="24"/>
        </w:rPr>
        <w:t>dispensed, but will be marked as "returned" and stored separately from undispensed drugs.</w:t>
      </w:r>
    </w:p>
    <w:p w14:paraId="3F386A62" w14:textId="0E7C0EFA"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All records of dispensing and responsibility should be kept according to the instructions of the sponsor-investigator.</w:t>
      </w:r>
    </w:p>
    <w:p w14:paraId="72561A6C" w14:textId="77777777" w:rsidR="004733E0" w:rsidRPr="00B942CD" w:rsidRDefault="004733E0" w:rsidP="00AA119C">
      <w:pPr>
        <w:pStyle w:val="Heading2"/>
        <w:rPr>
          <w:rFonts w:cs="Times New Roman"/>
        </w:rPr>
      </w:pPr>
      <w:bookmarkStart w:id="218" w:name="_Toc98358661"/>
      <w:r w:rsidRPr="00B942CD">
        <w:rPr>
          <w:rFonts w:cs="Times New Roman"/>
        </w:rPr>
        <w:t>Paper publication</w:t>
      </w:r>
      <w:bookmarkEnd w:id="218"/>
    </w:p>
    <w:p w14:paraId="6C40A5DB" w14:textId="77777777" w:rsidR="004733E0" w:rsidRPr="00B942CD" w:rsidRDefault="004733E0" w:rsidP="00AA119C">
      <w:pPr>
        <w:pStyle w:val="ListParagraph"/>
        <w:widowControl/>
        <w:autoSpaceDE/>
        <w:autoSpaceDN/>
        <w:adjustRightInd w:val="0"/>
        <w:snapToGrid w:val="0"/>
        <w:spacing w:beforeLines="50" w:before="120" w:line="288" w:lineRule="auto"/>
        <w:ind w:left="0" w:firstLine="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The investigator will decide to submit the resulting paper for publication, or any work directly related to the study.</w:t>
      </w:r>
    </w:p>
    <w:p w14:paraId="0727AFE2" w14:textId="77777777" w:rsidR="004733E0" w:rsidRPr="00B942CD" w:rsidRDefault="004733E0" w:rsidP="00AA119C">
      <w:pPr>
        <w:pStyle w:val="BodyText"/>
        <w:widowControl/>
        <w:autoSpaceDE/>
        <w:autoSpaceDN/>
        <w:adjustRightInd w:val="0"/>
        <w:snapToGrid w:val="0"/>
        <w:spacing w:beforeLines="50" w:before="120" w:line="288" w:lineRule="auto"/>
        <w:ind w:left="0"/>
        <w:jc w:val="both"/>
        <w:rPr>
          <w:rFonts w:ascii="Times New Roman" w:eastAsia="SimSun" w:hAnsi="Times New Roman" w:cs="Times New Roman"/>
          <w:snapToGrid w:val="0"/>
          <w:color w:val="000000" w:themeColor="text1"/>
          <w:sz w:val="24"/>
          <w:lang w:eastAsia="zh-CN"/>
        </w:rPr>
      </w:pPr>
    </w:p>
    <w:p w14:paraId="1893252E" w14:textId="77777777" w:rsidR="004733E0" w:rsidRPr="00B942CD" w:rsidRDefault="004733E0" w:rsidP="00AA119C">
      <w:pPr>
        <w:pStyle w:val="Heading1"/>
        <w:rPr>
          <w:rFonts w:cs="Times New Roman"/>
        </w:rPr>
        <w:sectPr w:rsidR="004733E0" w:rsidRPr="00B942CD" w:rsidSect="005A1F7B">
          <w:headerReference w:type="default" r:id="rId10"/>
          <w:footerReference w:type="default" r:id="rId11"/>
          <w:pgSz w:w="12240" w:h="15840"/>
          <w:pgMar w:top="1440" w:right="1440" w:bottom="1440" w:left="1440" w:header="720" w:footer="720" w:gutter="0"/>
          <w:cols w:space="720"/>
          <w:docGrid w:linePitch="299"/>
        </w:sectPr>
      </w:pPr>
      <w:bookmarkStart w:id="219" w:name="6.11_Publications"/>
      <w:bookmarkStart w:id="220" w:name="7_SCHEDULE_OF_EVENTS"/>
      <w:bookmarkStart w:id="221" w:name="_bookmark43"/>
      <w:bookmarkEnd w:id="219"/>
      <w:bookmarkEnd w:id="220"/>
      <w:bookmarkEnd w:id="221"/>
    </w:p>
    <w:p w14:paraId="60061267" w14:textId="2C290357" w:rsidR="004733E0" w:rsidRPr="00B942CD" w:rsidRDefault="004733E0" w:rsidP="00AA119C">
      <w:pPr>
        <w:pStyle w:val="Heading1"/>
        <w:rPr>
          <w:rFonts w:cs="Times New Roman"/>
        </w:rPr>
      </w:pPr>
      <w:bookmarkStart w:id="222" w:name="_Toc98358662"/>
      <w:r w:rsidRPr="00B942CD">
        <w:rPr>
          <w:rFonts w:cs="Times New Roman"/>
        </w:rPr>
        <w:lastRenderedPageBreak/>
        <w:t>Schedule of Activities</w:t>
      </w:r>
      <w:bookmarkEnd w:id="222"/>
    </w:p>
    <w:p w14:paraId="63FCD833" w14:textId="57EB1271" w:rsidR="004733E0" w:rsidRPr="00B942CD" w:rsidRDefault="004733E0" w:rsidP="00AA119C">
      <w:pPr>
        <w:pStyle w:val="BodyText"/>
        <w:widowControl/>
        <w:autoSpaceDE/>
        <w:autoSpaceDN/>
        <w:adjustRightInd w:val="0"/>
        <w:snapToGrid w:val="0"/>
        <w:spacing w:beforeLines="50" w:before="120" w:line="288" w:lineRule="auto"/>
        <w:ind w:left="0"/>
        <w:jc w:val="center"/>
        <w:rPr>
          <w:rFonts w:ascii="Times New Roman" w:eastAsia="SimSun" w:hAnsi="Times New Roman" w:cs="Times New Roman"/>
          <w:b/>
          <w:snapToGrid w:val="0"/>
          <w:color w:val="000000" w:themeColor="text1"/>
          <w:sz w:val="24"/>
        </w:rPr>
      </w:pPr>
      <w:r w:rsidRPr="00B942CD">
        <w:rPr>
          <w:rFonts w:ascii="Times New Roman" w:eastAsia="SimSun" w:hAnsi="Times New Roman" w:cs="Times New Roman"/>
          <w:b/>
          <w:snapToGrid w:val="0"/>
          <w:color w:val="000000" w:themeColor="text1"/>
          <w:sz w:val="24"/>
        </w:rPr>
        <w:t>Table 11. Schedule of Activities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535"/>
        <w:gridCol w:w="1134"/>
        <w:gridCol w:w="474"/>
        <w:gridCol w:w="474"/>
        <w:gridCol w:w="474"/>
        <w:gridCol w:w="1134"/>
        <w:gridCol w:w="1380"/>
        <w:gridCol w:w="1186"/>
        <w:gridCol w:w="1693"/>
        <w:gridCol w:w="1460"/>
      </w:tblGrid>
      <w:tr w:rsidR="007A17FC" w:rsidRPr="00B942CD" w14:paraId="47AAEE17" w14:textId="77777777" w:rsidTr="006653BD">
        <w:tc>
          <w:tcPr>
            <w:tcW w:w="1365" w:type="pct"/>
            <w:tcBorders>
              <w:bottom w:val="nil"/>
            </w:tcBorders>
            <w:vAlign w:val="center"/>
          </w:tcPr>
          <w:p w14:paraId="2B9262CB" w14:textId="702F5104"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Study period</w:t>
            </w:r>
          </w:p>
        </w:tc>
        <w:tc>
          <w:tcPr>
            <w:tcW w:w="438" w:type="pct"/>
            <w:vAlign w:val="center"/>
          </w:tcPr>
          <w:p w14:paraId="29E4CFA1"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Screening visit</w:t>
            </w:r>
          </w:p>
        </w:tc>
        <w:tc>
          <w:tcPr>
            <w:tcW w:w="549" w:type="pct"/>
            <w:gridSpan w:val="3"/>
            <w:vAlign w:val="center"/>
          </w:tcPr>
          <w:p w14:paraId="49FE0AB6"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Cycle 1</w:t>
            </w:r>
          </w:p>
        </w:tc>
        <w:tc>
          <w:tcPr>
            <w:tcW w:w="438" w:type="pct"/>
            <w:vAlign w:val="center"/>
          </w:tcPr>
          <w:p w14:paraId="31EDBCF0"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Cycle 2</w:t>
            </w:r>
          </w:p>
        </w:tc>
        <w:tc>
          <w:tcPr>
            <w:tcW w:w="533" w:type="pct"/>
            <w:vAlign w:val="center"/>
          </w:tcPr>
          <w:p w14:paraId="08760E58" w14:textId="77777777" w:rsidR="00AB567D" w:rsidRPr="00B942CD" w:rsidDel="00CB13AC"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Cycle 3</w:t>
            </w:r>
          </w:p>
        </w:tc>
        <w:tc>
          <w:tcPr>
            <w:tcW w:w="458" w:type="pct"/>
            <w:vAlign w:val="center"/>
          </w:tcPr>
          <w:p w14:paraId="34110090" w14:textId="6243E9BB"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Subsequent cycles</w:t>
            </w:r>
          </w:p>
        </w:tc>
        <w:tc>
          <w:tcPr>
            <w:tcW w:w="654" w:type="pct"/>
            <w:vAlign w:val="center"/>
          </w:tcPr>
          <w:p w14:paraId="0B4F6FCE" w14:textId="626A9EB2"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EOT</w:t>
            </w:r>
          </w:p>
        </w:tc>
        <w:tc>
          <w:tcPr>
            <w:tcW w:w="564" w:type="pct"/>
            <w:vAlign w:val="center"/>
          </w:tcPr>
          <w:p w14:paraId="0180DD00" w14:textId="38621881"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Assessment after treatment</w:t>
            </w:r>
          </w:p>
        </w:tc>
      </w:tr>
      <w:tr w:rsidR="00AA119C" w:rsidRPr="00B942CD" w14:paraId="4D2AF6CE" w14:textId="77777777" w:rsidTr="006653BD">
        <w:tc>
          <w:tcPr>
            <w:tcW w:w="1365" w:type="pct"/>
            <w:tcBorders>
              <w:top w:val="nil"/>
            </w:tcBorders>
            <w:vAlign w:val="center"/>
          </w:tcPr>
          <w:p w14:paraId="037CBED4" w14:textId="22552046" w:rsidR="00AB567D" w:rsidRPr="00B942CD" w:rsidRDefault="006653BD" w:rsidP="00472309">
            <w:pPr>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Day</w:t>
            </w:r>
          </w:p>
        </w:tc>
        <w:tc>
          <w:tcPr>
            <w:tcW w:w="438" w:type="pct"/>
            <w:vAlign w:val="center"/>
          </w:tcPr>
          <w:p w14:paraId="63B17B1E" w14:textId="2652E9A0"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(≤28 days)</w:t>
            </w:r>
          </w:p>
        </w:tc>
        <w:tc>
          <w:tcPr>
            <w:tcW w:w="183" w:type="pct"/>
            <w:vAlign w:val="center"/>
          </w:tcPr>
          <w:p w14:paraId="2ACD1F44"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w:t>
            </w:r>
          </w:p>
        </w:tc>
        <w:tc>
          <w:tcPr>
            <w:tcW w:w="183" w:type="pct"/>
            <w:vAlign w:val="center"/>
          </w:tcPr>
          <w:p w14:paraId="1A3546BA"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8</w:t>
            </w:r>
          </w:p>
        </w:tc>
        <w:tc>
          <w:tcPr>
            <w:tcW w:w="183" w:type="pct"/>
            <w:vAlign w:val="center"/>
          </w:tcPr>
          <w:p w14:paraId="08E70AF1"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15</w:t>
            </w:r>
          </w:p>
        </w:tc>
        <w:tc>
          <w:tcPr>
            <w:tcW w:w="438" w:type="pct"/>
            <w:vAlign w:val="center"/>
          </w:tcPr>
          <w:p w14:paraId="229B69F6"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w:t>
            </w:r>
          </w:p>
        </w:tc>
        <w:tc>
          <w:tcPr>
            <w:tcW w:w="533" w:type="pct"/>
            <w:vAlign w:val="center"/>
          </w:tcPr>
          <w:p w14:paraId="3F3CD4DD" w14:textId="77777777" w:rsidR="00AB567D" w:rsidRPr="00B942CD" w:rsidDel="00CB13AC"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w:t>
            </w:r>
          </w:p>
        </w:tc>
        <w:tc>
          <w:tcPr>
            <w:tcW w:w="458" w:type="pct"/>
            <w:vAlign w:val="center"/>
          </w:tcPr>
          <w:p w14:paraId="1BBEFB9A"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w:t>
            </w:r>
          </w:p>
        </w:tc>
        <w:tc>
          <w:tcPr>
            <w:tcW w:w="654" w:type="pct"/>
            <w:vAlign w:val="center"/>
          </w:tcPr>
          <w:p w14:paraId="08C70A35" w14:textId="55D97405"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Within 7 days after the last dose</w:t>
            </w:r>
          </w:p>
        </w:tc>
        <w:tc>
          <w:tcPr>
            <w:tcW w:w="564" w:type="pct"/>
            <w:vAlign w:val="center"/>
          </w:tcPr>
          <w:p w14:paraId="56DF3CC3" w14:textId="77777777" w:rsidR="00AB567D" w:rsidRPr="00B942CD" w:rsidRDefault="00AB567D" w:rsidP="00472309">
            <w:pPr>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30 days post-treatment</w:t>
            </w:r>
          </w:p>
        </w:tc>
      </w:tr>
      <w:tr w:rsidR="00AA119C" w:rsidRPr="00B942CD" w14:paraId="1EF5D4A9" w14:textId="77777777" w:rsidTr="006653BD">
        <w:tc>
          <w:tcPr>
            <w:tcW w:w="1365" w:type="pct"/>
            <w:vAlign w:val="center"/>
          </w:tcPr>
          <w:p w14:paraId="044B213E" w14:textId="1244B5F1"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Sign the ICF</w:t>
            </w:r>
          </w:p>
        </w:tc>
        <w:tc>
          <w:tcPr>
            <w:tcW w:w="438" w:type="pct"/>
            <w:vAlign w:val="center"/>
          </w:tcPr>
          <w:p w14:paraId="51470A4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2D62664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32FB019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62780BF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326FD8F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07E3A4E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433AAAC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3CB590B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1C7DBE2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306CEDF2" w14:textId="77777777" w:rsidTr="006653BD">
        <w:tc>
          <w:tcPr>
            <w:tcW w:w="1365" w:type="pct"/>
            <w:vAlign w:val="center"/>
          </w:tcPr>
          <w:p w14:paraId="57EC2B17"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Inclusion/exclusion criteria</w:t>
            </w:r>
          </w:p>
        </w:tc>
        <w:tc>
          <w:tcPr>
            <w:tcW w:w="438" w:type="pct"/>
            <w:vAlign w:val="center"/>
          </w:tcPr>
          <w:p w14:paraId="1A3DE71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53D695F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6A43612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35F2A86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39342B3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216B0A7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227C57A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173ABFB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43DA7FF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0A82EB90" w14:textId="77777777" w:rsidTr="006653BD">
        <w:tc>
          <w:tcPr>
            <w:tcW w:w="1365" w:type="pct"/>
            <w:vAlign w:val="center"/>
          </w:tcPr>
          <w:p w14:paraId="5DF11901"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Demographics</w:t>
            </w:r>
          </w:p>
        </w:tc>
        <w:tc>
          <w:tcPr>
            <w:tcW w:w="438" w:type="pct"/>
            <w:vAlign w:val="center"/>
          </w:tcPr>
          <w:p w14:paraId="05592F2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4971D0D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2E64B4D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687BABC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6B799FD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33F533C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60D00FC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28F9AE1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0D97902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7EB32C4D" w14:textId="77777777" w:rsidTr="006653BD">
        <w:tc>
          <w:tcPr>
            <w:tcW w:w="1365" w:type="pct"/>
            <w:vAlign w:val="center"/>
          </w:tcPr>
          <w:p w14:paraId="5B93A54A"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Weight and height</w:t>
            </w:r>
          </w:p>
        </w:tc>
        <w:tc>
          <w:tcPr>
            <w:tcW w:w="438" w:type="pct"/>
            <w:vAlign w:val="center"/>
          </w:tcPr>
          <w:p w14:paraId="4A38E7A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041B5DA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28E5097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75A9EC3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12D87BE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16156F0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4F516F4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0225F94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05D95C3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r>
      <w:tr w:rsidR="00AA119C" w:rsidRPr="00B942CD" w14:paraId="2F2C05B1" w14:textId="77777777" w:rsidTr="006653BD">
        <w:tc>
          <w:tcPr>
            <w:tcW w:w="1365" w:type="pct"/>
            <w:vAlign w:val="center"/>
          </w:tcPr>
          <w:p w14:paraId="3AB78F02"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Vital signs</w:t>
            </w:r>
          </w:p>
        </w:tc>
        <w:tc>
          <w:tcPr>
            <w:tcW w:w="438" w:type="pct"/>
            <w:vAlign w:val="center"/>
          </w:tcPr>
          <w:p w14:paraId="2EF612D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313CECF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095C729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3AA3D12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438" w:type="pct"/>
            <w:vAlign w:val="center"/>
          </w:tcPr>
          <w:p w14:paraId="399CCDD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4F9296A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45AAC98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44013A3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7E2366C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r>
      <w:tr w:rsidR="00AA119C" w:rsidRPr="00B942CD" w14:paraId="0790A3EB" w14:textId="77777777" w:rsidTr="006653BD">
        <w:tc>
          <w:tcPr>
            <w:tcW w:w="1365" w:type="pct"/>
            <w:vAlign w:val="center"/>
          </w:tcPr>
          <w:p w14:paraId="46E31FC2" w14:textId="71049505"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ECOG </w:t>
            </w:r>
            <w:proofErr w:type="spellStart"/>
            <w:r w:rsidRPr="00B942CD">
              <w:rPr>
                <w:rFonts w:ascii="Times New Roman" w:eastAsia="SimSun" w:hAnsi="Times New Roman" w:cs="Times New Roman"/>
                <w:snapToGrid w:val="0"/>
                <w:color w:val="000000" w:themeColor="text1"/>
                <w:sz w:val="21"/>
                <w:szCs w:val="21"/>
              </w:rPr>
              <w:t>score</w:t>
            </w:r>
            <w:r w:rsidRPr="00B942CD">
              <w:rPr>
                <w:rFonts w:ascii="Times New Roman" w:eastAsia="SimSun" w:hAnsi="Times New Roman" w:cs="Times New Roman"/>
                <w:snapToGrid w:val="0"/>
                <w:color w:val="000000" w:themeColor="text1"/>
                <w:sz w:val="21"/>
                <w:szCs w:val="21"/>
                <w:vertAlign w:val="superscript"/>
              </w:rPr>
              <w:t>a</w:t>
            </w:r>
            <w:proofErr w:type="spellEnd"/>
          </w:p>
        </w:tc>
        <w:tc>
          <w:tcPr>
            <w:tcW w:w="438" w:type="pct"/>
            <w:vAlign w:val="center"/>
          </w:tcPr>
          <w:p w14:paraId="124621C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2789BF8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6A84A24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7D51BB7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4392410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5CD5F11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168E5AF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6E439EB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332E055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r>
      <w:tr w:rsidR="00AA119C" w:rsidRPr="00B942CD" w14:paraId="02D82FFA" w14:textId="77777777" w:rsidTr="006653BD">
        <w:tc>
          <w:tcPr>
            <w:tcW w:w="1365" w:type="pct"/>
            <w:vAlign w:val="center"/>
          </w:tcPr>
          <w:p w14:paraId="52ED2DC2" w14:textId="57D5E30A"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Medical history and medication history</w:t>
            </w:r>
          </w:p>
        </w:tc>
        <w:tc>
          <w:tcPr>
            <w:tcW w:w="438" w:type="pct"/>
            <w:vAlign w:val="center"/>
          </w:tcPr>
          <w:p w14:paraId="70015EF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7FA419D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55813D1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5A11039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59C414E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526268E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245EA22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5D80B71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2DFDF62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0243098E" w14:textId="77777777" w:rsidTr="006653BD">
        <w:tc>
          <w:tcPr>
            <w:tcW w:w="1365" w:type="pct"/>
            <w:vAlign w:val="center"/>
          </w:tcPr>
          <w:p w14:paraId="3AB53115"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Physical examination</w:t>
            </w:r>
          </w:p>
        </w:tc>
        <w:tc>
          <w:tcPr>
            <w:tcW w:w="438" w:type="pct"/>
            <w:vAlign w:val="center"/>
          </w:tcPr>
          <w:p w14:paraId="5428D35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3D41745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131A355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6F7CC90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213918D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267BB1E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72658A3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3C73636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31B8312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r>
      <w:tr w:rsidR="00AA119C" w:rsidRPr="00B942CD" w14:paraId="280F6C90" w14:textId="77777777" w:rsidTr="006653BD">
        <w:tc>
          <w:tcPr>
            <w:tcW w:w="1365" w:type="pct"/>
            <w:vAlign w:val="center"/>
          </w:tcPr>
          <w:p w14:paraId="60D23246"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Concomitant medication</w:t>
            </w:r>
          </w:p>
        </w:tc>
        <w:tc>
          <w:tcPr>
            <w:tcW w:w="438" w:type="pct"/>
            <w:vAlign w:val="center"/>
          </w:tcPr>
          <w:p w14:paraId="7ADF8F4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6D88A48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2E1DCEE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48973C6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6CF3FB2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66F6DD8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279EA16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0BA38A5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1BFF313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r>
      <w:tr w:rsidR="00AA119C" w:rsidRPr="00B942CD" w14:paraId="3FAF604D" w14:textId="77777777" w:rsidTr="006653BD">
        <w:tc>
          <w:tcPr>
            <w:tcW w:w="1365" w:type="pct"/>
            <w:vAlign w:val="center"/>
          </w:tcPr>
          <w:p w14:paraId="72C48D87"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Pregnancy </w:t>
            </w:r>
            <w:proofErr w:type="spellStart"/>
            <w:r w:rsidRPr="00B942CD">
              <w:rPr>
                <w:rFonts w:ascii="Times New Roman" w:eastAsia="SimSun" w:hAnsi="Times New Roman" w:cs="Times New Roman"/>
                <w:snapToGrid w:val="0"/>
                <w:color w:val="000000" w:themeColor="text1"/>
                <w:sz w:val="21"/>
                <w:szCs w:val="21"/>
              </w:rPr>
              <w:t>test</w:t>
            </w:r>
            <w:r w:rsidRPr="00B942CD">
              <w:rPr>
                <w:rFonts w:ascii="Times New Roman" w:eastAsia="SimSun" w:hAnsi="Times New Roman" w:cs="Times New Roman"/>
                <w:snapToGrid w:val="0"/>
                <w:color w:val="000000" w:themeColor="text1"/>
                <w:sz w:val="21"/>
                <w:szCs w:val="21"/>
                <w:vertAlign w:val="superscript"/>
              </w:rPr>
              <w:t>b</w:t>
            </w:r>
            <w:proofErr w:type="spellEnd"/>
          </w:p>
        </w:tc>
        <w:tc>
          <w:tcPr>
            <w:tcW w:w="438" w:type="pct"/>
            <w:vAlign w:val="center"/>
          </w:tcPr>
          <w:p w14:paraId="79765D3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4CE3EE4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5F3858F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0FBA6A7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7D92B2B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7FDFEB4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58" w:type="pct"/>
            <w:vAlign w:val="center"/>
          </w:tcPr>
          <w:p w14:paraId="4C50FA5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654" w:type="pct"/>
            <w:vAlign w:val="center"/>
          </w:tcPr>
          <w:p w14:paraId="59A10B2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64" w:type="pct"/>
            <w:vAlign w:val="center"/>
          </w:tcPr>
          <w:p w14:paraId="1236142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53EB3FBD" w14:textId="77777777" w:rsidTr="006653BD">
        <w:tc>
          <w:tcPr>
            <w:tcW w:w="1365" w:type="pct"/>
            <w:vAlign w:val="center"/>
          </w:tcPr>
          <w:p w14:paraId="460E3ECB"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Laboratory </w:t>
            </w:r>
            <w:proofErr w:type="spellStart"/>
            <w:r w:rsidRPr="00B942CD">
              <w:rPr>
                <w:rFonts w:ascii="Times New Roman" w:eastAsia="SimSun" w:hAnsi="Times New Roman" w:cs="Times New Roman"/>
                <w:snapToGrid w:val="0"/>
                <w:color w:val="000000" w:themeColor="text1"/>
                <w:sz w:val="21"/>
                <w:szCs w:val="21"/>
              </w:rPr>
              <w:t>test</w:t>
            </w:r>
            <w:r w:rsidRPr="00B942CD">
              <w:rPr>
                <w:rFonts w:ascii="Times New Roman" w:eastAsia="SimSun" w:hAnsi="Times New Roman" w:cs="Times New Roman"/>
                <w:snapToGrid w:val="0"/>
                <w:color w:val="000000" w:themeColor="text1"/>
                <w:sz w:val="21"/>
                <w:szCs w:val="21"/>
                <w:vertAlign w:val="superscript"/>
              </w:rPr>
              <w:t>d</w:t>
            </w:r>
            <w:proofErr w:type="spellEnd"/>
            <w:r w:rsidRPr="00B942CD">
              <w:rPr>
                <w:rFonts w:ascii="Times New Roman" w:eastAsia="SimSun" w:hAnsi="Times New Roman" w:cs="Times New Roman"/>
                <w:snapToGrid w:val="0"/>
                <w:color w:val="000000" w:themeColor="text1"/>
                <w:sz w:val="21"/>
                <w:szCs w:val="21"/>
              </w:rPr>
              <w:t xml:space="preserve"> </w:t>
            </w:r>
          </w:p>
        </w:tc>
        <w:tc>
          <w:tcPr>
            <w:tcW w:w="438" w:type="pct"/>
            <w:vAlign w:val="center"/>
          </w:tcPr>
          <w:p w14:paraId="2B8BBCE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1D103B">
              <w:rPr>
                <w:rFonts w:ascii="Times New Roman" w:eastAsia="SimSun" w:hAnsi="Times New Roman" w:cs="Times New Roman"/>
                <w:snapToGrid w:val="0"/>
                <w:color w:val="000000" w:themeColor="text1"/>
                <w:sz w:val="21"/>
                <w:szCs w:val="21"/>
                <w:vertAlign w:val="superscript"/>
              </w:rPr>
              <w:t>c</w:t>
            </w:r>
            <w:proofErr w:type="spellEnd"/>
          </w:p>
        </w:tc>
        <w:tc>
          <w:tcPr>
            <w:tcW w:w="183" w:type="pct"/>
            <w:vAlign w:val="center"/>
          </w:tcPr>
          <w:p w14:paraId="2ADAA48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vertAlign w:val="superscript"/>
              </w:rPr>
            </w:pPr>
            <w:proofErr w:type="spellStart"/>
            <w:r w:rsidRPr="00B942CD">
              <w:rPr>
                <w:rFonts w:ascii="Times New Roman" w:eastAsia="SimSun" w:hAnsi="Times New Roman" w:cs="Times New Roman"/>
                <w:snapToGrid w:val="0"/>
                <w:color w:val="000000" w:themeColor="text1"/>
                <w:sz w:val="21"/>
                <w:szCs w:val="21"/>
              </w:rPr>
              <w:t>X</w:t>
            </w:r>
            <w:r w:rsidRPr="00B942CD">
              <w:rPr>
                <w:rFonts w:ascii="Times New Roman" w:eastAsia="SimSun" w:hAnsi="Times New Roman" w:cs="Times New Roman"/>
                <w:snapToGrid w:val="0"/>
                <w:color w:val="000000" w:themeColor="text1"/>
                <w:sz w:val="21"/>
                <w:szCs w:val="21"/>
                <w:vertAlign w:val="superscript"/>
              </w:rPr>
              <w:t>f</w:t>
            </w:r>
            <w:proofErr w:type="spellEnd"/>
          </w:p>
        </w:tc>
        <w:tc>
          <w:tcPr>
            <w:tcW w:w="183" w:type="pct"/>
            <w:vAlign w:val="center"/>
          </w:tcPr>
          <w:p w14:paraId="20E6111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3529FDC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438" w:type="pct"/>
            <w:vAlign w:val="center"/>
          </w:tcPr>
          <w:p w14:paraId="26F9F9D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5EF25D3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12EEABA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693AC5C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0EC26D6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3B492A5E" w14:textId="77777777" w:rsidTr="006653BD">
        <w:tc>
          <w:tcPr>
            <w:tcW w:w="1365" w:type="pct"/>
            <w:vAlign w:val="center"/>
          </w:tcPr>
          <w:p w14:paraId="02F90829" w14:textId="4373EB25"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 Coagulation function test</w:t>
            </w:r>
          </w:p>
        </w:tc>
        <w:tc>
          <w:tcPr>
            <w:tcW w:w="438" w:type="pct"/>
            <w:vAlign w:val="center"/>
          </w:tcPr>
          <w:p w14:paraId="26BABFD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1D103B">
              <w:rPr>
                <w:rFonts w:ascii="Times New Roman" w:eastAsia="SimSun" w:hAnsi="Times New Roman" w:cs="Times New Roman"/>
                <w:snapToGrid w:val="0"/>
                <w:color w:val="000000" w:themeColor="text1"/>
                <w:sz w:val="21"/>
                <w:szCs w:val="21"/>
                <w:vertAlign w:val="superscript"/>
              </w:rPr>
              <w:t>c</w:t>
            </w:r>
            <w:proofErr w:type="spellEnd"/>
          </w:p>
        </w:tc>
        <w:tc>
          <w:tcPr>
            <w:tcW w:w="183" w:type="pct"/>
            <w:vAlign w:val="center"/>
          </w:tcPr>
          <w:p w14:paraId="655EAF1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vertAlign w:val="superscript"/>
              </w:rPr>
            </w:pPr>
            <w:proofErr w:type="spellStart"/>
            <w:r w:rsidRPr="00B942CD">
              <w:rPr>
                <w:rFonts w:ascii="Times New Roman" w:eastAsia="SimSun" w:hAnsi="Times New Roman" w:cs="Times New Roman"/>
                <w:snapToGrid w:val="0"/>
                <w:color w:val="000000" w:themeColor="text1"/>
                <w:sz w:val="21"/>
                <w:szCs w:val="21"/>
              </w:rPr>
              <w:t>X</w:t>
            </w:r>
            <w:r w:rsidRPr="00B942CD">
              <w:rPr>
                <w:rFonts w:ascii="Times New Roman" w:eastAsia="SimSun" w:hAnsi="Times New Roman" w:cs="Times New Roman"/>
                <w:snapToGrid w:val="0"/>
                <w:color w:val="000000" w:themeColor="text1"/>
                <w:sz w:val="21"/>
                <w:szCs w:val="21"/>
                <w:vertAlign w:val="superscript"/>
              </w:rPr>
              <w:t>f</w:t>
            </w:r>
            <w:proofErr w:type="spellEnd"/>
          </w:p>
        </w:tc>
        <w:tc>
          <w:tcPr>
            <w:tcW w:w="183" w:type="pct"/>
            <w:vAlign w:val="center"/>
          </w:tcPr>
          <w:p w14:paraId="7C6FEC3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6CC67C5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159CAE1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36D02AE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6B0BE69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429A31E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30795F4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04CA238B" w14:textId="77777777" w:rsidTr="006653BD">
        <w:tc>
          <w:tcPr>
            <w:tcW w:w="1365" w:type="pct"/>
            <w:vAlign w:val="center"/>
          </w:tcPr>
          <w:p w14:paraId="00EB307E"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 Thyroid function test</w:t>
            </w:r>
          </w:p>
        </w:tc>
        <w:tc>
          <w:tcPr>
            <w:tcW w:w="438" w:type="pct"/>
            <w:vAlign w:val="center"/>
          </w:tcPr>
          <w:p w14:paraId="59B00B2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1D103B">
              <w:rPr>
                <w:rFonts w:ascii="Times New Roman" w:eastAsia="SimSun" w:hAnsi="Times New Roman" w:cs="Times New Roman"/>
                <w:snapToGrid w:val="0"/>
                <w:color w:val="000000" w:themeColor="text1"/>
                <w:sz w:val="21"/>
                <w:szCs w:val="21"/>
                <w:vertAlign w:val="superscript"/>
              </w:rPr>
              <w:t>c</w:t>
            </w:r>
            <w:proofErr w:type="spellEnd"/>
          </w:p>
        </w:tc>
        <w:tc>
          <w:tcPr>
            <w:tcW w:w="183" w:type="pct"/>
            <w:vAlign w:val="center"/>
          </w:tcPr>
          <w:p w14:paraId="51A94FB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B942CD">
              <w:rPr>
                <w:rFonts w:ascii="Times New Roman" w:eastAsia="SimSun" w:hAnsi="Times New Roman" w:cs="Times New Roman"/>
                <w:snapToGrid w:val="0"/>
                <w:color w:val="000000" w:themeColor="text1"/>
                <w:sz w:val="21"/>
                <w:szCs w:val="21"/>
                <w:vertAlign w:val="superscript"/>
              </w:rPr>
              <w:t>f</w:t>
            </w:r>
            <w:proofErr w:type="spellEnd"/>
          </w:p>
        </w:tc>
        <w:tc>
          <w:tcPr>
            <w:tcW w:w="183" w:type="pct"/>
            <w:vAlign w:val="center"/>
          </w:tcPr>
          <w:p w14:paraId="6763A4F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74BBE21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66DD175E"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991" w:type="pct"/>
            <w:gridSpan w:val="2"/>
            <w:vAlign w:val="center"/>
          </w:tcPr>
          <w:p w14:paraId="4AD665F6" w14:textId="5110D59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once every 2 cycles</w:t>
            </w:r>
          </w:p>
        </w:tc>
        <w:tc>
          <w:tcPr>
            <w:tcW w:w="654" w:type="pct"/>
            <w:vAlign w:val="center"/>
          </w:tcPr>
          <w:p w14:paraId="1E126F0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443A1F2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7B67C4A9" w14:textId="77777777" w:rsidTr="006653BD">
        <w:tc>
          <w:tcPr>
            <w:tcW w:w="1365" w:type="pct"/>
            <w:vAlign w:val="center"/>
          </w:tcPr>
          <w:p w14:paraId="59C22F16"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 Urinalysis</w:t>
            </w:r>
          </w:p>
        </w:tc>
        <w:tc>
          <w:tcPr>
            <w:tcW w:w="438" w:type="pct"/>
            <w:vAlign w:val="center"/>
          </w:tcPr>
          <w:p w14:paraId="0995438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1D103B">
              <w:rPr>
                <w:rFonts w:ascii="Times New Roman" w:eastAsia="SimSun" w:hAnsi="Times New Roman" w:cs="Times New Roman"/>
                <w:snapToGrid w:val="0"/>
                <w:color w:val="000000" w:themeColor="text1"/>
                <w:sz w:val="21"/>
                <w:szCs w:val="21"/>
                <w:vertAlign w:val="superscript"/>
              </w:rPr>
              <w:t>c</w:t>
            </w:r>
            <w:proofErr w:type="spellEnd"/>
          </w:p>
        </w:tc>
        <w:tc>
          <w:tcPr>
            <w:tcW w:w="183" w:type="pct"/>
            <w:vAlign w:val="center"/>
          </w:tcPr>
          <w:p w14:paraId="3E4D228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B942CD">
              <w:rPr>
                <w:rFonts w:ascii="Times New Roman" w:eastAsia="SimSun" w:hAnsi="Times New Roman" w:cs="Times New Roman"/>
                <w:snapToGrid w:val="0"/>
                <w:color w:val="000000" w:themeColor="text1"/>
                <w:sz w:val="21"/>
                <w:szCs w:val="21"/>
                <w:vertAlign w:val="superscript"/>
              </w:rPr>
              <w:t>f</w:t>
            </w:r>
            <w:proofErr w:type="spellEnd"/>
          </w:p>
        </w:tc>
        <w:tc>
          <w:tcPr>
            <w:tcW w:w="183" w:type="pct"/>
            <w:vAlign w:val="center"/>
          </w:tcPr>
          <w:p w14:paraId="3033937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45AD8CC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2DFDB55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79235DD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5CD2FB2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24F929E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05C8977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AA119C" w:rsidRPr="00B942CD" w14:paraId="6565EFAB" w14:textId="77777777" w:rsidTr="006653BD">
        <w:tc>
          <w:tcPr>
            <w:tcW w:w="1365" w:type="pct"/>
            <w:vAlign w:val="center"/>
          </w:tcPr>
          <w:p w14:paraId="56F08114"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12-lead ECG</w:t>
            </w:r>
          </w:p>
        </w:tc>
        <w:tc>
          <w:tcPr>
            <w:tcW w:w="438" w:type="pct"/>
            <w:vAlign w:val="center"/>
          </w:tcPr>
          <w:p w14:paraId="6394B58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5B03FC8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42FB27F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3838608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65DB1CC9"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33" w:type="pct"/>
            <w:vAlign w:val="center"/>
          </w:tcPr>
          <w:p w14:paraId="21EC48C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458" w:type="pct"/>
            <w:vAlign w:val="center"/>
          </w:tcPr>
          <w:p w14:paraId="00AFBFA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71580B3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59B3E50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r>
      <w:tr w:rsidR="006C2636" w:rsidRPr="00B942CD" w14:paraId="29135534" w14:textId="77777777" w:rsidTr="006653BD">
        <w:tc>
          <w:tcPr>
            <w:tcW w:w="1365" w:type="pct"/>
            <w:vAlign w:val="center"/>
          </w:tcPr>
          <w:p w14:paraId="12A860D2"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Serum CA-125</w:t>
            </w:r>
          </w:p>
        </w:tc>
        <w:tc>
          <w:tcPr>
            <w:tcW w:w="438" w:type="pct"/>
            <w:vAlign w:val="center"/>
          </w:tcPr>
          <w:p w14:paraId="609708C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1D38350D"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roofErr w:type="spellStart"/>
            <w:r w:rsidRPr="00B942CD">
              <w:rPr>
                <w:rFonts w:ascii="Times New Roman" w:eastAsia="SimSun" w:hAnsi="Times New Roman" w:cs="Times New Roman"/>
                <w:snapToGrid w:val="0"/>
                <w:color w:val="000000" w:themeColor="text1"/>
                <w:sz w:val="21"/>
                <w:szCs w:val="21"/>
              </w:rPr>
              <w:t>X</w:t>
            </w:r>
            <w:r w:rsidRPr="00B942CD">
              <w:rPr>
                <w:rFonts w:ascii="Times New Roman" w:eastAsia="SimSun" w:hAnsi="Times New Roman" w:cs="Times New Roman"/>
                <w:snapToGrid w:val="0"/>
                <w:color w:val="000000" w:themeColor="text1"/>
                <w:sz w:val="21"/>
                <w:szCs w:val="21"/>
                <w:vertAlign w:val="superscript"/>
              </w:rPr>
              <w:t>f</w:t>
            </w:r>
            <w:proofErr w:type="spellEnd"/>
          </w:p>
        </w:tc>
        <w:tc>
          <w:tcPr>
            <w:tcW w:w="183" w:type="pct"/>
            <w:vAlign w:val="center"/>
          </w:tcPr>
          <w:p w14:paraId="1057F224"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183" w:type="pct"/>
            <w:vAlign w:val="center"/>
          </w:tcPr>
          <w:p w14:paraId="18F10E5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2647" w:type="pct"/>
            <w:gridSpan w:val="5"/>
            <w:vAlign w:val="center"/>
          </w:tcPr>
          <w:p w14:paraId="72BF1EF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Retest once every cycle</w:t>
            </w:r>
          </w:p>
        </w:tc>
      </w:tr>
      <w:tr w:rsidR="00AA119C" w:rsidRPr="00B942CD" w14:paraId="6804D67E" w14:textId="77777777" w:rsidTr="006653BD">
        <w:tc>
          <w:tcPr>
            <w:tcW w:w="1365" w:type="pct"/>
            <w:vAlign w:val="center"/>
          </w:tcPr>
          <w:p w14:paraId="65B8685B"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Peripheral blood (</w:t>
            </w:r>
            <w:r w:rsidRPr="00B942CD">
              <w:rPr>
                <w:rFonts w:ascii="Times New Roman" w:eastAsia="SimSun" w:hAnsi="Times New Roman" w:cs="Times New Roman"/>
                <w:i/>
                <w:iCs/>
                <w:snapToGrid w:val="0"/>
                <w:color w:val="000000" w:themeColor="text1"/>
                <w:sz w:val="21"/>
                <w:szCs w:val="21"/>
              </w:rPr>
              <w:t>BRCA</w:t>
            </w:r>
            <w:r w:rsidRPr="00B942CD">
              <w:rPr>
                <w:rFonts w:ascii="Times New Roman" w:eastAsia="SimSun" w:hAnsi="Times New Roman" w:cs="Times New Roman"/>
                <w:snapToGrid w:val="0"/>
                <w:color w:val="000000" w:themeColor="text1"/>
                <w:sz w:val="21"/>
                <w:szCs w:val="21"/>
              </w:rPr>
              <w:t xml:space="preserve"> gene detection)</w:t>
            </w:r>
          </w:p>
        </w:tc>
        <w:tc>
          <w:tcPr>
            <w:tcW w:w="438" w:type="pct"/>
            <w:vAlign w:val="center"/>
          </w:tcPr>
          <w:p w14:paraId="6E885B4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183" w:type="pct"/>
            <w:vAlign w:val="center"/>
          </w:tcPr>
          <w:p w14:paraId="00237690"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6B8820D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183" w:type="pct"/>
            <w:vAlign w:val="center"/>
          </w:tcPr>
          <w:p w14:paraId="6060D09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438" w:type="pct"/>
            <w:vAlign w:val="center"/>
          </w:tcPr>
          <w:p w14:paraId="7D2F1C13"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533" w:type="pct"/>
            <w:vAlign w:val="center"/>
          </w:tcPr>
          <w:p w14:paraId="1355025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458" w:type="pct"/>
            <w:vAlign w:val="center"/>
          </w:tcPr>
          <w:p w14:paraId="3F47536A"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654" w:type="pct"/>
            <w:vAlign w:val="center"/>
          </w:tcPr>
          <w:p w14:paraId="2E57EFDC"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564" w:type="pct"/>
            <w:vAlign w:val="center"/>
          </w:tcPr>
          <w:p w14:paraId="7E99A96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r>
      <w:tr w:rsidR="007A17FC" w:rsidRPr="00B942CD" w14:paraId="5B969637" w14:textId="77777777" w:rsidTr="006653BD">
        <w:tc>
          <w:tcPr>
            <w:tcW w:w="1365" w:type="pct"/>
            <w:vAlign w:val="center"/>
          </w:tcPr>
          <w:p w14:paraId="1CA58634" w14:textId="77777777"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Tumor assessment</w:t>
            </w:r>
          </w:p>
        </w:tc>
        <w:tc>
          <w:tcPr>
            <w:tcW w:w="438" w:type="pct"/>
            <w:vAlign w:val="center"/>
          </w:tcPr>
          <w:p w14:paraId="151A37FC" w14:textId="58F1D961"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29E26FC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183" w:type="pct"/>
            <w:vAlign w:val="center"/>
          </w:tcPr>
          <w:p w14:paraId="6EE6E5BB"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183" w:type="pct"/>
            <w:vAlign w:val="center"/>
          </w:tcPr>
          <w:p w14:paraId="2B0818DE" w14:textId="77777777" w:rsidR="00AB567D" w:rsidRPr="00B942CD" w:rsidDel="00CE3F7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438" w:type="pct"/>
            <w:vAlign w:val="center"/>
          </w:tcPr>
          <w:p w14:paraId="70AEBFB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lang w:eastAsia="zh-CN"/>
              </w:rPr>
            </w:pPr>
          </w:p>
        </w:tc>
        <w:tc>
          <w:tcPr>
            <w:tcW w:w="533" w:type="pct"/>
            <w:vAlign w:val="center"/>
          </w:tcPr>
          <w:p w14:paraId="7AFD7265"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X</w:t>
            </w:r>
          </w:p>
        </w:tc>
        <w:tc>
          <w:tcPr>
            <w:tcW w:w="1676" w:type="pct"/>
            <w:gridSpan w:val="3"/>
            <w:vAlign w:val="center"/>
          </w:tcPr>
          <w:p w14:paraId="681A7F68" w14:textId="38295E26"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Once every 3 cycles</w:t>
            </w:r>
          </w:p>
        </w:tc>
      </w:tr>
      <w:tr w:rsidR="00AA119C" w:rsidRPr="00B942CD" w14:paraId="360F2090" w14:textId="77777777" w:rsidTr="006653BD">
        <w:tc>
          <w:tcPr>
            <w:tcW w:w="1365" w:type="pct"/>
            <w:vAlign w:val="center"/>
          </w:tcPr>
          <w:p w14:paraId="3B0DA93A" w14:textId="260DAFD9" w:rsidR="00AB567D" w:rsidRPr="00B942CD" w:rsidRDefault="00AB567D" w:rsidP="00472309">
            <w:pPr>
              <w:pStyle w:val="TableParagraph"/>
              <w:widowControl/>
              <w:autoSpaceDE/>
              <w:autoSpaceDN/>
              <w:adjustRightInd w:val="0"/>
              <w:snapToGrid w:val="0"/>
              <w:spacing w:beforeLines="10" w:before="24" w:line="264"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Monitoring of AEs</w:t>
            </w:r>
          </w:p>
        </w:tc>
        <w:tc>
          <w:tcPr>
            <w:tcW w:w="438" w:type="pct"/>
            <w:vAlign w:val="center"/>
          </w:tcPr>
          <w:p w14:paraId="1621E97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2E065A71"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183" w:type="pct"/>
            <w:vAlign w:val="center"/>
          </w:tcPr>
          <w:p w14:paraId="44C85D3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183" w:type="pct"/>
            <w:vAlign w:val="center"/>
          </w:tcPr>
          <w:p w14:paraId="55AD01B6"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438" w:type="pct"/>
            <w:vAlign w:val="center"/>
          </w:tcPr>
          <w:p w14:paraId="6927912F"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p>
        </w:tc>
        <w:tc>
          <w:tcPr>
            <w:tcW w:w="533" w:type="pct"/>
            <w:vAlign w:val="center"/>
          </w:tcPr>
          <w:p w14:paraId="2DF9B1C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458" w:type="pct"/>
            <w:vAlign w:val="center"/>
          </w:tcPr>
          <w:p w14:paraId="5F2538B7"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654" w:type="pct"/>
            <w:vAlign w:val="center"/>
          </w:tcPr>
          <w:p w14:paraId="31FDAB22"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p>
        </w:tc>
        <w:tc>
          <w:tcPr>
            <w:tcW w:w="564" w:type="pct"/>
            <w:vAlign w:val="center"/>
          </w:tcPr>
          <w:p w14:paraId="6B9B0B58" w14:textId="77777777" w:rsidR="00AB567D" w:rsidRPr="00B942CD" w:rsidRDefault="00AB567D" w:rsidP="00472309">
            <w:pPr>
              <w:pStyle w:val="TableParagraph"/>
              <w:widowControl/>
              <w:autoSpaceDE/>
              <w:autoSpaceDN/>
              <w:adjustRightInd w:val="0"/>
              <w:snapToGrid w:val="0"/>
              <w:spacing w:beforeLines="10" w:before="24" w:line="264" w:lineRule="auto"/>
              <w:jc w:val="center"/>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X</w:t>
            </w:r>
            <w:r w:rsidRPr="001D103B">
              <w:rPr>
                <w:rFonts w:ascii="Times New Roman" w:eastAsia="SimSun" w:hAnsi="Times New Roman" w:cs="Times New Roman"/>
                <w:snapToGrid w:val="0"/>
                <w:color w:val="000000" w:themeColor="text1"/>
                <w:sz w:val="21"/>
                <w:szCs w:val="21"/>
                <w:vertAlign w:val="superscript"/>
              </w:rPr>
              <w:t>e</w:t>
            </w:r>
          </w:p>
        </w:tc>
      </w:tr>
    </w:tbl>
    <w:p w14:paraId="65518864"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b/>
          <w:snapToGrid w:val="0"/>
          <w:color w:val="000000" w:themeColor="text1"/>
          <w:sz w:val="21"/>
          <w:szCs w:val="21"/>
        </w:rPr>
      </w:pPr>
      <w:r w:rsidRPr="00B942CD">
        <w:rPr>
          <w:rFonts w:ascii="Times New Roman" w:eastAsia="SimSun" w:hAnsi="Times New Roman" w:cs="Times New Roman"/>
          <w:b/>
          <w:snapToGrid w:val="0"/>
          <w:color w:val="000000" w:themeColor="text1"/>
          <w:sz w:val="21"/>
          <w:szCs w:val="21"/>
        </w:rPr>
        <w:t>Footnotes:</w:t>
      </w:r>
    </w:p>
    <w:p w14:paraId="03EA4597" w14:textId="1F121709"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PS score of 0-1 (Please refer to Appendix -1 Eastern Cooperative Oncology Group (ECOG) Performance Status Score).</w:t>
      </w:r>
    </w:p>
    <w:p w14:paraId="4D7C5C7D" w14:textId="6E54BAE4"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Female subjects of childbearing potential must have a serum or urine pregnancy test, which will be performed locally 3 days prior to study medication.</w:t>
      </w:r>
    </w:p>
    <w:p w14:paraId="36F50ED0" w14:textId="301CFCF4"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lastRenderedPageBreak/>
        <w:t>Laboratory assessments in the screening stage must be performed within 7 days prior to study medication.</w:t>
      </w:r>
    </w:p>
    <w:p w14:paraId="72460E83" w14:textId="6F8A4C4E"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 xml:space="preserve">Laboratory tests include absolute neutrophil count, platelet count, </w:t>
      </w:r>
      <w:proofErr w:type="spellStart"/>
      <w:r w:rsidRPr="00B942CD">
        <w:rPr>
          <w:rFonts w:ascii="Times New Roman" w:eastAsia="SimSun" w:hAnsi="Times New Roman" w:cs="Times New Roman"/>
          <w:snapToGrid w:val="0"/>
          <w:color w:val="000000" w:themeColor="text1"/>
          <w:sz w:val="21"/>
          <w:szCs w:val="21"/>
        </w:rPr>
        <w:t>haemoglobin</w:t>
      </w:r>
      <w:proofErr w:type="spellEnd"/>
      <w:r w:rsidRPr="00B942CD">
        <w:rPr>
          <w:rFonts w:ascii="Times New Roman" w:eastAsia="SimSun" w:hAnsi="Times New Roman" w:cs="Times New Roman"/>
          <w:snapToGrid w:val="0"/>
          <w:color w:val="000000" w:themeColor="text1"/>
          <w:sz w:val="21"/>
          <w:szCs w:val="21"/>
        </w:rPr>
        <w:t>, serum creatinine, total bilirubin, aspartate aminotransferase, alanine aminotransferase, and electrolytes.</w:t>
      </w:r>
    </w:p>
    <w:p w14:paraId="04A7A656" w14:textId="77777777"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AEs should be monitored for 30 days after the last dose.</w:t>
      </w:r>
    </w:p>
    <w:p w14:paraId="0999197B" w14:textId="7A2572EA" w:rsidR="004733E0" w:rsidRPr="00B942CD" w:rsidRDefault="004733E0" w:rsidP="00AA119C">
      <w:pPr>
        <w:pStyle w:val="ListParagraph"/>
        <w:widowControl/>
        <w:numPr>
          <w:ilvl w:val="0"/>
          <w:numId w:val="1"/>
        </w:numPr>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Repeat is not required if it is performed within 7 days prior to the first day of the study.</w:t>
      </w:r>
    </w:p>
    <w:p w14:paraId="51733F1A" w14:textId="77777777" w:rsidR="004733E0" w:rsidRPr="00B942CD" w:rsidRDefault="004733E0" w:rsidP="00AA119C">
      <w:pPr>
        <w:widowControl/>
        <w:autoSpaceDE/>
        <w:autoSpaceDN/>
        <w:adjustRightInd w:val="0"/>
        <w:snapToGrid w:val="0"/>
        <w:spacing w:beforeLines="15" w:before="36" w:line="276" w:lineRule="auto"/>
        <w:ind w:left="420" w:hangingChars="200" w:hanging="420"/>
        <w:jc w:val="both"/>
        <w:rPr>
          <w:rFonts w:ascii="Times New Roman" w:eastAsia="SimSun" w:hAnsi="Times New Roman" w:cs="Times New Roman"/>
          <w:snapToGrid w:val="0"/>
          <w:color w:val="000000" w:themeColor="text1"/>
          <w:sz w:val="21"/>
          <w:szCs w:val="21"/>
          <w:lang w:eastAsia="zh-CN"/>
        </w:rPr>
        <w:sectPr w:rsidR="004733E0" w:rsidRPr="00B942CD" w:rsidSect="007A17FC">
          <w:pgSz w:w="15840" w:h="12240" w:orient="landscape"/>
          <w:pgMar w:top="1440" w:right="1440" w:bottom="1440" w:left="1440" w:header="720" w:footer="720" w:gutter="0"/>
          <w:cols w:space="720"/>
          <w:docGrid w:linePitch="299"/>
        </w:sectPr>
      </w:pPr>
    </w:p>
    <w:p w14:paraId="4D48A3DB" w14:textId="77777777" w:rsidR="004733E0" w:rsidRPr="00B942CD" w:rsidRDefault="004733E0" w:rsidP="00AA119C">
      <w:pPr>
        <w:pStyle w:val="Heading1"/>
        <w:rPr>
          <w:rFonts w:cs="Times New Roman"/>
        </w:rPr>
      </w:pPr>
      <w:bookmarkStart w:id="223" w:name="8_REFERENCES"/>
      <w:bookmarkStart w:id="224" w:name="_bookmark44"/>
      <w:bookmarkStart w:id="225" w:name="_Toc98358663"/>
      <w:bookmarkStart w:id="226" w:name="_Hlk6172822"/>
      <w:bookmarkEnd w:id="223"/>
      <w:bookmarkEnd w:id="224"/>
      <w:r w:rsidRPr="00B942CD">
        <w:rPr>
          <w:rFonts w:cs="Times New Roman"/>
        </w:rPr>
        <w:lastRenderedPageBreak/>
        <w:t>Reference</w:t>
      </w:r>
      <w:bookmarkEnd w:id="225"/>
    </w:p>
    <w:bookmarkEnd w:id="226"/>
    <w:p w14:paraId="30E98CE5" w14:textId="38F30553"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W. Chen, </w:t>
      </w:r>
      <w:hyperlink r:id="rId12" w:history="1">
        <w:r w:rsidRPr="00B942CD">
          <w:rPr>
            <w:rStyle w:val="Hyperlink"/>
            <w:rFonts w:ascii="Times New Roman" w:eastAsia="SimSun" w:hAnsi="Times New Roman"/>
            <w:snapToGrid w:val="0"/>
            <w:color w:val="000000" w:themeColor="text1"/>
            <w:sz w:val="24"/>
          </w:rPr>
          <w:t>Zheng R</w:t>
        </w:r>
      </w:hyperlink>
      <w:r w:rsidRPr="00B942CD">
        <w:rPr>
          <w:rFonts w:ascii="Times New Roman" w:eastAsia="SimSun" w:hAnsi="Times New Roman" w:cs="Times New Roman"/>
          <w:snapToGrid w:val="0"/>
          <w:color w:val="000000" w:themeColor="text1"/>
          <w:sz w:val="24"/>
        </w:rPr>
        <w:t xml:space="preserve">, </w:t>
      </w:r>
      <w:hyperlink r:id="rId13" w:history="1">
        <w:r w:rsidRPr="00B942CD">
          <w:rPr>
            <w:rStyle w:val="Hyperlink"/>
            <w:rFonts w:ascii="Times New Roman" w:eastAsia="SimSun" w:hAnsi="Times New Roman"/>
            <w:snapToGrid w:val="0"/>
            <w:color w:val="000000" w:themeColor="text1"/>
            <w:sz w:val="24"/>
          </w:rPr>
          <w:t>Baade PD</w:t>
        </w:r>
      </w:hyperlink>
      <w:r w:rsidRPr="00B942CD">
        <w:rPr>
          <w:rFonts w:ascii="Times New Roman" w:eastAsia="SimSun" w:hAnsi="Times New Roman" w:cs="Times New Roman"/>
          <w:snapToGrid w:val="0"/>
          <w:color w:val="000000" w:themeColor="text1"/>
          <w:sz w:val="24"/>
        </w:rPr>
        <w:t xml:space="preserve">, et al. </w:t>
      </w:r>
      <w:r w:rsidRPr="00B942CD">
        <w:rPr>
          <w:rFonts w:ascii="Times New Roman" w:eastAsia="SimSun" w:hAnsi="Times New Roman" w:cs="Times New Roman"/>
          <w:bCs/>
          <w:snapToGrid w:val="0"/>
          <w:color w:val="000000" w:themeColor="text1"/>
          <w:sz w:val="24"/>
        </w:rPr>
        <w:t xml:space="preserve">Cancer statistics in China, 2015. </w:t>
      </w:r>
      <w:r w:rsidRPr="00B942CD">
        <w:rPr>
          <w:rFonts w:ascii="Times New Roman" w:eastAsia="SimSun" w:hAnsi="Times New Roman" w:cs="Times New Roman"/>
          <w:snapToGrid w:val="0"/>
          <w:color w:val="000000" w:themeColor="text1"/>
          <w:sz w:val="24"/>
        </w:rPr>
        <w:t>CA Cancer J Clin 2016;66:115–132.</w:t>
      </w:r>
    </w:p>
    <w:p w14:paraId="0ACF0370" w14:textId="17DB24E5"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Fotopoulou</w:t>
      </w:r>
      <w:proofErr w:type="spellEnd"/>
      <w:r w:rsidRPr="00B942CD">
        <w:rPr>
          <w:rFonts w:ascii="Times New Roman" w:eastAsia="SimSun" w:hAnsi="Times New Roman" w:cs="Times New Roman"/>
          <w:snapToGrid w:val="0"/>
          <w:color w:val="000000" w:themeColor="text1"/>
          <w:sz w:val="24"/>
        </w:rPr>
        <w:t xml:space="preserve"> C. Limitations to the use of carboplatin-based therapy in advanced ovarian cancer.</w:t>
      </w:r>
      <w:r w:rsidR="00A001B6" w:rsidRPr="00B942CD">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snapToGrid w:val="0"/>
          <w:color w:val="000000" w:themeColor="text1"/>
          <w:sz w:val="24"/>
        </w:rPr>
        <w:t>European Journal of Cancer. Suppl. 2014; 12(2):13-16.</w:t>
      </w:r>
    </w:p>
    <w:p w14:paraId="42C395C9"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Gore ME, </w:t>
      </w:r>
      <w:proofErr w:type="spellStart"/>
      <w:r w:rsidRPr="00B942CD">
        <w:rPr>
          <w:rFonts w:ascii="Times New Roman" w:eastAsia="SimSun" w:hAnsi="Times New Roman" w:cs="Times New Roman"/>
          <w:snapToGrid w:val="0"/>
          <w:color w:val="000000" w:themeColor="text1"/>
          <w:sz w:val="24"/>
        </w:rPr>
        <w:t>Fryatt</w:t>
      </w:r>
      <w:proofErr w:type="spellEnd"/>
      <w:r w:rsidRPr="00B942CD">
        <w:rPr>
          <w:rFonts w:ascii="Times New Roman" w:eastAsia="SimSun" w:hAnsi="Times New Roman" w:cs="Times New Roman"/>
          <w:snapToGrid w:val="0"/>
          <w:color w:val="000000" w:themeColor="text1"/>
          <w:sz w:val="24"/>
        </w:rPr>
        <w:t xml:space="preserve"> I, </w:t>
      </w:r>
      <w:proofErr w:type="spellStart"/>
      <w:r w:rsidRPr="00B942CD">
        <w:rPr>
          <w:rFonts w:ascii="Times New Roman" w:eastAsia="SimSun" w:hAnsi="Times New Roman" w:cs="Times New Roman"/>
          <w:snapToGrid w:val="0"/>
          <w:color w:val="000000" w:themeColor="text1"/>
          <w:sz w:val="24"/>
        </w:rPr>
        <w:t>Wiltshaw</w:t>
      </w:r>
      <w:proofErr w:type="spellEnd"/>
      <w:r w:rsidRPr="00B942CD">
        <w:rPr>
          <w:rFonts w:ascii="Times New Roman" w:eastAsia="SimSun" w:hAnsi="Times New Roman" w:cs="Times New Roman"/>
          <w:snapToGrid w:val="0"/>
          <w:color w:val="000000" w:themeColor="text1"/>
          <w:sz w:val="24"/>
        </w:rPr>
        <w:t xml:space="preserve"> E, Dawson T. Treatment of relapsed carcinoma of the ovary with cisplatin or carboplatin following initial treatment with these compounds. Gynecologic Oncology. 1990; 36(2):207-211.</w:t>
      </w:r>
    </w:p>
    <w:p w14:paraId="64561F67"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Markman M, Rothman R, Hakes T, et al. Second-line platinum therapy in patients with ovarian cancer previously treated with cisplatin. Journal of Clinical Oncology. 1991; 9(3):389-393.</w:t>
      </w:r>
    </w:p>
    <w:p w14:paraId="56FF9506" w14:textId="50DC185F"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Amé</w:t>
      </w:r>
      <w:proofErr w:type="spellEnd"/>
      <w:r w:rsidRPr="00B942CD">
        <w:rPr>
          <w:rFonts w:ascii="Times New Roman" w:eastAsia="SimSun" w:hAnsi="Times New Roman" w:cs="Times New Roman"/>
          <w:snapToGrid w:val="0"/>
          <w:color w:val="000000" w:themeColor="text1"/>
          <w:sz w:val="24"/>
        </w:rPr>
        <w:t xml:space="preserve"> J-C, </w:t>
      </w:r>
      <w:proofErr w:type="spellStart"/>
      <w:r w:rsidRPr="00B942CD">
        <w:rPr>
          <w:rFonts w:ascii="Times New Roman" w:eastAsia="SimSun" w:hAnsi="Times New Roman" w:cs="Times New Roman"/>
          <w:snapToGrid w:val="0"/>
          <w:color w:val="000000" w:themeColor="text1"/>
          <w:sz w:val="24"/>
        </w:rPr>
        <w:t>Spenlehauer</w:t>
      </w:r>
      <w:proofErr w:type="spellEnd"/>
      <w:r w:rsidRPr="00B942CD">
        <w:rPr>
          <w:rFonts w:ascii="Times New Roman" w:eastAsia="SimSun" w:hAnsi="Times New Roman" w:cs="Times New Roman"/>
          <w:snapToGrid w:val="0"/>
          <w:color w:val="000000" w:themeColor="text1"/>
          <w:sz w:val="24"/>
        </w:rPr>
        <w:t xml:space="preserve"> C, de Murcia G. The PARP super-family. </w:t>
      </w:r>
      <w:proofErr w:type="spellStart"/>
      <w:r w:rsidRPr="00B942CD">
        <w:rPr>
          <w:rFonts w:ascii="Times New Roman" w:eastAsia="SimSun" w:hAnsi="Times New Roman" w:cs="Times New Roman"/>
          <w:snapToGrid w:val="0"/>
          <w:color w:val="000000" w:themeColor="text1"/>
          <w:sz w:val="24"/>
        </w:rPr>
        <w:t>BioEssays</w:t>
      </w:r>
      <w:proofErr w:type="spellEnd"/>
      <w:r w:rsidRPr="00B942CD">
        <w:rPr>
          <w:rFonts w:ascii="Times New Roman" w:eastAsia="SimSun" w:hAnsi="Times New Roman" w:cs="Times New Roman"/>
          <w:snapToGrid w:val="0"/>
          <w:color w:val="000000" w:themeColor="text1"/>
          <w:sz w:val="24"/>
        </w:rPr>
        <w:t>. 2004; 26(8):882–93.</w:t>
      </w:r>
    </w:p>
    <w:p w14:paraId="2604E285"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rPr>
        <w:t>Kaelin</w:t>
      </w:r>
      <w:proofErr w:type="spellEnd"/>
      <w:r w:rsidRPr="00B942CD">
        <w:rPr>
          <w:rFonts w:ascii="Times New Roman" w:eastAsia="SimSun" w:hAnsi="Times New Roman" w:cs="Times New Roman"/>
          <w:snapToGrid w:val="0"/>
          <w:color w:val="000000" w:themeColor="text1"/>
          <w:sz w:val="24"/>
        </w:rPr>
        <w:t xml:space="preserve"> WG, Jr. The concept of synthetic lethality in the context of anticancer therapy. Nature Review Cancer. 2005; 5(9):689-698.</w:t>
      </w:r>
    </w:p>
    <w:p w14:paraId="2472CBE7"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sv-SE"/>
        </w:rPr>
        <w:t xml:space="preserve">Ledermann J, Harter P, Gourley C, et al. </w:t>
      </w:r>
      <w:r w:rsidRPr="00B942CD">
        <w:rPr>
          <w:rFonts w:ascii="Times New Roman" w:eastAsia="SimSun" w:hAnsi="Times New Roman" w:cs="Times New Roman"/>
          <w:snapToGrid w:val="0"/>
          <w:color w:val="000000" w:themeColor="text1"/>
          <w:sz w:val="24"/>
        </w:rPr>
        <w:t xml:space="preserve">Olaparib maintenance therapy in patients with platinum-sensitive relapsed serous ovarian cancer: a preplanned retrospective analysis of outcomes by BRCA status in a </w:t>
      </w:r>
      <w:proofErr w:type="spellStart"/>
      <w:r w:rsidRPr="00B942CD">
        <w:rPr>
          <w:rFonts w:ascii="Times New Roman" w:eastAsia="SimSun" w:hAnsi="Times New Roman" w:cs="Times New Roman"/>
          <w:snapToGrid w:val="0"/>
          <w:color w:val="000000" w:themeColor="text1"/>
          <w:sz w:val="24"/>
        </w:rPr>
        <w:t>randomised</w:t>
      </w:r>
      <w:proofErr w:type="spellEnd"/>
      <w:r w:rsidRPr="00B942CD">
        <w:rPr>
          <w:rFonts w:ascii="Times New Roman" w:eastAsia="SimSun" w:hAnsi="Times New Roman" w:cs="Times New Roman"/>
          <w:snapToGrid w:val="0"/>
          <w:color w:val="000000" w:themeColor="text1"/>
          <w:sz w:val="24"/>
        </w:rPr>
        <w:t xml:space="preserve"> phase 2 trial. Lancet Oncology. 2014; 15(8):852-861.</w:t>
      </w:r>
    </w:p>
    <w:p w14:paraId="6305309C"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de-DE"/>
        </w:rPr>
        <w:t xml:space="preserve">Kaufman B, Shapira-Frommer R, Schmutzler RK, et al. </w:t>
      </w:r>
      <w:r w:rsidRPr="00B942CD">
        <w:rPr>
          <w:rFonts w:ascii="Times New Roman" w:eastAsia="SimSun" w:hAnsi="Times New Roman" w:cs="Times New Roman"/>
          <w:snapToGrid w:val="0"/>
          <w:color w:val="000000" w:themeColor="text1"/>
          <w:sz w:val="24"/>
        </w:rPr>
        <w:t>Olaparib monotherapy in patients with advanced cancer and a germline BRCA1/2 mutation. Journal of Clinical Oncology. 2015; 33(3):244-250.</w:t>
      </w:r>
    </w:p>
    <w:p w14:paraId="5926CCC0"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sv-SE"/>
        </w:rPr>
        <w:t xml:space="preserve">Ledermann J, Harter P, Gourley C, et al. </w:t>
      </w:r>
      <w:r w:rsidRPr="00B942CD">
        <w:rPr>
          <w:rFonts w:ascii="Times New Roman" w:eastAsia="SimSun" w:hAnsi="Times New Roman" w:cs="Times New Roman"/>
          <w:snapToGrid w:val="0"/>
          <w:color w:val="000000" w:themeColor="text1"/>
          <w:sz w:val="24"/>
        </w:rPr>
        <w:t>Olaparib maintenance therapy in platinum-sensitive relapsed ovarian cancer. New England Journal of Medicine. 2012; 366(15):1382-1392.</w:t>
      </w:r>
    </w:p>
    <w:p w14:paraId="4089DA29"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Mirza MR, Monk BJ, </w:t>
      </w:r>
      <w:proofErr w:type="spellStart"/>
      <w:r w:rsidRPr="00B942CD">
        <w:rPr>
          <w:rFonts w:ascii="Times New Roman" w:eastAsia="SimSun" w:hAnsi="Times New Roman" w:cs="Times New Roman"/>
          <w:snapToGrid w:val="0"/>
          <w:color w:val="000000" w:themeColor="text1"/>
          <w:sz w:val="24"/>
        </w:rPr>
        <w:t>Herrstedt</w:t>
      </w:r>
      <w:proofErr w:type="spellEnd"/>
      <w:r w:rsidRPr="00B942CD">
        <w:rPr>
          <w:rFonts w:ascii="Times New Roman" w:eastAsia="SimSun" w:hAnsi="Times New Roman" w:cs="Times New Roman"/>
          <w:snapToGrid w:val="0"/>
          <w:color w:val="000000" w:themeColor="text1"/>
          <w:sz w:val="24"/>
        </w:rPr>
        <w:t xml:space="preserve"> J, </w:t>
      </w:r>
      <w:proofErr w:type="spellStart"/>
      <w:r w:rsidRPr="00B942CD">
        <w:rPr>
          <w:rFonts w:ascii="Times New Roman" w:eastAsia="SimSun" w:hAnsi="Times New Roman" w:cs="Times New Roman"/>
          <w:snapToGrid w:val="0"/>
          <w:color w:val="000000" w:themeColor="text1"/>
          <w:sz w:val="24"/>
        </w:rPr>
        <w:t>Oza</w:t>
      </w:r>
      <w:proofErr w:type="spellEnd"/>
      <w:r w:rsidRPr="00B942CD">
        <w:rPr>
          <w:rFonts w:ascii="Times New Roman" w:eastAsia="SimSun" w:hAnsi="Times New Roman" w:cs="Times New Roman"/>
          <w:snapToGrid w:val="0"/>
          <w:color w:val="000000" w:themeColor="text1"/>
          <w:sz w:val="24"/>
        </w:rPr>
        <w:t xml:space="preserve"> AM, </w:t>
      </w:r>
      <w:proofErr w:type="spellStart"/>
      <w:r w:rsidRPr="00B942CD">
        <w:rPr>
          <w:rFonts w:ascii="Times New Roman" w:eastAsia="SimSun" w:hAnsi="Times New Roman" w:cs="Times New Roman"/>
          <w:snapToGrid w:val="0"/>
          <w:color w:val="000000" w:themeColor="text1"/>
          <w:sz w:val="24"/>
        </w:rPr>
        <w:t>Mahner</w:t>
      </w:r>
      <w:proofErr w:type="spellEnd"/>
      <w:r w:rsidRPr="00B942CD">
        <w:rPr>
          <w:rFonts w:ascii="Times New Roman" w:eastAsia="SimSun" w:hAnsi="Times New Roman" w:cs="Times New Roman"/>
          <w:snapToGrid w:val="0"/>
          <w:color w:val="000000" w:themeColor="text1"/>
          <w:sz w:val="24"/>
        </w:rPr>
        <w:t xml:space="preserve"> S, Redondo A, et al. </w:t>
      </w:r>
      <w:r w:rsidRPr="00B942CD">
        <w:rPr>
          <w:rFonts w:ascii="Times New Roman" w:eastAsia="SimSun" w:hAnsi="Times New Roman" w:cs="Times New Roman"/>
          <w:snapToGrid w:val="0"/>
          <w:color w:val="000000" w:themeColor="text1"/>
          <w:sz w:val="24"/>
          <w:lang w:eastAsia="zh-CN"/>
        </w:rPr>
        <w:t>niraparib</w:t>
      </w:r>
      <w:r w:rsidRPr="00B942CD">
        <w:rPr>
          <w:rFonts w:ascii="Times New Roman" w:eastAsia="SimSun" w:hAnsi="Times New Roman" w:cs="Times New Roman"/>
          <w:snapToGrid w:val="0"/>
          <w:color w:val="000000" w:themeColor="text1"/>
          <w:sz w:val="24"/>
        </w:rPr>
        <w:t xml:space="preserve"> Maintenance Therapy in Platinum-Sensitive, Recurrent Ovarian Cancer. New England Journal of Medicine. 2016; October 7, online version.</w:t>
      </w:r>
    </w:p>
    <w:p w14:paraId="03832CC4"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eastAsia="zh-CN"/>
        </w:rPr>
        <w:t xml:space="preserve">Watkins JA, Irshad S, </w:t>
      </w:r>
      <w:proofErr w:type="spellStart"/>
      <w:r w:rsidRPr="00B942CD">
        <w:rPr>
          <w:rFonts w:ascii="Times New Roman" w:eastAsia="SimSun" w:hAnsi="Times New Roman" w:cs="Times New Roman"/>
          <w:snapToGrid w:val="0"/>
          <w:color w:val="000000" w:themeColor="text1"/>
          <w:sz w:val="24"/>
          <w:lang w:eastAsia="zh-CN"/>
        </w:rPr>
        <w:t>Grigoriadis</w:t>
      </w:r>
      <w:proofErr w:type="spellEnd"/>
      <w:r w:rsidRPr="00B942CD">
        <w:rPr>
          <w:rFonts w:ascii="Times New Roman" w:eastAsia="SimSun" w:hAnsi="Times New Roman" w:cs="Times New Roman"/>
          <w:snapToGrid w:val="0"/>
          <w:color w:val="000000" w:themeColor="text1"/>
          <w:sz w:val="24"/>
          <w:lang w:eastAsia="zh-CN"/>
        </w:rPr>
        <w:t xml:space="preserve"> A, Tutt AN. Genomic scars as biomarkers of homologous recombination deficiency and drug response in breast and ovarian cancers. Breast Cancer Res. 2014; 16 (3): 211.</w:t>
      </w:r>
    </w:p>
    <w:p w14:paraId="5A5914D2"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proofErr w:type="spellStart"/>
      <w:r w:rsidRPr="00B942CD">
        <w:rPr>
          <w:rFonts w:ascii="Times New Roman" w:eastAsia="SimSun" w:hAnsi="Times New Roman" w:cs="Times New Roman"/>
          <w:snapToGrid w:val="0"/>
          <w:color w:val="000000" w:themeColor="text1"/>
          <w:sz w:val="24"/>
          <w:lang w:eastAsia="zh-CN"/>
        </w:rPr>
        <w:t>Kaelin</w:t>
      </w:r>
      <w:proofErr w:type="spellEnd"/>
      <w:r w:rsidRPr="00B942CD">
        <w:rPr>
          <w:rFonts w:ascii="Times New Roman" w:eastAsia="SimSun" w:hAnsi="Times New Roman" w:cs="Times New Roman"/>
          <w:snapToGrid w:val="0"/>
          <w:color w:val="000000" w:themeColor="text1"/>
          <w:sz w:val="24"/>
          <w:lang w:eastAsia="zh-CN"/>
        </w:rPr>
        <w:t xml:space="preserve"> WG, Jr. The concept of synthetic lethality in the context of anticancer therapy. Nat Rev Cancer. 2005; 5 (9): 689-698.</w:t>
      </w:r>
    </w:p>
    <w:p w14:paraId="2680B048" w14:textId="63E601F8"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lastRenderedPageBreak/>
        <w:t xml:space="preserve">Kathleen N Moore, et al. </w:t>
      </w:r>
      <w:r w:rsidRPr="00B942CD">
        <w:rPr>
          <w:rFonts w:ascii="Times New Roman" w:eastAsia="SimSun" w:hAnsi="Times New Roman" w:cs="Times New Roman"/>
          <w:snapToGrid w:val="0"/>
          <w:color w:val="000000" w:themeColor="text1"/>
          <w:sz w:val="24"/>
          <w:lang w:eastAsia="zh-CN"/>
        </w:rPr>
        <w:t>niraparib</w:t>
      </w:r>
      <w:r w:rsidRPr="00B942CD">
        <w:rPr>
          <w:rFonts w:ascii="Times New Roman" w:eastAsia="SimSun" w:hAnsi="Times New Roman" w:cs="Times New Roman"/>
          <w:snapToGrid w:val="0"/>
          <w:color w:val="000000" w:themeColor="text1"/>
          <w:sz w:val="24"/>
        </w:rPr>
        <w:t xml:space="preserve"> monotherapy for late-line treatment of ovarian cancer (QUADRA): a </w:t>
      </w:r>
      <w:proofErr w:type="spellStart"/>
      <w:r w:rsidRPr="00B942CD">
        <w:rPr>
          <w:rFonts w:ascii="Times New Roman" w:eastAsia="SimSun" w:hAnsi="Times New Roman" w:cs="Times New Roman"/>
          <w:snapToGrid w:val="0"/>
          <w:color w:val="000000" w:themeColor="text1"/>
          <w:sz w:val="24"/>
        </w:rPr>
        <w:t>multicentre</w:t>
      </w:r>
      <w:proofErr w:type="spellEnd"/>
      <w:r w:rsidRPr="00B942CD">
        <w:rPr>
          <w:rFonts w:ascii="Times New Roman" w:eastAsia="SimSun" w:hAnsi="Times New Roman" w:cs="Times New Roman"/>
          <w:snapToGrid w:val="0"/>
          <w:color w:val="000000" w:themeColor="text1"/>
          <w:sz w:val="24"/>
        </w:rPr>
        <w:t xml:space="preserve">, open-label, single-arm, phase 2 trial. Lancet Oncol 2019 Published Online April 1, 2019 </w:t>
      </w:r>
      <w:hyperlink r:id="rId14" w:history="1">
        <w:r w:rsidRPr="00B942CD">
          <w:rPr>
            <w:rStyle w:val="Hyperlink"/>
            <w:rFonts w:ascii="Times New Roman" w:eastAsia="SimSun" w:hAnsi="Times New Roman"/>
            <w:snapToGrid w:val="0"/>
            <w:color w:val="000000" w:themeColor="text1"/>
            <w:sz w:val="24"/>
          </w:rPr>
          <w:t>http://dx.doi.org/10.1016/S1470-2045(19)30029-4</w:t>
        </w:r>
      </w:hyperlink>
    </w:p>
    <w:p w14:paraId="31F77487"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Radha V, </w:t>
      </w:r>
      <w:proofErr w:type="spellStart"/>
      <w:r w:rsidRPr="00B942CD">
        <w:rPr>
          <w:rFonts w:ascii="Times New Roman" w:eastAsia="SimSun" w:hAnsi="Times New Roman" w:cs="Times New Roman"/>
          <w:snapToGrid w:val="0"/>
          <w:color w:val="000000" w:themeColor="text1"/>
          <w:sz w:val="24"/>
        </w:rPr>
        <w:t>Nambirajan</w:t>
      </w:r>
      <w:proofErr w:type="spellEnd"/>
      <w:r w:rsidRPr="00B942CD">
        <w:rPr>
          <w:rFonts w:ascii="Times New Roman" w:eastAsia="SimSun" w:hAnsi="Times New Roman" w:cs="Times New Roman"/>
          <w:snapToGrid w:val="0"/>
          <w:color w:val="000000" w:themeColor="text1"/>
          <w:sz w:val="24"/>
        </w:rPr>
        <w:t xml:space="preserve"> S, Swarup G (March 1996). "Association of Lyn tyrosine kinase with the nuclear matrix and cell-cycle-dependent changes in matrix-associated tyrosine kinase activity". European Journal of Biochemistry. 236 (2): 352–9. doi:10.1111/j.1432-1033.1996.00352.x. PMID 8612602.</w:t>
      </w:r>
    </w:p>
    <w:p w14:paraId="7D3E259F" w14:textId="69E7570A"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NCCN guidelines for ovarian cancer version 1 2019. </w:t>
      </w:r>
      <w:hyperlink r:id="rId15" w:history="1">
        <w:r w:rsidRPr="00B942CD">
          <w:rPr>
            <w:rStyle w:val="Hyperlink"/>
            <w:rFonts w:ascii="Times New Roman" w:eastAsia="SimSun" w:hAnsi="Times New Roman"/>
            <w:snapToGrid w:val="0"/>
            <w:color w:val="000000" w:themeColor="text1"/>
            <w:sz w:val="24"/>
            <w:lang w:eastAsia="zh-CN"/>
          </w:rPr>
          <w:t>https://www.nccn.org/store/login/login.aspx?ReturnURL=https://www.nccn.org/professionals/physician_gls/pdf/ovarian.pdf</w:t>
        </w:r>
      </w:hyperlink>
    </w:p>
    <w:p w14:paraId="54364902"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J. F. Liu, W. T. Barry, M. </w:t>
      </w:r>
      <w:proofErr w:type="spellStart"/>
      <w:r w:rsidRPr="00B942CD">
        <w:rPr>
          <w:rFonts w:ascii="Times New Roman" w:eastAsia="SimSun" w:hAnsi="Times New Roman" w:cs="Times New Roman"/>
          <w:snapToGrid w:val="0"/>
          <w:color w:val="000000" w:themeColor="text1"/>
          <w:sz w:val="24"/>
        </w:rPr>
        <w:t>Birrer</w:t>
      </w:r>
      <w:proofErr w:type="spellEnd"/>
      <w:r w:rsidRPr="00B942CD">
        <w:rPr>
          <w:rFonts w:ascii="Times New Roman" w:eastAsia="SimSun" w:hAnsi="Times New Roman" w:cs="Times New Roman"/>
          <w:snapToGrid w:val="0"/>
          <w:color w:val="000000" w:themeColor="text1"/>
          <w:sz w:val="24"/>
        </w:rPr>
        <w:t xml:space="preserve">, et al. Overall survival and updated progression-free survival outcomes in a randomized phase II study of combination </w:t>
      </w:r>
      <w:proofErr w:type="spellStart"/>
      <w:r w:rsidRPr="00B942CD">
        <w:rPr>
          <w:rFonts w:ascii="Times New Roman" w:eastAsia="SimSun" w:hAnsi="Times New Roman" w:cs="Times New Roman"/>
          <w:snapToGrid w:val="0"/>
          <w:color w:val="000000" w:themeColor="text1"/>
          <w:sz w:val="24"/>
        </w:rPr>
        <w:t>cediranib</w:t>
      </w:r>
      <w:proofErr w:type="spellEnd"/>
      <w:r w:rsidRPr="00B942CD">
        <w:rPr>
          <w:rFonts w:ascii="Times New Roman" w:eastAsia="SimSun" w:hAnsi="Times New Roman" w:cs="Times New Roman"/>
          <w:snapToGrid w:val="0"/>
          <w:color w:val="000000" w:themeColor="text1"/>
          <w:sz w:val="24"/>
        </w:rPr>
        <w:t xml:space="preserve"> and olaparib versus olaparib in relapsed platinum-sensitive ovarian cancer. Annals of Oncology 0: 1–7, 2019 doi:10.1093/</w:t>
      </w:r>
      <w:proofErr w:type="spellStart"/>
      <w:r w:rsidRPr="00B942CD">
        <w:rPr>
          <w:rFonts w:ascii="Times New Roman" w:eastAsia="SimSun" w:hAnsi="Times New Roman" w:cs="Times New Roman"/>
          <w:snapToGrid w:val="0"/>
          <w:color w:val="000000" w:themeColor="text1"/>
          <w:sz w:val="24"/>
        </w:rPr>
        <w:t>annonc</w:t>
      </w:r>
      <w:proofErr w:type="spellEnd"/>
      <w:r w:rsidRPr="00B942CD">
        <w:rPr>
          <w:rFonts w:ascii="Times New Roman" w:eastAsia="SimSun" w:hAnsi="Times New Roman" w:cs="Times New Roman"/>
          <w:snapToGrid w:val="0"/>
          <w:color w:val="000000" w:themeColor="text1"/>
          <w:sz w:val="24"/>
        </w:rPr>
        <w:t>/mdz018 Published online 7 February 2019</w:t>
      </w:r>
    </w:p>
    <w:p w14:paraId="419BC27E"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Han B, et al. Effect of anlotinib as a third-line or further treatment on overall survival of patients with advanced non–small cell lung cancer: The ALTER 0303 phase 3 randomized clinical trial JAMA Oncology August 15, 2018</w:t>
      </w:r>
    </w:p>
    <w:p w14:paraId="0F8143C7" w14:textId="16E446CE"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sz w:val="24"/>
        </w:rPr>
        <w:t>China Food and Drug Administration (CFDA) Catalog Set of Marketed Drugs</w:t>
      </w:r>
      <w:r w:rsidRPr="00B942CD">
        <w:rPr>
          <w:rFonts w:ascii="Times New Roman" w:eastAsia="SimSun" w:hAnsi="Times New Roman" w:cs="Times New Roman"/>
          <w:snapToGrid w:val="0"/>
          <w:color w:val="000000" w:themeColor="text1"/>
          <w:sz w:val="24"/>
        </w:rPr>
        <w:t xml:space="preserve"> </w:t>
      </w:r>
      <w:hyperlink r:id="rId16" w:history="1">
        <w:r w:rsidRPr="00B942CD">
          <w:rPr>
            <w:rStyle w:val="Hyperlink"/>
            <w:rFonts w:ascii="Times New Roman" w:eastAsia="SimSun" w:hAnsi="Times New Roman"/>
            <w:snapToGrid w:val="0"/>
            <w:color w:val="000000" w:themeColor="text1"/>
            <w:sz w:val="24"/>
          </w:rPr>
          <w:t>http://202.96.26.102/index/detail/id/363</w:t>
        </w:r>
      </w:hyperlink>
    </w:p>
    <w:p w14:paraId="6D11E143"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Ellis LM, Hicklin DJ. </w:t>
      </w:r>
      <w:r w:rsidRPr="00B942CD">
        <w:rPr>
          <w:rFonts w:ascii="Times New Roman" w:eastAsia="SimSun" w:hAnsi="Times New Roman" w:cs="Times New Roman"/>
          <w:bCs/>
          <w:snapToGrid w:val="0"/>
          <w:color w:val="000000" w:themeColor="text1"/>
          <w:sz w:val="24"/>
        </w:rPr>
        <w:t>VEGF-targeted therapy: mechanisms of anti-</w:t>
      </w:r>
      <w:proofErr w:type="spellStart"/>
      <w:r w:rsidRPr="00B942CD">
        <w:rPr>
          <w:rFonts w:ascii="Times New Roman" w:eastAsia="SimSun" w:hAnsi="Times New Roman" w:cs="Times New Roman"/>
          <w:bCs/>
          <w:snapToGrid w:val="0"/>
          <w:color w:val="000000" w:themeColor="text1"/>
          <w:sz w:val="24"/>
        </w:rPr>
        <w:t>tumour</w:t>
      </w:r>
      <w:proofErr w:type="spellEnd"/>
      <w:r w:rsidRPr="00B942CD">
        <w:rPr>
          <w:rFonts w:ascii="Times New Roman" w:eastAsia="SimSun" w:hAnsi="Times New Roman" w:cs="Times New Roman"/>
          <w:bCs/>
          <w:snapToGrid w:val="0"/>
          <w:color w:val="000000" w:themeColor="text1"/>
          <w:sz w:val="24"/>
        </w:rPr>
        <w:t xml:space="preserve"> activity. </w:t>
      </w:r>
      <w:r w:rsidRPr="00B942CD">
        <w:rPr>
          <w:rFonts w:ascii="Times New Roman" w:eastAsia="SimSun" w:hAnsi="Times New Roman" w:cs="Times New Roman"/>
          <w:iCs/>
          <w:snapToGrid w:val="0"/>
          <w:color w:val="000000" w:themeColor="text1"/>
          <w:sz w:val="24"/>
        </w:rPr>
        <w:t>Nat Rev Cancer.</w:t>
      </w:r>
      <w:r w:rsidRPr="00B942CD">
        <w:rPr>
          <w:rFonts w:ascii="Times New Roman" w:eastAsia="SimSun" w:hAnsi="Times New Roman" w:cs="Times New Roman"/>
          <w:snapToGrid w:val="0"/>
          <w:color w:val="000000" w:themeColor="text1"/>
          <w:sz w:val="24"/>
        </w:rPr>
        <w:t> 2008 Aug;8(8):579.</w:t>
      </w:r>
    </w:p>
    <w:p w14:paraId="61FBBB7A"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Bristow RG, Hill RP. </w:t>
      </w:r>
      <w:r w:rsidRPr="00B942CD">
        <w:rPr>
          <w:rFonts w:ascii="Times New Roman" w:eastAsia="SimSun" w:hAnsi="Times New Roman" w:cs="Times New Roman"/>
          <w:bCs/>
          <w:snapToGrid w:val="0"/>
          <w:color w:val="000000" w:themeColor="text1"/>
          <w:sz w:val="24"/>
        </w:rPr>
        <w:t xml:space="preserve">Hypoxia and metabolism. Hypoxia, DNA repair and genetic instability. </w:t>
      </w:r>
      <w:r w:rsidRPr="00B942CD">
        <w:rPr>
          <w:rFonts w:ascii="Times New Roman" w:eastAsia="SimSun" w:hAnsi="Times New Roman" w:cs="Times New Roman"/>
          <w:iCs/>
          <w:snapToGrid w:val="0"/>
          <w:color w:val="000000" w:themeColor="text1"/>
          <w:sz w:val="24"/>
        </w:rPr>
        <w:t>Nat Rev Cancer.</w:t>
      </w:r>
      <w:r w:rsidRPr="00B942CD">
        <w:rPr>
          <w:rFonts w:ascii="Times New Roman" w:eastAsia="SimSun" w:hAnsi="Times New Roman" w:cs="Times New Roman"/>
          <w:snapToGrid w:val="0"/>
          <w:color w:val="000000" w:themeColor="text1"/>
          <w:sz w:val="24"/>
        </w:rPr>
        <w:t> 2008 Mar;8(3):180-92.</w:t>
      </w:r>
    </w:p>
    <w:p w14:paraId="11542624"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rPr>
        <w:t xml:space="preserve">Chan N, Bristow RG. </w:t>
      </w:r>
      <w:r w:rsidRPr="00B942CD">
        <w:rPr>
          <w:rFonts w:ascii="Times New Roman" w:eastAsia="SimSun" w:hAnsi="Times New Roman" w:cs="Times New Roman"/>
          <w:bCs/>
          <w:snapToGrid w:val="0"/>
          <w:color w:val="000000" w:themeColor="text1"/>
          <w:sz w:val="24"/>
        </w:rPr>
        <w:t xml:space="preserve">"Contextual" synthetic lethality and/or loss of heterozygosity: tumor hypoxia and modification of DNA repair. </w:t>
      </w:r>
      <w:r w:rsidRPr="00B942CD">
        <w:rPr>
          <w:rFonts w:ascii="Times New Roman" w:eastAsia="SimSun" w:hAnsi="Times New Roman" w:cs="Times New Roman"/>
          <w:iCs/>
          <w:snapToGrid w:val="0"/>
          <w:color w:val="000000" w:themeColor="text1"/>
          <w:sz w:val="24"/>
        </w:rPr>
        <w:t>Clin Cancer Res.</w:t>
      </w:r>
      <w:r w:rsidRPr="00B942CD">
        <w:rPr>
          <w:rFonts w:ascii="Times New Roman" w:eastAsia="SimSun" w:hAnsi="Times New Roman" w:cs="Times New Roman"/>
          <w:snapToGrid w:val="0"/>
          <w:color w:val="000000" w:themeColor="text1"/>
          <w:sz w:val="24"/>
        </w:rPr>
        <w:t> 2010 Sep 15;16(18):4553-60.</w:t>
      </w:r>
    </w:p>
    <w:p w14:paraId="6447FF5A" w14:textId="4B3748BA"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pl-PL"/>
        </w:rPr>
        <w:t xml:space="preserve"> Rohwer N, </w:t>
      </w:r>
      <w:hyperlink r:id="rId17" w:history="1">
        <w:r w:rsidRPr="00B942CD">
          <w:rPr>
            <w:rStyle w:val="Hyperlink"/>
            <w:rFonts w:ascii="Times New Roman" w:eastAsia="SimSun" w:hAnsi="Times New Roman"/>
            <w:snapToGrid w:val="0"/>
            <w:color w:val="000000" w:themeColor="text1"/>
            <w:sz w:val="24"/>
            <w:lang w:val="pl-PL"/>
          </w:rPr>
          <w:t>Zasada C</w:t>
        </w:r>
      </w:hyperlink>
      <w:r w:rsidRPr="00B942CD">
        <w:rPr>
          <w:rFonts w:ascii="Times New Roman" w:eastAsia="SimSun" w:hAnsi="Times New Roman" w:cs="Times New Roman"/>
          <w:snapToGrid w:val="0"/>
          <w:color w:val="000000" w:themeColor="text1"/>
          <w:sz w:val="24"/>
          <w:lang w:val="pl-PL"/>
        </w:rPr>
        <w:t xml:space="preserve">, </w:t>
      </w:r>
      <w:hyperlink r:id="rId18" w:history="1">
        <w:r w:rsidRPr="00B942CD">
          <w:rPr>
            <w:rStyle w:val="Hyperlink"/>
            <w:rFonts w:ascii="Times New Roman" w:eastAsia="SimSun" w:hAnsi="Times New Roman"/>
            <w:snapToGrid w:val="0"/>
            <w:color w:val="000000" w:themeColor="text1"/>
            <w:sz w:val="24"/>
            <w:lang w:val="pl-PL"/>
          </w:rPr>
          <w:t>Kempa S</w:t>
        </w:r>
      </w:hyperlink>
      <w:r w:rsidRPr="00B942CD">
        <w:rPr>
          <w:rFonts w:ascii="Times New Roman" w:eastAsia="SimSun" w:hAnsi="Times New Roman" w:cs="Times New Roman"/>
          <w:snapToGrid w:val="0"/>
          <w:color w:val="000000" w:themeColor="text1"/>
          <w:sz w:val="24"/>
          <w:lang w:val="pl-PL"/>
        </w:rPr>
        <w:t xml:space="preserve">, et al. </w:t>
      </w:r>
      <w:r w:rsidRPr="00B942CD">
        <w:rPr>
          <w:rFonts w:ascii="Times New Roman" w:eastAsia="SimSun" w:hAnsi="Times New Roman" w:cs="Times New Roman"/>
          <w:bCs/>
          <w:snapToGrid w:val="0"/>
          <w:color w:val="000000" w:themeColor="text1"/>
          <w:sz w:val="24"/>
        </w:rPr>
        <w:t>The growing complexity of HIF-1α's role in tumorigenesis: DNA repair and beyond.</w:t>
      </w:r>
      <w:r w:rsidRPr="00B942CD">
        <w:rPr>
          <w:rFonts w:ascii="Times New Roman" w:eastAsia="SimSun" w:hAnsi="Times New Roman" w:cs="Times New Roman"/>
          <w:snapToGrid w:val="0"/>
          <w:color w:val="000000" w:themeColor="text1"/>
          <w:sz w:val="24"/>
        </w:rPr>
        <w:t xml:space="preserve"> </w:t>
      </w:r>
      <w:r w:rsidRPr="00B942CD">
        <w:rPr>
          <w:rFonts w:ascii="Times New Roman" w:eastAsia="SimSun" w:hAnsi="Times New Roman" w:cs="Times New Roman"/>
          <w:iCs/>
          <w:snapToGrid w:val="0"/>
          <w:color w:val="000000" w:themeColor="text1"/>
          <w:sz w:val="24"/>
        </w:rPr>
        <w:t>Oncogene.</w:t>
      </w:r>
      <w:r w:rsidRPr="00B942CD">
        <w:rPr>
          <w:rFonts w:ascii="Times New Roman" w:eastAsia="SimSun" w:hAnsi="Times New Roman" w:cs="Times New Roman"/>
          <w:snapToGrid w:val="0"/>
          <w:color w:val="000000" w:themeColor="text1"/>
          <w:sz w:val="24"/>
        </w:rPr>
        <w:t> 2013 Aug 1;32(31):3569-76.</w:t>
      </w:r>
    </w:p>
    <w:p w14:paraId="391C1C74"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it-IT"/>
        </w:rPr>
        <w:t>J.-M. Ferrero, B. Weber</w:t>
      </w:r>
      <w:r w:rsidRPr="00B942CD">
        <w:rPr>
          <w:rFonts w:ascii="Times New Roman" w:eastAsia="SimSun" w:hAnsi="Times New Roman" w:cs="Times New Roman"/>
          <w:snapToGrid w:val="0"/>
          <w:color w:val="000000" w:themeColor="text1"/>
          <w:sz w:val="24"/>
          <w:lang w:val="it-IT"/>
        </w:rPr>
        <w:t>，</w:t>
      </w:r>
      <w:r w:rsidRPr="00B942CD">
        <w:rPr>
          <w:rFonts w:ascii="Times New Roman" w:eastAsia="SimSun" w:hAnsi="Times New Roman" w:cs="Times New Roman"/>
          <w:snapToGrid w:val="0"/>
          <w:color w:val="000000" w:themeColor="text1"/>
          <w:sz w:val="24"/>
          <w:lang w:val="it-IT"/>
        </w:rPr>
        <w:t xml:space="preserve"> et al. </w:t>
      </w:r>
      <w:r w:rsidRPr="00B942CD">
        <w:rPr>
          <w:rFonts w:ascii="Times New Roman" w:eastAsia="SimSun" w:hAnsi="Times New Roman" w:cs="Times New Roman"/>
          <w:snapToGrid w:val="0"/>
          <w:color w:val="000000" w:themeColor="text1"/>
          <w:sz w:val="24"/>
        </w:rPr>
        <w:t>Second-line chemotherapy with pegylated liposomal doxorubicin and carboplatin is highly effective in patients with advanced ovarian cancer in late relapse: a GINECO phase II trial. Annals of Oncology 18: 263–268, 2007</w:t>
      </w:r>
    </w:p>
    <w:p w14:paraId="067C522E" w14:textId="77777777" w:rsidR="004733E0" w:rsidRPr="00B942CD" w:rsidRDefault="004733E0" w:rsidP="004C08C9">
      <w:pPr>
        <w:pStyle w:val="ListParagraph"/>
        <w:widowControl/>
        <w:numPr>
          <w:ilvl w:val="0"/>
          <w:numId w:val="11"/>
        </w:numPr>
        <w:autoSpaceDE/>
        <w:autoSpaceDN/>
        <w:adjustRightInd w:val="0"/>
        <w:snapToGrid w:val="0"/>
        <w:spacing w:beforeLines="50" w:before="120" w:line="288" w:lineRule="auto"/>
        <w:ind w:left="480" w:hangingChars="200" w:hanging="480"/>
        <w:jc w:val="both"/>
        <w:rPr>
          <w:rFonts w:ascii="Times New Roman" w:eastAsia="SimSun" w:hAnsi="Times New Roman" w:cs="Times New Roman"/>
          <w:snapToGrid w:val="0"/>
          <w:color w:val="000000" w:themeColor="text1"/>
          <w:sz w:val="24"/>
        </w:rPr>
      </w:pPr>
      <w:r w:rsidRPr="00B942CD">
        <w:rPr>
          <w:rFonts w:ascii="Times New Roman" w:eastAsia="SimSun" w:hAnsi="Times New Roman" w:cs="Times New Roman"/>
          <w:snapToGrid w:val="0"/>
          <w:color w:val="000000" w:themeColor="text1"/>
          <w:sz w:val="24"/>
          <w:lang w:val="sv-SE"/>
        </w:rPr>
        <w:t xml:space="preserve">Parmar MK, Ledermann JA, et al. </w:t>
      </w:r>
      <w:r w:rsidRPr="00B942CD">
        <w:rPr>
          <w:rFonts w:ascii="Times New Roman" w:eastAsia="SimSun" w:hAnsi="Times New Roman" w:cs="Times New Roman"/>
          <w:snapToGrid w:val="0"/>
          <w:color w:val="000000" w:themeColor="text1"/>
          <w:sz w:val="24"/>
        </w:rPr>
        <w:t>Paclitaxel plus platinum-based chemotherapy versus conventional platinum-based chemotherapy in women with relapsed ovarian cancer: the ICON4/AGO-OVAR-2.2 trial. Lancet. 2003 Jun 21;361(9375):2099-106.</w:t>
      </w:r>
    </w:p>
    <w:p w14:paraId="64932554" w14:textId="6F9788CE" w:rsidR="00A705FB" w:rsidRPr="00B942CD" w:rsidRDefault="00A705FB" w:rsidP="00AA119C">
      <w:pPr>
        <w:widowControl/>
        <w:autoSpaceDE/>
        <w:autoSpaceDN/>
        <w:adjustRightInd w:val="0"/>
        <w:snapToGrid w:val="0"/>
        <w:spacing w:beforeLines="50" w:before="120" w:line="288" w:lineRule="auto"/>
        <w:jc w:val="both"/>
        <w:rPr>
          <w:rFonts w:ascii="Times New Roman" w:eastAsia="SimSun" w:hAnsi="Times New Roman" w:cs="Times New Roman"/>
          <w:snapToGrid w:val="0"/>
          <w:color w:val="000000" w:themeColor="text1"/>
          <w:sz w:val="24"/>
          <w:lang w:eastAsia="zh-CN"/>
        </w:rPr>
      </w:pPr>
      <w:r w:rsidRPr="00B942CD">
        <w:rPr>
          <w:rFonts w:ascii="Times New Roman" w:eastAsia="SimSun" w:hAnsi="Times New Roman" w:cs="Times New Roman"/>
          <w:snapToGrid w:val="0"/>
          <w:color w:val="000000" w:themeColor="text1"/>
          <w:sz w:val="24"/>
          <w:lang w:eastAsia="zh-CN"/>
        </w:rPr>
        <w:br w:type="page"/>
      </w:r>
    </w:p>
    <w:p w14:paraId="678121C3" w14:textId="77777777" w:rsidR="004733E0" w:rsidRPr="00B942CD" w:rsidRDefault="004733E0" w:rsidP="00AA119C">
      <w:pPr>
        <w:pStyle w:val="Heading1"/>
        <w:numPr>
          <w:ilvl w:val="0"/>
          <w:numId w:val="0"/>
        </w:numPr>
        <w:rPr>
          <w:rFonts w:cs="Times New Roman"/>
        </w:rPr>
      </w:pPr>
      <w:bookmarkStart w:id="227" w:name="APPENDIX_1_–_PERFORMANCE_STATUS"/>
      <w:bookmarkStart w:id="228" w:name="_bookmark45"/>
      <w:bookmarkStart w:id="229" w:name="_Toc441344492"/>
      <w:bookmarkStart w:id="230" w:name="_Toc447174536"/>
      <w:bookmarkStart w:id="231" w:name="_Toc488675704"/>
      <w:bookmarkStart w:id="232" w:name="_Toc98358664"/>
      <w:bookmarkStart w:id="233" w:name="_Toc488675706"/>
      <w:bookmarkEnd w:id="227"/>
      <w:bookmarkEnd w:id="228"/>
      <w:r w:rsidRPr="00B942CD">
        <w:rPr>
          <w:rFonts w:cs="Times New Roman"/>
        </w:rPr>
        <w:lastRenderedPageBreak/>
        <w:t>Appendix</w:t>
      </w:r>
      <w:bookmarkEnd w:id="229"/>
      <w:bookmarkEnd w:id="230"/>
      <w:bookmarkEnd w:id="231"/>
      <w:bookmarkEnd w:id="232"/>
    </w:p>
    <w:p w14:paraId="5FF9307F" w14:textId="632348A5" w:rsidR="004733E0" w:rsidRPr="00B942CD" w:rsidRDefault="004733E0" w:rsidP="00AA119C">
      <w:pPr>
        <w:pStyle w:val="Heading2"/>
        <w:numPr>
          <w:ilvl w:val="0"/>
          <w:numId w:val="0"/>
        </w:numPr>
        <w:jc w:val="center"/>
        <w:rPr>
          <w:rFonts w:cs="Times New Roman"/>
        </w:rPr>
      </w:pPr>
      <w:bookmarkStart w:id="234" w:name="_Toc98358665"/>
      <w:r w:rsidRPr="00B942CD">
        <w:rPr>
          <w:rFonts w:cs="Times New Roman"/>
        </w:rPr>
        <w:t>Appendix 1-Eastern Cooperative Oncology Group (ECOG) Performance Status Score</w:t>
      </w:r>
      <w:bookmarkEnd w:id="233"/>
      <w:bookmarkEnd w:id="2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5"/>
        <w:gridCol w:w="1695"/>
      </w:tblGrid>
      <w:tr w:rsidR="00C04058" w:rsidRPr="00B942CD" w14:paraId="0345B2E4" w14:textId="77777777" w:rsidTr="00D53C5E">
        <w:tc>
          <w:tcPr>
            <w:tcW w:w="7650" w:type="dxa"/>
          </w:tcPr>
          <w:p w14:paraId="75C65F3C"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Description of physical status</w:t>
            </w:r>
          </w:p>
        </w:tc>
        <w:tc>
          <w:tcPr>
            <w:tcW w:w="1694" w:type="dxa"/>
          </w:tcPr>
          <w:p w14:paraId="56407E9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rPr>
              <w:t>Score</w:t>
            </w:r>
          </w:p>
        </w:tc>
      </w:tr>
      <w:tr w:rsidR="00C04058" w:rsidRPr="00B942CD" w14:paraId="4E161B18" w14:textId="77777777" w:rsidTr="00D53C5E">
        <w:tc>
          <w:tcPr>
            <w:tcW w:w="7650" w:type="dxa"/>
          </w:tcPr>
          <w:p w14:paraId="23EC793F"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Completely normal, being able to perform work before illness without restriction</w:t>
            </w:r>
          </w:p>
        </w:tc>
        <w:tc>
          <w:tcPr>
            <w:tcW w:w="1694" w:type="dxa"/>
          </w:tcPr>
          <w:p w14:paraId="41F42401"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0</w:t>
            </w:r>
          </w:p>
        </w:tc>
      </w:tr>
      <w:tr w:rsidR="00C04058" w:rsidRPr="00B942CD" w14:paraId="62AD1345" w14:textId="77777777" w:rsidTr="00D53C5E">
        <w:tc>
          <w:tcPr>
            <w:tcW w:w="7650" w:type="dxa"/>
          </w:tcPr>
          <w:p w14:paraId="411A54A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Not able to carry out heavy physical work, but be able to walk around and carry out light physical work such as light housework or office work</w:t>
            </w:r>
          </w:p>
        </w:tc>
        <w:tc>
          <w:tcPr>
            <w:tcW w:w="1694" w:type="dxa"/>
          </w:tcPr>
          <w:p w14:paraId="2A2EDBA5"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1</w:t>
            </w:r>
          </w:p>
        </w:tc>
      </w:tr>
      <w:tr w:rsidR="00C04058" w:rsidRPr="00B942CD" w14:paraId="66DE4F88" w14:textId="77777777" w:rsidTr="00D53C5E">
        <w:tc>
          <w:tcPr>
            <w:tcW w:w="7650" w:type="dxa"/>
          </w:tcPr>
          <w:p w14:paraId="24C91F1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 xml:space="preserve">Can move around, capable of self-care, but unable to carry out any work-related activities, confined to bed for less than 50% of the day </w:t>
            </w:r>
          </w:p>
        </w:tc>
        <w:tc>
          <w:tcPr>
            <w:tcW w:w="1694" w:type="dxa"/>
          </w:tcPr>
          <w:p w14:paraId="52BAE489"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2</w:t>
            </w:r>
          </w:p>
        </w:tc>
      </w:tr>
      <w:tr w:rsidR="00C04058" w:rsidRPr="00B942CD" w14:paraId="671E8DE1" w14:textId="77777777" w:rsidTr="00D53C5E">
        <w:tc>
          <w:tcPr>
            <w:tcW w:w="7650" w:type="dxa"/>
          </w:tcPr>
          <w:p w14:paraId="799E0698"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Self-care can only be achieved to a limited extent, with more than 50% of the daytime spent in bed rest or chair sitting</w:t>
            </w:r>
          </w:p>
        </w:tc>
        <w:tc>
          <w:tcPr>
            <w:tcW w:w="1694" w:type="dxa"/>
          </w:tcPr>
          <w:p w14:paraId="3E6FEE87"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3</w:t>
            </w:r>
          </w:p>
        </w:tc>
      </w:tr>
      <w:tr w:rsidR="00C04058" w:rsidRPr="00B942CD" w14:paraId="4A790A20" w14:textId="77777777" w:rsidTr="00D53C5E">
        <w:tc>
          <w:tcPr>
            <w:tcW w:w="7650" w:type="dxa"/>
          </w:tcPr>
          <w:p w14:paraId="1A35CC9A"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bCs/>
                <w:snapToGrid w:val="0"/>
                <w:color w:val="000000" w:themeColor="text1"/>
                <w:sz w:val="21"/>
                <w:szCs w:val="21"/>
              </w:rPr>
              <w:t>Complete loss of activity of daily living, unable to achieve selfcare, confined to bed or wheelchair</w:t>
            </w:r>
          </w:p>
        </w:tc>
        <w:tc>
          <w:tcPr>
            <w:tcW w:w="1694" w:type="dxa"/>
          </w:tcPr>
          <w:p w14:paraId="1CF6FDF3" w14:textId="77777777" w:rsidR="004733E0" w:rsidRPr="00B942CD"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rPr>
            </w:pPr>
            <w:r w:rsidRPr="00B942CD">
              <w:rPr>
                <w:rFonts w:ascii="Times New Roman" w:eastAsia="SimSun" w:hAnsi="Times New Roman" w:cs="Times New Roman"/>
                <w:snapToGrid w:val="0"/>
                <w:color w:val="000000" w:themeColor="text1"/>
                <w:sz w:val="21"/>
                <w:szCs w:val="21"/>
                <w:lang w:eastAsia="zh-CN"/>
              </w:rPr>
              <w:t>4</w:t>
            </w:r>
          </w:p>
        </w:tc>
      </w:tr>
    </w:tbl>
    <w:p w14:paraId="208645F8" w14:textId="2806092C" w:rsidR="004733E0" w:rsidRPr="00AA119C" w:rsidRDefault="004733E0" w:rsidP="00AA119C">
      <w:pPr>
        <w:widowControl/>
        <w:autoSpaceDE/>
        <w:autoSpaceDN/>
        <w:adjustRightInd w:val="0"/>
        <w:snapToGrid w:val="0"/>
        <w:spacing w:beforeLines="15" w:before="36" w:line="276" w:lineRule="auto"/>
        <w:jc w:val="both"/>
        <w:rPr>
          <w:rFonts w:ascii="Times New Roman" w:eastAsia="SimSun" w:hAnsi="Times New Roman" w:cs="Times New Roman"/>
          <w:snapToGrid w:val="0"/>
          <w:color w:val="000000" w:themeColor="text1"/>
          <w:sz w:val="21"/>
          <w:szCs w:val="21"/>
          <w:u w:color="0000FF"/>
        </w:rPr>
      </w:pPr>
      <w:r w:rsidRPr="00B942CD">
        <w:rPr>
          <w:rFonts w:ascii="Times New Roman" w:eastAsia="SimSun" w:hAnsi="Times New Roman" w:cs="Times New Roman"/>
          <w:snapToGrid w:val="0"/>
          <w:color w:val="000000" w:themeColor="text1"/>
          <w:sz w:val="21"/>
          <w:szCs w:val="21"/>
        </w:rPr>
        <w:t xml:space="preserve">Available at: </w:t>
      </w:r>
      <w:hyperlink r:id="rId19" w:history="1">
        <w:r w:rsidRPr="00B942CD">
          <w:rPr>
            <w:rFonts w:ascii="Times New Roman" w:eastAsia="SimSun" w:hAnsi="Times New Roman" w:cs="Times New Roman"/>
            <w:snapToGrid w:val="0"/>
            <w:color w:val="000000" w:themeColor="text1"/>
            <w:sz w:val="21"/>
            <w:szCs w:val="21"/>
            <w:u w:val="single" w:color="0000FF"/>
          </w:rPr>
          <w:t>http://ecog-acrin.org/resources/ecog-performance-status</w:t>
        </w:r>
      </w:hyperlink>
    </w:p>
    <w:sectPr w:rsidR="004733E0" w:rsidRPr="00AA119C" w:rsidSect="005A1F7B">
      <w:head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B58E" w14:textId="77777777" w:rsidR="0081337A" w:rsidRDefault="0081337A">
      <w:r>
        <w:separator/>
      </w:r>
    </w:p>
  </w:endnote>
  <w:endnote w:type="continuationSeparator" w:id="0">
    <w:p w14:paraId="0E1585BA" w14:textId="77777777" w:rsidR="0081337A" w:rsidRDefault="0081337A">
      <w:r>
        <w:continuationSeparator/>
      </w:r>
    </w:p>
  </w:endnote>
  <w:endnote w:type="continuationNotice" w:id="1">
    <w:p w14:paraId="2C556ACA" w14:textId="77777777" w:rsidR="0081337A" w:rsidRDefault="00813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Wingdings-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F680" w14:textId="77777777" w:rsidR="00C4714A" w:rsidRPr="00D53C5E" w:rsidRDefault="00C4714A" w:rsidP="00D53C5E">
    <w:pPr>
      <w:pStyle w:val="CoverTitle"/>
      <w:pBdr>
        <w:bottom w:val="none" w:sz="0" w:space="0" w:color="auto"/>
      </w:pBdr>
      <w:suppressAutoHyphens w:val="0"/>
      <w:adjustRightInd w:val="0"/>
      <w:snapToGrid w:val="0"/>
      <w:spacing w:after="0"/>
      <w:rPr>
        <w:rFonts w:ascii="Times New Roman" w:hAnsi="Times New Roman"/>
        <w:b w:val="0"/>
        <w:snapToGrid w:val="0"/>
        <w:color w:val="000000" w:themeColor="text1"/>
        <w:sz w:val="21"/>
        <w:szCs w:val="21"/>
      </w:rPr>
    </w:pPr>
    <w:r w:rsidRPr="00D53C5E">
      <w:rPr>
        <w:rFonts w:ascii="Times New Roman" w:hAnsi="Times New Roman"/>
        <w:b w:val="0"/>
        <w:snapToGrid w:val="0"/>
        <w:color w:val="000000" w:themeColor="text1"/>
        <w:sz w:val="21"/>
        <w:szCs w:val="21"/>
      </w:rPr>
      <w:fldChar w:fldCharType="begin"/>
    </w:r>
    <w:r w:rsidRPr="00D53C5E">
      <w:rPr>
        <w:rFonts w:ascii="Times New Roman" w:hAnsi="Times New Roman"/>
        <w:b w:val="0"/>
        <w:snapToGrid w:val="0"/>
        <w:color w:val="000000" w:themeColor="text1"/>
        <w:sz w:val="21"/>
        <w:szCs w:val="21"/>
      </w:rPr>
      <w:instrText>PAGE   \* MERGEFORMAT</w:instrText>
    </w:r>
    <w:r w:rsidRPr="00D53C5E">
      <w:rPr>
        <w:rFonts w:ascii="Times New Roman" w:hAnsi="Times New Roman"/>
        <w:b w:val="0"/>
        <w:snapToGrid w:val="0"/>
        <w:color w:val="000000" w:themeColor="text1"/>
        <w:sz w:val="21"/>
        <w:szCs w:val="21"/>
      </w:rPr>
      <w:fldChar w:fldCharType="separate"/>
    </w:r>
    <w:r w:rsidRPr="00D53C5E">
      <w:rPr>
        <w:rFonts w:ascii="Times New Roman" w:hAnsi="Times New Roman"/>
        <w:b w:val="0"/>
        <w:snapToGrid w:val="0"/>
        <w:color w:val="000000" w:themeColor="text1"/>
        <w:sz w:val="21"/>
        <w:szCs w:val="21"/>
      </w:rPr>
      <w:t>3</w:t>
    </w:r>
    <w:r w:rsidRPr="00D53C5E">
      <w:rPr>
        <w:rFonts w:ascii="Times New Roman" w:hAnsi="Times New Roman"/>
        <w:b w:val="0"/>
        <w:snapToGrid w:val="0"/>
        <w:color w:val="000000" w:themeColor="text1"/>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1ED4" w14:textId="77777777" w:rsidR="00C4714A" w:rsidRPr="00D53C5E" w:rsidRDefault="00C4714A" w:rsidP="00A705FB">
    <w:pPr>
      <w:pStyle w:val="CoverTitle"/>
      <w:pBdr>
        <w:bottom w:val="none" w:sz="0" w:space="0" w:color="auto"/>
      </w:pBdr>
      <w:suppressAutoHyphens w:val="0"/>
      <w:adjustRightInd w:val="0"/>
      <w:snapToGrid w:val="0"/>
      <w:spacing w:after="0"/>
      <w:jc w:val="right"/>
      <w:rPr>
        <w:rFonts w:ascii="Times New Roman" w:hAnsi="Times New Roman"/>
        <w:b w:val="0"/>
        <w:snapToGrid w:val="0"/>
        <w:color w:val="000000" w:themeColor="text1"/>
        <w:sz w:val="21"/>
        <w:szCs w:val="21"/>
      </w:rPr>
    </w:pPr>
    <w:r w:rsidRPr="00D53C5E">
      <w:rPr>
        <w:rFonts w:ascii="Times New Roman" w:hAnsi="Times New Roman"/>
        <w:b w:val="0"/>
        <w:snapToGrid w:val="0"/>
        <w:color w:val="000000" w:themeColor="text1"/>
        <w:sz w:val="21"/>
        <w:szCs w:val="21"/>
      </w:rPr>
      <w:fldChar w:fldCharType="begin"/>
    </w:r>
    <w:r w:rsidRPr="00D53C5E">
      <w:rPr>
        <w:rFonts w:ascii="Times New Roman" w:hAnsi="Times New Roman"/>
        <w:b w:val="0"/>
        <w:snapToGrid w:val="0"/>
        <w:color w:val="000000" w:themeColor="text1"/>
        <w:sz w:val="21"/>
        <w:szCs w:val="21"/>
      </w:rPr>
      <w:instrText>PAGE   \* MERGEFORMAT</w:instrText>
    </w:r>
    <w:r w:rsidRPr="00D53C5E">
      <w:rPr>
        <w:rFonts w:ascii="Times New Roman" w:hAnsi="Times New Roman"/>
        <w:b w:val="0"/>
        <w:snapToGrid w:val="0"/>
        <w:color w:val="000000" w:themeColor="text1"/>
        <w:sz w:val="21"/>
        <w:szCs w:val="21"/>
      </w:rPr>
      <w:fldChar w:fldCharType="separate"/>
    </w:r>
    <w:r w:rsidRPr="00D53C5E">
      <w:rPr>
        <w:rFonts w:ascii="Times New Roman" w:hAnsi="Times New Roman"/>
        <w:b w:val="0"/>
        <w:snapToGrid w:val="0"/>
        <w:color w:val="000000" w:themeColor="text1"/>
        <w:sz w:val="21"/>
        <w:szCs w:val="21"/>
      </w:rPr>
      <w:t>3</w:t>
    </w:r>
    <w:r w:rsidRPr="00D53C5E">
      <w:rPr>
        <w:rFonts w:ascii="Times New Roman" w:hAnsi="Times New Roman"/>
        <w:b w:val="0"/>
        <w:snapToGrid w:val="0"/>
        <w:color w:val="000000" w:themeColor="text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79A2" w14:textId="77777777" w:rsidR="0081337A" w:rsidRDefault="0081337A">
      <w:r>
        <w:separator/>
      </w:r>
    </w:p>
  </w:footnote>
  <w:footnote w:type="continuationSeparator" w:id="0">
    <w:p w14:paraId="7092AD29" w14:textId="77777777" w:rsidR="0081337A" w:rsidRDefault="0081337A">
      <w:r>
        <w:continuationSeparator/>
      </w:r>
    </w:p>
  </w:footnote>
  <w:footnote w:type="continuationNotice" w:id="1">
    <w:p w14:paraId="07EFFC36" w14:textId="77777777" w:rsidR="0081337A" w:rsidRDefault="00813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EDC0" w14:textId="77777777" w:rsidR="00C4714A" w:rsidRPr="00D53C5E" w:rsidRDefault="00C4714A" w:rsidP="00D53C5E">
    <w:pPr>
      <w:pStyle w:val="CoverTitle"/>
      <w:pBdr>
        <w:bottom w:val="none" w:sz="0" w:space="0" w:color="auto"/>
      </w:pBdr>
      <w:suppressAutoHyphens w:val="0"/>
      <w:adjustRightInd w:val="0"/>
      <w:snapToGrid w:val="0"/>
      <w:spacing w:after="0"/>
      <w:jc w:val="both"/>
      <w:rPr>
        <w:rFonts w:ascii="Times New Roman" w:hAnsi="Times New Roman"/>
        <w:b w:val="0"/>
        <w:snapToGrid w:val="0"/>
        <w:color w:val="000000" w:themeColor="text1"/>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AAD5" w14:textId="77777777" w:rsidR="00C4714A" w:rsidRDefault="00C4714A" w:rsidP="00CA5AF8">
    <w:pPr>
      <w:pStyle w:val="BodyText"/>
      <w:spacing w:line="14" w:lineRule="auto"/>
      <w:jc w:val="both"/>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2718" w14:textId="77777777" w:rsidR="00C4714A" w:rsidRDefault="00C4714A" w:rsidP="00CA5AF8">
    <w:pPr>
      <w:pStyle w:val="BodyText"/>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C68654"/>
    <w:lvl w:ilvl="0">
      <w:start w:val="1"/>
      <w:numFmt w:val="decimal"/>
      <w:pStyle w:val="ListNumber5"/>
      <w:lvlText w:val="%1."/>
      <w:lvlJc w:val="left"/>
      <w:pPr>
        <w:tabs>
          <w:tab w:val="num" w:pos="2040"/>
        </w:tabs>
        <w:ind w:leftChars="800" w:left="2040" w:hangingChars="200" w:hanging="360"/>
      </w:pPr>
    </w:lvl>
  </w:abstractNum>
  <w:abstractNum w:abstractNumId="1" w15:restartNumberingAfterBreak="0">
    <w:nsid w:val="FFFFFF7D"/>
    <w:multiLevelType w:val="singleLevel"/>
    <w:tmpl w:val="A93E4636"/>
    <w:lvl w:ilvl="0">
      <w:start w:val="1"/>
      <w:numFmt w:val="decimal"/>
      <w:pStyle w:val="ListNumber4"/>
      <w:lvlText w:val="%1."/>
      <w:lvlJc w:val="left"/>
      <w:pPr>
        <w:tabs>
          <w:tab w:val="num" w:pos="1620"/>
        </w:tabs>
        <w:ind w:leftChars="600" w:left="1620" w:hangingChars="200" w:hanging="360"/>
      </w:pPr>
    </w:lvl>
  </w:abstractNum>
  <w:abstractNum w:abstractNumId="2" w15:restartNumberingAfterBreak="0">
    <w:nsid w:val="FFFFFF7E"/>
    <w:multiLevelType w:val="singleLevel"/>
    <w:tmpl w:val="CE9CCDB4"/>
    <w:lvl w:ilvl="0">
      <w:start w:val="1"/>
      <w:numFmt w:val="decimal"/>
      <w:pStyle w:val="ListNumber3"/>
      <w:lvlText w:val="%1."/>
      <w:lvlJc w:val="left"/>
      <w:pPr>
        <w:tabs>
          <w:tab w:val="num" w:pos="1200"/>
        </w:tabs>
        <w:ind w:leftChars="400" w:left="1200" w:hangingChars="200" w:hanging="360"/>
      </w:pPr>
    </w:lvl>
  </w:abstractNum>
  <w:abstractNum w:abstractNumId="3" w15:restartNumberingAfterBreak="0">
    <w:nsid w:val="FFFFFF7F"/>
    <w:multiLevelType w:val="singleLevel"/>
    <w:tmpl w:val="CEC2A8A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B2AE74A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EE2D40E"/>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0F025B6"/>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40A4050"/>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814DE6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D0422B4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538E0266"/>
    <w:lvl w:ilvl="0">
      <w:numFmt w:val="bullet"/>
      <w:lvlText w:val="*"/>
      <w:lvlJc w:val="left"/>
    </w:lvl>
  </w:abstractNum>
  <w:abstractNum w:abstractNumId="11" w15:restartNumberingAfterBreak="0">
    <w:nsid w:val="004E5415"/>
    <w:multiLevelType w:val="hybridMultilevel"/>
    <w:tmpl w:val="BC409558"/>
    <w:lvl w:ilvl="0" w:tplc="C8B2CD1C">
      <w:start w:val="1"/>
      <w:numFmt w:val="decimal"/>
      <w:lvlText w:val="%1."/>
      <w:lvlJc w:val="left"/>
      <w:pPr>
        <w:ind w:left="1140" w:hanging="360"/>
      </w:pPr>
      <w:rPr>
        <w:rFonts w:ascii="Times New Roman" w:eastAsia="SimSun" w:hAnsi="Times New Roman" w:cs="Arial" w:hint="default"/>
        <w:spacing w:val="0"/>
        <w:w w:val="100"/>
        <w:sz w:val="24"/>
        <w:szCs w:val="24"/>
      </w:rPr>
    </w:lvl>
    <w:lvl w:ilvl="1" w:tplc="5B183EB8">
      <w:numFmt w:val="bullet"/>
      <w:lvlText w:val="•"/>
      <w:lvlJc w:val="left"/>
      <w:pPr>
        <w:ind w:left="2008" w:hanging="360"/>
      </w:pPr>
      <w:rPr>
        <w:rFonts w:hint="default"/>
      </w:rPr>
    </w:lvl>
    <w:lvl w:ilvl="2" w:tplc="773CDD1A">
      <w:numFmt w:val="bullet"/>
      <w:lvlText w:val="•"/>
      <w:lvlJc w:val="left"/>
      <w:pPr>
        <w:ind w:left="2876" w:hanging="360"/>
      </w:pPr>
      <w:rPr>
        <w:rFonts w:hint="default"/>
      </w:rPr>
    </w:lvl>
    <w:lvl w:ilvl="3" w:tplc="B52A881E">
      <w:numFmt w:val="bullet"/>
      <w:lvlText w:val="•"/>
      <w:lvlJc w:val="left"/>
      <w:pPr>
        <w:ind w:left="3744" w:hanging="360"/>
      </w:pPr>
      <w:rPr>
        <w:rFonts w:hint="default"/>
      </w:rPr>
    </w:lvl>
    <w:lvl w:ilvl="4" w:tplc="733068FA">
      <w:numFmt w:val="bullet"/>
      <w:lvlText w:val="•"/>
      <w:lvlJc w:val="left"/>
      <w:pPr>
        <w:ind w:left="4612" w:hanging="360"/>
      </w:pPr>
      <w:rPr>
        <w:rFonts w:hint="default"/>
      </w:rPr>
    </w:lvl>
    <w:lvl w:ilvl="5" w:tplc="D444CC76">
      <w:numFmt w:val="bullet"/>
      <w:lvlText w:val="•"/>
      <w:lvlJc w:val="left"/>
      <w:pPr>
        <w:ind w:left="5480" w:hanging="360"/>
      </w:pPr>
      <w:rPr>
        <w:rFonts w:hint="default"/>
      </w:rPr>
    </w:lvl>
    <w:lvl w:ilvl="6" w:tplc="606A20D4">
      <w:numFmt w:val="bullet"/>
      <w:lvlText w:val="•"/>
      <w:lvlJc w:val="left"/>
      <w:pPr>
        <w:ind w:left="6348" w:hanging="360"/>
      </w:pPr>
      <w:rPr>
        <w:rFonts w:hint="default"/>
      </w:rPr>
    </w:lvl>
    <w:lvl w:ilvl="7" w:tplc="DC30C4B2">
      <w:numFmt w:val="bullet"/>
      <w:lvlText w:val="•"/>
      <w:lvlJc w:val="left"/>
      <w:pPr>
        <w:ind w:left="7216" w:hanging="360"/>
      </w:pPr>
      <w:rPr>
        <w:rFonts w:hint="default"/>
      </w:rPr>
    </w:lvl>
    <w:lvl w:ilvl="8" w:tplc="939AFCE4">
      <w:numFmt w:val="bullet"/>
      <w:lvlText w:val="•"/>
      <w:lvlJc w:val="left"/>
      <w:pPr>
        <w:ind w:left="8084" w:hanging="360"/>
      </w:pPr>
      <w:rPr>
        <w:rFonts w:hint="default"/>
      </w:rPr>
    </w:lvl>
  </w:abstractNum>
  <w:abstractNum w:abstractNumId="12" w15:restartNumberingAfterBreak="0">
    <w:nsid w:val="08C47C87"/>
    <w:multiLevelType w:val="hybridMultilevel"/>
    <w:tmpl w:val="519C3E3A"/>
    <w:lvl w:ilvl="0" w:tplc="385229FA">
      <w:start w:val="5"/>
      <w:numFmt w:val="bullet"/>
      <w:lvlText w:val="–"/>
      <w:lvlJc w:val="left"/>
      <w:pPr>
        <w:ind w:left="1271" w:hanging="420"/>
      </w:pPr>
      <w:rPr>
        <w:rFonts w:ascii="SimSun" w:eastAsia="SimSun" w:hAnsi="SimSun" w:hint="eastAsia"/>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3" w15:restartNumberingAfterBreak="0">
    <w:nsid w:val="12340121"/>
    <w:multiLevelType w:val="hybridMultilevel"/>
    <w:tmpl w:val="E7E0320E"/>
    <w:lvl w:ilvl="0" w:tplc="385229FA">
      <w:start w:val="5"/>
      <w:numFmt w:val="bullet"/>
      <w:lvlText w:val="–"/>
      <w:lvlJc w:val="left"/>
      <w:pPr>
        <w:ind w:left="1271" w:hanging="420"/>
      </w:pPr>
      <w:rPr>
        <w:rFonts w:ascii="SimSun" w:eastAsia="SimSun" w:hAnsi="SimSun" w:hint="eastAsia"/>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13BB1C6E"/>
    <w:multiLevelType w:val="hybridMultilevel"/>
    <w:tmpl w:val="2FFEA8A8"/>
    <w:lvl w:ilvl="0" w:tplc="385229FA">
      <w:start w:val="5"/>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0676D0"/>
    <w:multiLevelType w:val="multilevel"/>
    <w:tmpl w:val="2AB836E0"/>
    <w:lvl w:ilvl="0">
      <w:start w:val="1"/>
      <w:numFmt w:val="decimal"/>
      <w:pStyle w:val="table1"/>
      <w:isLgl/>
      <w:lvlText w:val="表 %1."/>
      <w:lvlJc w:val="left"/>
      <w:pPr>
        <w:tabs>
          <w:tab w:val="num" w:pos="432"/>
        </w:tabs>
      </w:pPr>
      <w:rPr>
        <w:rFonts w:ascii="Times New Roman" w:eastAsia="SimSun" w:hAnsi="Times New Roman" w:cs="Times New Roman" w:hint="default"/>
        <w:b/>
        <w:bCs w:val="0"/>
        <w:i w:val="0"/>
        <w:iCs w:val="0"/>
        <w:caps w:val="0"/>
        <w:smallCaps w:val="0"/>
        <w:strike w:val="0"/>
        <w:dstrike w:val="0"/>
        <w:vanish w:val="0"/>
        <w:color w:val="auto"/>
        <w:spacing w:val="0"/>
        <w:kern w:val="0"/>
        <w:position w:val="0"/>
        <w:sz w:val="24"/>
        <w:u w:val="none"/>
        <w:effect w:val="none"/>
        <w:vertAlign w:val="baseline"/>
      </w:rPr>
    </w:lvl>
    <w:lvl w:ilvl="1">
      <w:start w:val="1"/>
      <w:numFmt w:val="decimal"/>
      <w:lvlText w:val="%1.%2"/>
      <w:lvlJc w:val="left"/>
      <w:pPr>
        <w:tabs>
          <w:tab w:val="num" w:pos="576"/>
        </w:tabs>
        <w:ind w:left="576" w:hanging="576"/>
      </w:pPr>
      <w:rPr>
        <w:rFonts w:cs="Times New Roman" w:hint="eastAsia"/>
      </w:rPr>
    </w:lvl>
    <w:lvl w:ilvl="2">
      <w:start w:val="1"/>
      <w:numFmt w:val="decimal"/>
      <w:isLgl/>
      <w:lvlText w:val="%1.%2.%3"/>
      <w:lvlJc w:val="left"/>
      <w:pPr>
        <w:tabs>
          <w:tab w:val="num" w:pos="720"/>
        </w:tabs>
        <w:ind w:left="720" w:hanging="720"/>
      </w:pPr>
      <w:rPr>
        <w:rFonts w:cs="Times New Roman" w:hint="eastAsia"/>
      </w:rPr>
    </w:lvl>
    <w:lvl w:ilvl="3">
      <w:start w:val="1"/>
      <w:numFmt w:val="decimal"/>
      <w:lvlText w:val="%1.%2.%3.%4"/>
      <w:lvlJc w:val="left"/>
      <w:pPr>
        <w:tabs>
          <w:tab w:val="num" w:pos="864"/>
        </w:tabs>
        <w:ind w:left="864" w:hanging="864"/>
      </w:pPr>
      <w:rPr>
        <w:rFonts w:cs="Times New Roman" w:hint="eastAsia"/>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6" w15:restartNumberingAfterBreak="0">
    <w:nsid w:val="1DF862AB"/>
    <w:multiLevelType w:val="hybridMultilevel"/>
    <w:tmpl w:val="B31CC61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1EBC4908"/>
    <w:multiLevelType w:val="multilevel"/>
    <w:tmpl w:val="6C28BC7A"/>
    <w:lvl w:ilvl="0">
      <w:start w:val="2"/>
      <w:numFmt w:val="decimal"/>
      <w:lvlText w:val="%1"/>
      <w:lvlJc w:val="left"/>
      <w:pPr>
        <w:ind w:left="996" w:hanging="576"/>
      </w:pPr>
      <w:rPr>
        <w:rFonts w:cs="Times New Roman" w:hint="default"/>
      </w:rPr>
    </w:lvl>
    <w:lvl w:ilvl="1">
      <w:start w:val="1"/>
      <w:numFmt w:val="decimal"/>
      <w:lvlText w:val="%1.%2"/>
      <w:lvlJc w:val="left"/>
      <w:pPr>
        <w:ind w:left="996" w:hanging="576"/>
      </w:pPr>
      <w:rPr>
        <w:rFonts w:ascii="Arial" w:eastAsia="Times New Roman" w:hAnsi="Arial" w:cs="Arial" w:hint="default"/>
        <w:b/>
        <w:bCs/>
        <w:spacing w:val="-9"/>
        <w:w w:val="99"/>
        <w:sz w:val="24"/>
        <w:szCs w:val="24"/>
      </w:rPr>
    </w:lvl>
    <w:lvl w:ilvl="2">
      <w:numFmt w:val="bullet"/>
      <w:lvlText w:val="–"/>
      <w:lvlJc w:val="left"/>
      <w:pPr>
        <w:ind w:left="1140" w:hanging="360"/>
      </w:pPr>
      <w:rPr>
        <w:rFonts w:ascii="Arial" w:eastAsia="Times New Roman" w:hAnsi="Arial" w:hint="default"/>
        <w:w w:val="100"/>
        <w:sz w:val="24"/>
      </w:rPr>
    </w:lvl>
    <w:lvl w:ilvl="3">
      <w:numFmt w:val="bullet"/>
      <w:lvlText w:val="•"/>
      <w:lvlJc w:val="left"/>
      <w:pPr>
        <w:ind w:left="2540" w:hanging="360"/>
      </w:pPr>
      <w:rPr>
        <w:rFonts w:hint="default"/>
      </w:rPr>
    </w:lvl>
    <w:lvl w:ilvl="4">
      <w:numFmt w:val="bullet"/>
      <w:lvlText w:val="•"/>
      <w:lvlJc w:val="left"/>
      <w:pPr>
        <w:ind w:left="3580" w:hanging="360"/>
      </w:pPr>
      <w:rPr>
        <w:rFonts w:hint="default"/>
      </w:rPr>
    </w:lvl>
    <w:lvl w:ilvl="5">
      <w:numFmt w:val="bullet"/>
      <w:lvlText w:val="•"/>
      <w:lvlJc w:val="left"/>
      <w:pPr>
        <w:ind w:left="4620" w:hanging="360"/>
      </w:pPr>
      <w:rPr>
        <w:rFonts w:hint="default"/>
      </w:rPr>
    </w:lvl>
    <w:lvl w:ilvl="6">
      <w:numFmt w:val="bullet"/>
      <w:lvlText w:val="•"/>
      <w:lvlJc w:val="left"/>
      <w:pPr>
        <w:ind w:left="5660" w:hanging="360"/>
      </w:pPr>
      <w:rPr>
        <w:rFonts w:hint="default"/>
      </w:rPr>
    </w:lvl>
    <w:lvl w:ilvl="7">
      <w:numFmt w:val="bullet"/>
      <w:lvlText w:val="•"/>
      <w:lvlJc w:val="left"/>
      <w:pPr>
        <w:ind w:left="6700" w:hanging="360"/>
      </w:pPr>
      <w:rPr>
        <w:rFonts w:hint="default"/>
      </w:rPr>
    </w:lvl>
    <w:lvl w:ilvl="8">
      <w:numFmt w:val="bullet"/>
      <w:lvlText w:val="•"/>
      <w:lvlJc w:val="left"/>
      <w:pPr>
        <w:ind w:left="7740" w:hanging="360"/>
      </w:pPr>
      <w:rPr>
        <w:rFonts w:hint="default"/>
      </w:rPr>
    </w:lvl>
  </w:abstractNum>
  <w:abstractNum w:abstractNumId="18" w15:restartNumberingAfterBreak="0">
    <w:nsid w:val="21DE6B6E"/>
    <w:multiLevelType w:val="hybridMultilevel"/>
    <w:tmpl w:val="83745E40"/>
    <w:lvl w:ilvl="0" w:tplc="25EE711C">
      <w:start w:val="5"/>
      <w:numFmt w:val="bullet"/>
      <w:lvlText w:val="–"/>
      <w:lvlJc w:val="left"/>
      <w:pPr>
        <w:ind w:left="1140" w:hanging="360"/>
      </w:pPr>
      <w:rPr>
        <w:rFonts w:ascii="SimSun" w:eastAsia="SimSun" w:hAnsi="SimSun" w:hint="eastAsia"/>
        <w:w w:val="100"/>
        <w:sz w:val="24"/>
      </w:rPr>
    </w:lvl>
    <w:lvl w:ilvl="1" w:tplc="9E06E91E">
      <w:numFmt w:val="bullet"/>
      <w:lvlText w:val="•"/>
      <w:lvlJc w:val="left"/>
      <w:pPr>
        <w:ind w:left="2008" w:hanging="360"/>
      </w:pPr>
      <w:rPr>
        <w:rFonts w:hint="default"/>
      </w:rPr>
    </w:lvl>
    <w:lvl w:ilvl="2" w:tplc="D7D82312">
      <w:numFmt w:val="bullet"/>
      <w:lvlText w:val="•"/>
      <w:lvlJc w:val="left"/>
      <w:pPr>
        <w:ind w:left="2876" w:hanging="360"/>
      </w:pPr>
      <w:rPr>
        <w:rFonts w:hint="default"/>
      </w:rPr>
    </w:lvl>
    <w:lvl w:ilvl="3" w:tplc="B73C1F7C">
      <w:numFmt w:val="bullet"/>
      <w:lvlText w:val="•"/>
      <w:lvlJc w:val="left"/>
      <w:pPr>
        <w:ind w:left="3744" w:hanging="360"/>
      </w:pPr>
      <w:rPr>
        <w:rFonts w:hint="default"/>
      </w:rPr>
    </w:lvl>
    <w:lvl w:ilvl="4" w:tplc="3A345A34">
      <w:numFmt w:val="bullet"/>
      <w:lvlText w:val="•"/>
      <w:lvlJc w:val="left"/>
      <w:pPr>
        <w:ind w:left="4612" w:hanging="360"/>
      </w:pPr>
      <w:rPr>
        <w:rFonts w:hint="default"/>
      </w:rPr>
    </w:lvl>
    <w:lvl w:ilvl="5" w:tplc="F5FC49EE">
      <w:numFmt w:val="bullet"/>
      <w:lvlText w:val="•"/>
      <w:lvlJc w:val="left"/>
      <w:pPr>
        <w:ind w:left="5480" w:hanging="360"/>
      </w:pPr>
      <w:rPr>
        <w:rFonts w:hint="default"/>
      </w:rPr>
    </w:lvl>
    <w:lvl w:ilvl="6" w:tplc="AC1AD12A">
      <w:numFmt w:val="bullet"/>
      <w:lvlText w:val="•"/>
      <w:lvlJc w:val="left"/>
      <w:pPr>
        <w:ind w:left="6348" w:hanging="360"/>
      </w:pPr>
      <w:rPr>
        <w:rFonts w:hint="default"/>
      </w:rPr>
    </w:lvl>
    <w:lvl w:ilvl="7" w:tplc="D276B6CA">
      <w:numFmt w:val="bullet"/>
      <w:lvlText w:val="•"/>
      <w:lvlJc w:val="left"/>
      <w:pPr>
        <w:ind w:left="7216" w:hanging="360"/>
      </w:pPr>
      <w:rPr>
        <w:rFonts w:hint="default"/>
      </w:rPr>
    </w:lvl>
    <w:lvl w:ilvl="8" w:tplc="F020AD40">
      <w:numFmt w:val="bullet"/>
      <w:lvlText w:val="•"/>
      <w:lvlJc w:val="left"/>
      <w:pPr>
        <w:ind w:left="8084" w:hanging="360"/>
      </w:pPr>
      <w:rPr>
        <w:rFonts w:hint="default"/>
      </w:rPr>
    </w:lvl>
  </w:abstractNum>
  <w:abstractNum w:abstractNumId="19" w15:restartNumberingAfterBreak="0">
    <w:nsid w:val="22BD734A"/>
    <w:multiLevelType w:val="hybridMultilevel"/>
    <w:tmpl w:val="1F94C19C"/>
    <w:lvl w:ilvl="0" w:tplc="385229FA">
      <w:start w:val="5"/>
      <w:numFmt w:val="bullet"/>
      <w:lvlText w:val="–"/>
      <w:lvlJc w:val="left"/>
      <w:pPr>
        <w:ind w:left="1416" w:hanging="420"/>
      </w:pPr>
      <w:rPr>
        <w:rFonts w:ascii="SimSun" w:eastAsia="SimSun" w:hAnsi="SimSun" w:hint="eastAsia"/>
      </w:rPr>
    </w:lvl>
    <w:lvl w:ilvl="1" w:tplc="0D1E9F8E">
      <w:start w:val="1"/>
      <w:numFmt w:val="decimal"/>
      <w:lvlText w:val="(%2)"/>
      <w:lvlJc w:val="left"/>
      <w:pPr>
        <w:ind w:left="1776" w:hanging="360"/>
      </w:pPr>
      <w:rPr>
        <w:rFonts w:hint="default"/>
      </w:rPr>
    </w:lvl>
    <w:lvl w:ilvl="2" w:tplc="0409001B" w:tentative="1">
      <w:start w:val="1"/>
      <w:numFmt w:val="lowerRoman"/>
      <w:lvlText w:val="%3."/>
      <w:lvlJc w:val="right"/>
      <w:pPr>
        <w:ind w:left="2256" w:hanging="420"/>
      </w:pPr>
      <w:rPr>
        <w:rFonts w:cs="Times New Roman"/>
      </w:rPr>
    </w:lvl>
    <w:lvl w:ilvl="3" w:tplc="0409000F" w:tentative="1">
      <w:start w:val="1"/>
      <w:numFmt w:val="decimal"/>
      <w:lvlText w:val="%4."/>
      <w:lvlJc w:val="left"/>
      <w:pPr>
        <w:ind w:left="2676" w:hanging="420"/>
      </w:pPr>
      <w:rPr>
        <w:rFonts w:cs="Times New Roman"/>
      </w:rPr>
    </w:lvl>
    <w:lvl w:ilvl="4" w:tplc="04090019" w:tentative="1">
      <w:start w:val="1"/>
      <w:numFmt w:val="lowerLetter"/>
      <w:lvlText w:val="%5)"/>
      <w:lvlJc w:val="left"/>
      <w:pPr>
        <w:ind w:left="3096" w:hanging="420"/>
      </w:pPr>
      <w:rPr>
        <w:rFonts w:cs="Times New Roman"/>
      </w:rPr>
    </w:lvl>
    <w:lvl w:ilvl="5" w:tplc="0409001B" w:tentative="1">
      <w:start w:val="1"/>
      <w:numFmt w:val="lowerRoman"/>
      <w:lvlText w:val="%6."/>
      <w:lvlJc w:val="right"/>
      <w:pPr>
        <w:ind w:left="3516" w:hanging="420"/>
      </w:pPr>
      <w:rPr>
        <w:rFonts w:cs="Times New Roman"/>
      </w:rPr>
    </w:lvl>
    <w:lvl w:ilvl="6" w:tplc="0409000F" w:tentative="1">
      <w:start w:val="1"/>
      <w:numFmt w:val="decimal"/>
      <w:lvlText w:val="%7."/>
      <w:lvlJc w:val="left"/>
      <w:pPr>
        <w:ind w:left="3936" w:hanging="420"/>
      </w:pPr>
      <w:rPr>
        <w:rFonts w:cs="Times New Roman"/>
      </w:rPr>
    </w:lvl>
    <w:lvl w:ilvl="7" w:tplc="04090019" w:tentative="1">
      <w:start w:val="1"/>
      <w:numFmt w:val="lowerLetter"/>
      <w:lvlText w:val="%8)"/>
      <w:lvlJc w:val="left"/>
      <w:pPr>
        <w:ind w:left="4356" w:hanging="420"/>
      </w:pPr>
      <w:rPr>
        <w:rFonts w:cs="Times New Roman"/>
      </w:rPr>
    </w:lvl>
    <w:lvl w:ilvl="8" w:tplc="0409001B" w:tentative="1">
      <w:start w:val="1"/>
      <w:numFmt w:val="lowerRoman"/>
      <w:lvlText w:val="%9."/>
      <w:lvlJc w:val="right"/>
      <w:pPr>
        <w:ind w:left="4776" w:hanging="420"/>
      </w:pPr>
      <w:rPr>
        <w:rFonts w:cs="Times New Roman"/>
      </w:rPr>
    </w:lvl>
  </w:abstractNum>
  <w:abstractNum w:abstractNumId="20" w15:restartNumberingAfterBreak="0">
    <w:nsid w:val="258C334A"/>
    <w:multiLevelType w:val="hybridMultilevel"/>
    <w:tmpl w:val="57CA6FD8"/>
    <w:lvl w:ilvl="0" w:tplc="4FDAD428">
      <w:start w:val="1"/>
      <w:numFmt w:val="decimal"/>
      <w:lvlText w:val="%1."/>
      <w:lvlJc w:val="left"/>
      <w:pPr>
        <w:ind w:left="1140" w:hanging="360"/>
      </w:pPr>
      <w:rPr>
        <w:rFonts w:ascii="Times New Roman" w:eastAsia="Times New Roman" w:hAnsi="Times New Roman" w:cs="Times New Roman" w:hint="default"/>
        <w:spacing w:val="0"/>
        <w:w w:val="100"/>
        <w:sz w:val="24"/>
        <w:szCs w:val="24"/>
      </w:rPr>
    </w:lvl>
    <w:lvl w:ilvl="1" w:tplc="9E9A2250">
      <w:numFmt w:val="bullet"/>
      <w:lvlText w:val="•"/>
      <w:lvlJc w:val="left"/>
      <w:pPr>
        <w:ind w:left="2008" w:hanging="360"/>
      </w:pPr>
      <w:rPr>
        <w:rFonts w:hint="default"/>
      </w:rPr>
    </w:lvl>
    <w:lvl w:ilvl="2" w:tplc="A46087BE">
      <w:numFmt w:val="bullet"/>
      <w:lvlText w:val="•"/>
      <w:lvlJc w:val="left"/>
      <w:pPr>
        <w:ind w:left="2876" w:hanging="360"/>
      </w:pPr>
      <w:rPr>
        <w:rFonts w:hint="default"/>
      </w:rPr>
    </w:lvl>
    <w:lvl w:ilvl="3" w:tplc="F4B80118">
      <w:numFmt w:val="bullet"/>
      <w:lvlText w:val="•"/>
      <w:lvlJc w:val="left"/>
      <w:pPr>
        <w:ind w:left="3744" w:hanging="360"/>
      </w:pPr>
      <w:rPr>
        <w:rFonts w:hint="default"/>
      </w:rPr>
    </w:lvl>
    <w:lvl w:ilvl="4" w:tplc="3A6C8966">
      <w:numFmt w:val="bullet"/>
      <w:lvlText w:val="•"/>
      <w:lvlJc w:val="left"/>
      <w:pPr>
        <w:ind w:left="4612" w:hanging="360"/>
      </w:pPr>
      <w:rPr>
        <w:rFonts w:hint="default"/>
      </w:rPr>
    </w:lvl>
    <w:lvl w:ilvl="5" w:tplc="83280DF2">
      <w:numFmt w:val="bullet"/>
      <w:lvlText w:val="•"/>
      <w:lvlJc w:val="left"/>
      <w:pPr>
        <w:ind w:left="5480" w:hanging="360"/>
      </w:pPr>
      <w:rPr>
        <w:rFonts w:hint="default"/>
      </w:rPr>
    </w:lvl>
    <w:lvl w:ilvl="6" w:tplc="46C666AC">
      <w:numFmt w:val="bullet"/>
      <w:lvlText w:val="•"/>
      <w:lvlJc w:val="left"/>
      <w:pPr>
        <w:ind w:left="6348" w:hanging="360"/>
      </w:pPr>
      <w:rPr>
        <w:rFonts w:hint="default"/>
      </w:rPr>
    </w:lvl>
    <w:lvl w:ilvl="7" w:tplc="35A69770">
      <w:numFmt w:val="bullet"/>
      <w:lvlText w:val="•"/>
      <w:lvlJc w:val="left"/>
      <w:pPr>
        <w:ind w:left="7216" w:hanging="360"/>
      </w:pPr>
      <w:rPr>
        <w:rFonts w:hint="default"/>
      </w:rPr>
    </w:lvl>
    <w:lvl w:ilvl="8" w:tplc="12443A6E">
      <w:numFmt w:val="bullet"/>
      <w:lvlText w:val="•"/>
      <w:lvlJc w:val="left"/>
      <w:pPr>
        <w:ind w:left="8084" w:hanging="360"/>
      </w:pPr>
      <w:rPr>
        <w:rFonts w:hint="default"/>
      </w:rPr>
    </w:lvl>
  </w:abstractNum>
  <w:abstractNum w:abstractNumId="21" w15:restartNumberingAfterBreak="0">
    <w:nsid w:val="2C782701"/>
    <w:multiLevelType w:val="hybridMultilevel"/>
    <w:tmpl w:val="37286780"/>
    <w:lvl w:ilvl="0" w:tplc="8040B4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CB71DA2"/>
    <w:multiLevelType w:val="hybridMultilevel"/>
    <w:tmpl w:val="F5C08670"/>
    <w:lvl w:ilvl="0" w:tplc="7CCE6C92">
      <w:numFmt w:val="bullet"/>
      <w:lvlText w:val="–"/>
      <w:lvlJc w:val="left"/>
      <w:pPr>
        <w:ind w:left="1140" w:hanging="360"/>
      </w:pPr>
      <w:rPr>
        <w:rFonts w:ascii="Arial" w:eastAsia="Times New Roman" w:hAnsi="Arial" w:hint="default"/>
        <w:w w:val="94"/>
        <w:sz w:val="24"/>
      </w:rPr>
    </w:lvl>
    <w:lvl w:ilvl="1" w:tplc="E7A40E32">
      <w:numFmt w:val="bullet"/>
      <w:lvlText w:val="•"/>
      <w:lvlJc w:val="left"/>
      <w:pPr>
        <w:ind w:left="2008" w:hanging="360"/>
      </w:pPr>
      <w:rPr>
        <w:rFonts w:hint="default"/>
      </w:rPr>
    </w:lvl>
    <w:lvl w:ilvl="2" w:tplc="F4E0DABA">
      <w:numFmt w:val="bullet"/>
      <w:lvlText w:val="•"/>
      <w:lvlJc w:val="left"/>
      <w:pPr>
        <w:ind w:left="2876" w:hanging="360"/>
      </w:pPr>
      <w:rPr>
        <w:rFonts w:hint="default"/>
      </w:rPr>
    </w:lvl>
    <w:lvl w:ilvl="3" w:tplc="A9FE2654">
      <w:numFmt w:val="bullet"/>
      <w:lvlText w:val="•"/>
      <w:lvlJc w:val="left"/>
      <w:pPr>
        <w:ind w:left="3744" w:hanging="360"/>
      </w:pPr>
      <w:rPr>
        <w:rFonts w:hint="default"/>
      </w:rPr>
    </w:lvl>
    <w:lvl w:ilvl="4" w:tplc="D004E1C2">
      <w:numFmt w:val="bullet"/>
      <w:lvlText w:val="•"/>
      <w:lvlJc w:val="left"/>
      <w:pPr>
        <w:ind w:left="4612" w:hanging="360"/>
      </w:pPr>
      <w:rPr>
        <w:rFonts w:hint="default"/>
      </w:rPr>
    </w:lvl>
    <w:lvl w:ilvl="5" w:tplc="5C54834A">
      <w:numFmt w:val="bullet"/>
      <w:lvlText w:val="•"/>
      <w:lvlJc w:val="left"/>
      <w:pPr>
        <w:ind w:left="5480" w:hanging="360"/>
      </w:pPr>
      <w:rPr>
        <w:rFonts w:hint="default"/>
      </w:rPr>
    </w:lvl>
    <w:lvl w:ilvl="6" w:tplc="25A8000A">
      <w:numFmt w:val="bullet"/>
      <w:lvlText w:val="•"/>
      <w:lvlJc w:val="left"/>
      <w:pPr>
        <w:ind w:left="6348" w:hanging="360"/>
      </w:pPr>
      <w:rPr>
        <w:rFonts w:hint="default"/>
      </w:rPr>
    </w:lvl>
    <w:lvl w:ilvl="7" w:tplc="B84CF500">
      <w:numFmt w:val="bullet"/>
      <w:lvlText w:val="•"/>
      <w:lvlJc w:val="left"/>
      <w:pPr>
        <w:ind w:left="7216" w:hanging="360"/>
      </w:pPr>
      <w:rPr>
        <w:rFonts w:hint="default"/>
      </w:rPr>
    </w:lvl>
    <w:lvl w:ilvl="8" w:tplc="A31CE33C">
      <w:numFmt w:val="bullet"/>
      <w:lvlText w:val="•"/>
      <w:lvlJc w:val="left"/>
      <w:pPr>
        <w:ind w:left="8084" w:hanging="360"/>
      </w:pPr>
      <w:rPr>
        <w:rFonts w:hint="default"/>
      </w:rPr>
    </w:lvl>
  </w:abstractNum>
  <w:abstractNum w:abstractNumId="23" w15:restartNumberingAfterBreak="0">
    <w:nsid w:val="2F0E736C"/>
    <w:multiLevelType w:val="hybridMultilevel"/>
    <w:tmpl w:val="98ACA584"/>
    <w:lvl w:ilvl="0" w:tplc="8040B47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F103971"/>
    <w:multiLevelType w:val="hybridMultilevel"/>
    <w:tmpl w:val="D4EE4188"/>
    <w:lvl w:ilvl="0" w:tplc="1BEC86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05A2E34"/>
    <w:multiLevelType w:val="hybridMultilevel"/>
    <w:tmpl w:val="2C96BC74"/>
    <w:lvl w:ilvl="0" w:tplc="213A2E9E">
      <w:start w:val="1"/>
      <w:numFmt w:val="lowerLetter"/>
      <w:lvlText w:val="%1."/>
      <w:lvlJc w:val="left"/>
      <w:pPr>
        <w:ind w:left="2687" w:hanging="360"/>
      </w:pPr>
      <w:rPr>
        <w:rFonts w:ascii="Times New Roman" w:eastAsia="SimSun" w:hAnsi="Times New Roman" w:cs="Arial" w:hint="default"/>
        <w:color w:val="auto"/>
        <w:spacing w:val="0"/>
        <w:w w:val="100"/>
        <w:sz w:val="21"/>
        <w:szCs w:val="18"/>
      </w:rPr>
    </w:lvl>
    <w:lvl w:ilvl="1" w:tplc="85E40DDE">
      <w:numFmt w:val="bullet"/>
      <w:lvlText w:val="•"/>
      <w:lvlJc w:val="left"/>
      <w:pPr>
        <w:ind w:left="3630" w:hanging="360"/>
      </w:pPr>
      <w:rPr>
        <w:rFonts w:hint="default"/>
      </w:rPr>
    </w:lvl>
    <w:lvl w:ilvl="2" w:tplc="582AB540">
      <w:numFmt w:val="bullet"/>
      <w:lvlText w:val="•"/>
      <w:lvlJc w:val="left"/>
      <w:pPr>
        <w:ind w:left="4580" w:hanging="360"/>
      </w:pPr>
      <w:rPr>
        <w:rFonts w:hint="default"/>
      </w:rPr>
    </w:lvl>
    <w:lvl w:ilvl="3" w:tplc="03729BF2">
      <w:numFmt w:val="bullet"/>
      <w:lvlText w:val="•"/>
      <w:lvlJc w:val="left"/>
      <w:pPr>
        <w:ind w:left="5530" w:hanging="360"/>
      </w:pPr>
      <w:rPr>
        <w:rFonts w:hint="default"/>
      </w:rPr>
    </w:lvl>
    <w:lvl w:ilvl="4" w:tplc="140E9D68">
      <w:numFmt w:val="bullet"/>
      <w:lvlText w:val="•"/>
      <w:lvlJc w:val="left"/>
      <w:pPr>
        <w:ind w:left="6480" w:hanging="360"/>
      </w:pPr>
      <w:rPr>
        <w:rFonts w:hint="default"/>
      </w:rPr>
    </w:lvl>
    <w:lvl w:ilvl="5" w:tplc="1AE8AA92">
      <w:numFmt w:val="bullet"/>
      <w:lvlText w:val="•"/>
      <w:lvlJc w:val="left"/>
      <w:pPr>
        <w:ind w:left="7430" w:hanging="360"/>
      </w:pPr>
      <w:rPr>
        <w:rFonts w:hint="default"/>
      </w:rPr>
    </w:lvl>
    <w:lvl w:ilvl="6" w:tplc="5540FCD6">
      <w:numFmt w:val="bullet"/>
      <w:lvlText w:val="•"/>
      <w:lvlJc w:val="left"/>
      <w:pPr>
        <w:ind w:left="8380" w:hanging="360"/>
      </w:pPr>
      <w:rPr>
        <w:rFonts w:hint="default"/>
      </w:rPr>
    </w:lvl>
    <w:lvl w:ilvl="7" w:tplc="68561E9A">
      <w:numFmt w:val="bullet"/>
      <w:lvlText w:val="•"/>
      <w:lvlJc w:val="left"/>
      <w:pPr>
        <w:ind w:left="9330" w:hanging="360"/>
      </w:pPr>
      <w:rPr>
        <w:rFonts w:hint="default"/>
      </w:rPr>
    </w:lvl>
    <w:lvl w:ilvl="8" w:tplc="429E36EE">
      <w:numFmt w:val="bullet"/>
      <w:lvlText w:val="•"/>
      <w:lvlJc w:val="left"/>
      <w:pPr>
        <w:ind w:left="10280" w:hanging="360"/>
      </w:pPr>
      <w:rPr>
        <w:rFonts w:hint="default"/>
      </w:rPr>
    </w:lvl>
  </w:abstractNum>
  <w:abstractNum w:abstractNumId="26" w15:restartNumberingAfterBreak="0">
    <w:nsid w:val="33E172AC"/>
    <w:multiLevelType w:val="hybridMultilevel"/>
    <w:tmpl w:val="3F400B6A"/>
    <w:lvl w:ilvl="0" w:tplc="43267338">
      <w:start w:val="5"/>
      <w:numFmt w:val="bullet"/>
      <w:lvlText w:val="–"/>
      <w:lvlJc w:val="left"/>
      <w:pPr>
        <w:ind w:left="780" w:hanging="360"/>
      </w:pPr>
      <w:rPr>
        <w:rFonts w:ascii="Times New Roman" w:eastAsia="SimSun" w:hAnsi="Times New Roman" w:hint="eastAsia"/>
        <w:color w:val="auto"/>
        <w:w w:val="100"/>
        <w:sz w:val="24"/>
      </w:rPr>
    </w:lvl>
    <w:lvl w:ilvl="1" w:tplc="AFB2CF64">
      <w:numFmt w:val="bullet"/>
      <w:lvlText w:val="•"/>
      <w:lvlJc w:val="left"/>
      <w:pPr>
        <w:ind w:left="1684" w:hanging="360"/>
      </w:pPr>
      <w:rPr>
        <w:rFonts w:hint="default"/>
      </w:rPr>
    </w:lvl>
    <w:lvl w:ilvl="2" w:tplc="A9AEF7E4">
      <w:numFmt w:val="bullet"/>
      <w:lvlText w:val="•"/>
      <w:lvlJc w:val="left"/>
      <w:pPr>
        <w:ind w:left="2588" w:hanging="360"/>
      </w:pPr>
      <w:rPr>
        <w:rFonts w:hint="default"/>
      </w:rPr>
    </w:lvl>
    <w:lvl w:ilvl="3" w:tplc="A50EA812">
      <w:numFmt w:val="bullet"/>
      <w:lvlText w:val="•"/>
      <w:lvlJc w:val="left"/>
      <w:pPr>
        <w:ind w:left="3492" w:hanging="360"/>
      </w:pPr>
      <w:rPr>
        <w:rFonts w:hint="default"/>
      </w:rPr>
    </w:lvl>
    <w:lvl w:ilvl="4" w:tplc="624426F0">
      <w:numFmt w:val="bullet"/>
      <w:lvlText w:val="•"/>
      <w:lvlJc w:val="left"/>
      <w:pPr>
        <w:ind w:left="4396" w:hanging="360"/>
      </w:pPr>
      <w:rPr>
        <w:rFonts w:hint="default"/>
      </w:rPr>
    </w:lvl>
    <w:lvl w:ilvl="5" w:tplc="21F65642">
      <w:numFmt w:val="bullet"/>
      <w:lvlText w:val="•"/>
      <w:lvlJc w:val="left"/>
      <w:pPr>
        <w:ind w:left="5300" w:hanging="360"/>
      </w:pPr>
      <w:rPr>
        <w:rFonts w:hint="default"/>
      </w:rPr>
    </w:lvl>
    <w:lvl w:ilvl="6" w:tplc="90EC5848">
      <w:numFmt w:val="bullet"/>
      <w:lvlText w:val="•"/>
      <w:lvlJc w:val="left"/>
      <w:pPr>
        <w:ind w:left="6204" w:hanging="360"/>
      </w:pPr>
      <w:rPr>
        <w:rFonts w:hint="default"/>
      </w:rPr>
    </w:lvl>
    <w:lvl w:ilvl="7" w:tplc="33D26090">
      <w:numFmt w:val="bullet"/>
      <w:lvlText w:val="•"/>
      <w:lvlJc w:val="left"/>
      <w:pPr>
        <w:ind w:left="7108" w:hanging="360"/>
      </w:pPr>
      <w:rPr>
        <w:rFonts w:hint="default"/>
      </w:rPr>
    </w:lvl>
    <w:lvl w:ilvl="8" w:tplc="D2F2054C">
      <w:numFmt w:val="bullet"/>
      <w:lvlText w:val="•"/>
      <w:lvlJc w:val="left"/>
      <w:pPr>
        <w:ind w:left="8012" w:hanging="360"/>
      </w:pPr>
      <w:rPr>
        <w:rFonts w:hint="default"/>
      </w:rPr>
    </w:lvl>
  </w:abstractNum>
  <w:abstractNum w:abstractNumId="27" w15:restartNumberingAfterBreak="0">
    <w:nsid w:val="35083205"/>
    <w:multiLevelType w:val="hybridMultilevel"/>
    <w:tmpl w:val="3C2A95CE"/>
    <w:lvl w:ilvl="0" w:tplc="54E6744C">
      <w:start w:val="1"/>
      <w:numFmt w:val="decimal"/>
      <w:lvlText w:val="%1."/>
      <w:lvlJc w:val="left"/>
      <w:pPr>
        <w:ind w:left="567" w:hanging="360"/>
      </w:pPr>
      <w:rPr>
        <w:rFonts w:cs="Times New Roman" w:hint="eastAsia"/>
        <w:b w:val="0"/>
        <w:i w:val="0"/>
      </w:rPr>
    </w:lvl>
    <w:lvl w:ilvl="1" w:tplc="04090019" w:tentative="1">
      <w:start w:val="1"/>
      <w:numFmt w:val="lowerLetter"/>
      <w:lvlText w:val="%2."/>
      <w:lvlJc w:val="left"/>
      <w:pPr>
        <w:ind w:left="1287" w:hanging="360"/>
      </w:pPr>
      <w:rPr>
        <w:rFonts w:cs="Times New Roman"/>
      </w:rPr>
    </w:lvl>
    <w:lvl w:ilvl="2" w:tplc="0409001B" w:tentative="1">
      <w:start w:val="1"/>
      <w:numFmt w:val="lowerRoman"/>
      <w:lvlText w:val="%3."/>
      <w:lvlJc w:val="right"/>
      <w:pPr>
        <w:ind w:left="2007" w:hanging="180"/>
      </w:pPr>
      <w:rPr>
        <w:rFonts w:cs="Times New Roman"/>
      </w:rPr>
    </w:lvl>
    <w:lvl w:ilvl="3" w:tplc="0409000F" w:tentative="1">
      <w:start w:val="1"/>
      <w:numFmt w:val="decimal"/>
      <w:lvlText w:val="%4."/>
      <w:lvlJc w:val="left"/>
      <w:pPr>
        <w:ind w:left="2727" w:hanging="360"/>
      </w:pPr>
      <w:rPr>
        <w:rFonts w:cs="Times New Roman"/>
      </w:rPr>
    </w:lvl>
    <w:lvl w:ilvl="4" w:tplc="04090019" w:tentative="1">
      <w:start w:val="1"/>
      <w:numFmt w:val="lowerLetter"/>
      <w:lvlText w:val="%5."/>
      <w:lvlJc w:val="left"/>
      <w:pPr>
        <w:ind w:left="3447" w:hanging="360"/>
      </w:pPr>
      <w:rPr>
        <w:rFonts w:cs="Times New Roman"/>
      </w:rPr>
    </w:lvl>
    <w:lvl w:ilvl="5" w:tplc="0409001B" w:tentative="1">
      <w:start w:val="1"/>
      <w:numFmt w:val="lowerRoman"/>
      <w:lvlText w:val="%6."/>
      <w:lvlJc w:val="right"/>
      <w:pPr>
        <w:ind w:left="4167" w:hanging="180"/>
      </w:pPr>
      <w:rPr>
        <w:rFonts w:cs="Times New Roman"/>
      </w:rPr>
    </w:lvl>
    <w:lvl w:ilvl="6" w:tplc="0409000F" w:tentative="1">
      <w:start w:val="1"/>
      <w:numFmt w:val="decimal"/>
      <w:lvlText w:val="%7."/>
      <w:lvlJc w:val="left"/>
      <w:pPr>
        <w:ind w:left="4887" w:hanging="360"/>
      </w:pPr>
      <w:rPr>
        <w:rFonts w:cs="Times New Roman"/>
      </w:rPr>
    </w:lvl>
    <w:lvl w:ilvl="7" w:tplc="04090019" w:tentative="1">
      <w:start w:val="1"/>
      <w:numFmt w:val="lowerLetter"/>
      <w:lvlText w:val="%8."/>
      <w:lvlJc w:val="left"/>
      <w:pPr>
        <w:ind w:left="5607" w:hanging="360"/>
      </w:pPr>
      <w:rPr>
        <w:rFonts w:cs="Times New Roman"/>
      </w:rPr>
    </w:lvl>
    <w:lvl w:ilvl="8" w:tplc="0409001B" w:tentative="1">
      <w:start w:val="1"/>
      <w:numFmt w:val="lowerRoman"/>
      <w:lvlText w:val="%9."/>
      <w:lvlJc w:val="right"/>
      <w:pPr>
        <w:ind w:left="6327" w:hanging="180"/>
      </w:pPr>
      <w:rPr>
        <w:rFonts w:cs="Times New Roman"/>
      </w:rPr>
    </w:lvl>
  </w:abstractNum>
  <w:abstractNum w:abstractNumId="28" w15:restartNumberingAfterBreak="0">
    <w:nsid w:val="377D62C0"/>
    <w:multiLevelType w:val="multilevel"/>
    <w:tmpl w:val="0556FB7C"/>
    <w:lvl w:ilvl="0">
      <w:start w:val="3"/>
      <w:numFmt w:val="decimal"/>
      <w:lvlText w:val="%1"/>
      <w:lvlJc w:val="left"/>
      <w:pPr>
        <w:ind w:left="996" w:hanging="576"/>
      </w:pPr>
      <w:rPr>
        <w:rFonts w:cs="Times New Roman" w:hint="default"/>
      </w:rPr>
    </w:lvl>
    <w:lvl w:ilvl="1">
      <w:start w:val="2"/>
      <w:numFmt w:val="decimal"/>
      <w:lvlText w:val="%1.%2"/>
      <w:lvlJc w:val="left"/>
      <w:pPr>
        <w:ind w:left="996" w:hanging="576"/>
      </w:pPr>
      <w:rPr>
        <w:rFonts w:ascii="Arial" w:eastAsia="Times New Roman" w:hAnsi="Arial" w:cs="Arial" w:hint="default"/>
        <w:b/>
        <w:bCs/>
        <w:spacing w:val="-11"/>
        <w:w w:val="99"/>
        <w:sz w:val="24"/>
        <w:szCs w:val="24"/>
      </w:rPr>
    </w:lvl>
    <w:lvl w:ilvl="2">
      <w:start w:val="1"/>
      <w:numFmt w:val="decimal"/>
      <w:lvlText w:val="%1.%2.%3"/>
      <w:lvlJc w:val="left"/>
      <w:pPr>
        <w:ind w:left="1140" w:hanging="720"/>
      </w:pPr>
      <w:rPr>
        <w:rFonts w:ascii="Arial" w:eastAsia="Times New Roman" w:hAnsi="Arial" w:cs="Arial" w:hint="default"/>
        <w:b/>
        <w:bCs/>
        <w:spacing w:val="-2"/>
        <w:w w:val="99"/>
        <w:sz w:val="24"/>
        <w:szCs w:val="24"/>
      </w:rPr>
    </w:lvl>
    <w:lvl w:ilvl="3">
      <w:start w:val="1"/>
      <w:numFmt w:val="decimal"/>
      <w:lvlText w:val="%4."/>
      <w:lvlJc w:val="left"/>
      <w:pPr>
        <w:ind w:left="1116" w:hanging="269"/>
      </w:pPr>
      <w:rPr>
        <w:rFonts w:cs="Times New Roman" w:hint="default"/>
        <w:w w:val="100"/>
      </w:rPr>
    </w:lvl>
    <w:lvl w:ilvl="4">
      <w:numFmt w:val="bullet"/>
      <w:lvlText w:val="•"/>
      <w:lvlJc w:val="left"/>
      <w:pPr>
        <w:ind w:left="3310" w:hanging="269"/>
      </w:pPr>
      <w:rPr>
        <w:rFonts w:hint="default"/>
      </w:rPr>
    </w:lvl>
    <w:lvl w:ilvl="5">
      <w:numFmt w:val="bullet"/>
      <w:lvlText w:val="•"/>
      <w:lvlJc w:val="left"/>
      <w:pPr>
        <w:ind w:left="4395" w:hanging="269"/>
      </w:pPr>
      <w:rPr>
        <w:rFonts w:hint="default"/>
      </w:rPr>
    </w:lvl>
    <w:lvl w:ilvl="6">
      <w:numFmt w:val="bullet"/>
      <w:lvlText w:val="•"/>
      <w:lvlJc w:val="left"/>
      <w:pPr>
        <w:ind w:left="5480" w:hanging="269"/>
      </w:pPr>
      <w:rPr>
        <w:rFonts w:hint="default"/>
      </w:rPr>
    </w:lvl>
    <w:lvl w:ilvl="7">
      <w:numFmt w:val="bullet"/>
      <w:lvlText w:val="•"/>
      <w:lvlJc w:val="left"/>
      <w:pPr>
        <w:ind w:left="6565" w:hanging="269"/>
      </w:pPr>
      <w:rPr>
        <w:rFonts w:hint="default"/>
      </w:rPr>
    </w:lvl>
    <w:lvl w:ilvl="8">
      <w:numFmt w:val="bullet"/>
      <w:lvlText w:val="•"/>
      <w:lvlJc w:val="left"/>
      <w:pPr>
        <w:ind w:left="7650" w:hanging="269"/>
      </w:pPr>
      <w:rPr>
        <w:rFonts w:hint="default"/>
      </w:rPr>
    </w:lvl>
  </w:abstractNum>
  <w:abstractNum w:abstractNumId="29" w15:restartNumberingAfterBreak="0">
    <w:nsid w:val="396347FE"/>
    <w:multiLevelType w:val="hybridMultilevel"/>
    <w:tmpl w:val="552C1324"/>
    <w:lvl w:ilvl="0" w:tplc="385229FA">
      <w:start w:val="5"/>
      <w:numFmt w:val="bullet"/>
      <w:lvlText w:val="–"/>
      <w:lvlJc w:val="left"/>
      <w:pPr>
        <w:ind w:left="1157" w:hanging="420"/>
      </w:pPr>
      <w:rPr>
        <w:rFonts w:ascii="SimSun" w:eastAsia="SimSun" w:hAnsi="SimSun" w:hint="eastAsia"/>
      </w:rPr>
    </w:lvl>
    <w:lvl w:ilvl="1" w:tplc="04090003" w:tentative="1">
      <w:start w:val="1"/>
      <w:numFmt w:val="bullet"/>
      <w:lvlText w:val=""/>
      <w:lvlJc w:val="left"/>
      <w:pPr>
        <w:ind w:left="1577" w:hanging="420"/>
      </w:pPr>
      <w:rPr>
        <w:rFonts w:ascii="Wingdings" w:hAnsi="Wingdings" w:hint="default"/>
      </w:rPr>
    </w:lvl>
    <w:lvl w:ilvl="2" w:tplc="04090005"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3" w:tentative="1">
      <w:start w:val="1"/>
      <w:numFmt w:val="bullet"/>
      <w:lvlText w:val=""/>
      <w:lvlJc w:val="left"/>
      <w:pPr>
        <w:ind w:left="2837" w:hanging="420"/>
      </w:pPr>
      <w:rPr>
        <w:rFonts w:ascii="Wingdings" w:hAnsi="Wingdings" w:hint="default"/>
      </w:rPr>
    </w:lvl>
    <w:lvl w:ilvl="5" w:tplc="04090005"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3" w:tentative="1">
      <w:start w:val="1"/>
      <w:numFmt w:val="bullet"/>
      <w:lvlText w:val=""/>
      <w:lvlJc w:val="left"/>
      <w:pPr>
        <w:ind w:left="4097" w:hanging="420"/>
      </w:pPr>
      <w:rPr>
        <w:rFonts w:ascii="Wingdings" w:hAnsi="Wingdings" w:hint="default"/>
      </w:rPr>
    </w:lvl>
    <w:lvl w:ilvl="8" w:tplc="04090005" w:tentative="1">
      <w:start w:val="1"/>
      <w:numFmt w:val="bullet"/>
      <w:lvlText w:val=""/>
      <w:lvlJc w:val="left"/>
      <w:pPr>
        <w:ind w:left="4517" w:hanging="420"/>
      </w:pPr>
      <w:rPr>
        <w:rFonts w:ascii="Wingdings" w:hAnsi="Wingdings" w:hint="default"/>
      </w:rPr>
    </w:lvl>
  </w:abstractNum>
  <w:abstractNum w:abstractNumId="30" w15:restartNumberingAfterBreak="0">
    <w:nsid w:val="3CF01612"/>
    <w:multiLevelType w:val="multilevel"/>
    <w:tmpl w:val="6610FBDC"/>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pStyle w:val="Heading6"/>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45F335D7"/>
    <w:multiLevelType w:val="hybridMultilevel"/>
    <w:tmpl w:val="F76813A0"/>
    <w:lvl w:ilvl="0" w:tplc="6B82B8D6">
      <w:numFmt w:val="bullet"/>
      <w:lvlText w:val="•"/>
      <w:lvlJc w:val="left"/>
      <w:pPr>
        <w:ind w:left="1500" w:hanging="360"/>
      </w:pPr>
      <w:rPr>
        <w:rFonts w:ascii="Arial" w:eastAsia="Times New Roman" w:hAnsi="Arial" w:hint="default"/>
        <w:w w:val="129"/>
        <w:sz w:val="24"/>
      </w:rPr>
    </w:lvl>
    <w:lvl w:ilvl="1" w:tplc="514E837A">
      <w:numFmt w:val="bullet"/>
      <w:lvlText w:val="–"/>
      <w:lvlJc w:val="left"/>
      <w:pPr>
        <w:ind w:left="1860" w:hanging="360"/>
      </w:pPr>
      <w:rPr>
        <w:rFonts w:ascii="Times New Roman" w:eastAsia="SimSun" w:hAnsi="Times New Roman" w:hint="default"/>
        <w:w w:val="100"/>
        <w:sz w:val="24"/>
      </w:rPr>
    </w:lvl>
    <w:lvl w:ilvl="2" w:tplc="86665B1E">
      <w:numFmt w:val="bullet"/>
      <w:lvlText w:val="•"/>
      <w:lvlJc w:val="left"/>
      <w:pPr>
        <w:ind w:left="2744" w:hanging="360"/>
      </w:pPr>
      <w:rPr>
        <w:rFonts w:hint="default"/>
      </w:rPr>
    </w:lvl>
    <w:lvl w:ilvl="3" w:tplc="E66AF7C8">
      <w:numFmt w:val="bullet"/>
      <w:lvlText w:val="•"/>
      <w:lvlJc w:val="left"/>
      <w:pPr>
        <w:ind w:left="3628" w:hanging="360"/>
      </w:pPr>
      <w:rPr>
        <w:rFonts w:hint="default"/>
      </w:rPr>
    </w:lvl>
    <w:lvl w:ilvl="4" w:tplc="68864630">
      <w:numFmt w:val="bullet"/>
      <w:lvlText w:val="•"/>
      <w:lvlJc w:val="left"/>
      <w:pPr>
        <w:ind w:left="4513" w:hanging="360"/>
      </w:pPr>
      <w:rPr>
        <w:rFonts w:hint="default"/>
      </w:rPr>
    </w:lvl>
    <w:lvl w:ilvl="5" w:tplc="1EEE0C94">
      <w:numFmt w:val="bullet"/>
      <w:lvlText w:val="•"/>
      <w:lvlJc w:val="left"/>
      <w:pPr>
        <w:ind w:left="5397" w:hanging="360"/>
      </w:pPr>
      <w:rPr>
        <w:rFonts w:hint="default"/>
      </w:rPr>
    </w:lvl>
    <w:lvl w:ilvl="6" w:tplc="F2B4A75A">
      <w:numFmt w:val="bullet"/>
      <w:lvlText w:val="•"/>
      <w:lvlJc w:val="left"/>
      <w:pPr>
        <w:ind w:left="6282" w:hanging="360"/>
      </w:pPr>
      <w:rPr>
        <w:rFonts w:hint="default"/>
      </w:rPr>
    </w:lvl>
    <w:lvl w:ilvl="7" w:tplc="96F4A122">
      <w:numFmt w:val="bullet"/>
      <w:lvlText w:val="•"/>
      <w:lvlJc w:val="left"/>
      <w:pPr>
        <w:ind w:left="7166" w:hanging="360"/>
      </w:pPr>
      <w:rPr>
        <w:rFonts w:hint="default"/>
      </w:rPr>
    </w:lvl>
    <w:lvl w:ilvl="8" w:tplc="23E2FB5E">
      <w:numFmt w:val="bullet"/>
      <w:lvlText w:val="•"/>
      <w:lvlJc w:val="left"/>
      <w:pPr>
        <w:ind w:left="8051" w:hanging="360"/>
      </w:pPr>
      <w:rPr>
        <w:rFonts w:hint="default"/>
      </w:rPr>
    </w:lvl>
  </w:abstractNum>
  <w:abstractNum w:abstractNumId="32" w15:restartNumberingAfterBreak="0">
    <w:nsid w:val="484000B8"/>
    <w:multiLevelType w:val="multilevel"/>
    <w:tmpl w:val="0A047AAE"/>
    <w:lvl w:ilvl="0">
      <w:start w:val="1"/>
      <w:numFmt w:val="decimal"/>
      <w:pStyle w:val="1"/>
      <w:lvlText w:val="%1."/>
      <w:lvlJc w:val="left"/>
      <w:pPr>
        <w:ind w:left="425" w:hanging="425"/>
      </w:pPr>
      <w:rPr>
        <w:rFonts w:cs="Times New Roman" w:hint="eastAsia"/>
      </w:rPr>
    </w:lvl>
    <w:lvl w:ilvl="1">
      <w:start w:val="1"/>
      <w:numFmt w:val="decimal"/>
      <w:pStyle w:val="2"/>
      <w:lvlText w:val="%1.%2."/>
      <w:lvlJc w:val="left"/>
      <w:pPr>
        <w:ind w:left="709" w:hanging="425"/>
      </w:pPr>
      <w:rPr>
        <w:rFonts w:ascii="Times New Roman" w:hAnsi="Times New Roman" w:cs="Times New Roman" w:hint="default"/>
      </w:rPr>
    </w:lvl>
    <w:lvl w:ilvl="2">
      <w:start w:val="1"/>
      <w:numFmt w:val="decimal"/>
      <w:lvlRestart w:val="0"/>
      <w:pStyle w:val="3"/>
      <w:lvlText w:val="%1.%2.%3."/>
      <w:lvlJc w:val="left"/>
      <w:pPr>
        <w:ind w:left="425" w:hanging="425"/>
      </w:pPr>
      <w:rPr>
        <w:rFonts w:cs="Times New Roman" w:hint="eastAsia"/>
      </w:rPr>
    </w:lvl>
    <w:lvl w:ilvl="3">
      <w:start w:val="1"/>
      <w:numFmt w:val="decimal"/>
      <w:pStyle w:val="4"/>
      <w:lvlText w:val="%1.%2.%3.%4."/>
      <w:lvlJc w:val="left"/>
      <w:pPr>
        <w:ind w:left="425" w:hanging="425"/>
      </w:pPr>
      <w:rPr>
        <w:rFonts w:cs="Times New Roman" w:hint="eastAsia"/>
      </w:rPr>
    </w:lvl>
    <w:lvl w:ilvl="4">
      <w:start w:val="1"/>
      <w:numFmt w:val="decimal"/>
      <w:lvlText w:val="%1.%2.%3.%4.%5."/>
      <w:lvlJc w:val="left"/>
      <w:pPr>
        <w:ind w:left="425" w:hanging="425"/>
      </w:pPr>
      <w:rPr>
        <w:rFonts w:cs="Times New Roman" w:hint="eastAsia"/>
      </w:rPr>
    </w:lvl>
    <w:lvl w:ilvl="5">
      <w:start w:val="1"/>
      <w:numFmt w:val="decimal"/>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33" w15:restartNumberingAfterBreak="0">
    <w:nsid w:val="4C0B7661"/>
    <w:multiLevelType w:val="hybridMultilevel"/>
    <w:tmpl w:val="795640B8"/>
    <w:lvl w:ilvl="0" w:tplc="385229FA">
      <w:start w:val="5"/>
      <w:numFmt w:val="bullet"/>
      <w:lvlText w:val="–"/>
      <w:lvlJc w:val="left"/>
      <w:pPr>
        <w:ind w:left="1416" w:hanging="420"/>
      </w:pPr>
      <w:rPr>
        <w:rFonts w:ascii="SimSun" w:eastAsia="SimSun" w:hAnsi="SimSun" w:hint="eastAsia"/>
      </w:rPr>
    </w:lvl>
    <w:lvl w:ilvl="1" w:tplc="04090019" w:tentative="1">
      <w:start w:val="1"/>
      <w:numFmt w:val="lowerLetter"/>
      <w:lvlText w:val="%2)"/>
      <w:lvlJc w:val="left"/>
      <w:pPr>
        <w:ind w:left="1836" w:hanging="420"/>
      </w:pPr>
      <w:rPr>
        <w:rFonts w:cs="Times New Roman"/>
      </w:rPr>
    </w:lvl>
    <w:lvl w:ilvl="2" w:tplc="0409001B" w:tentative="1">
      <w:start w:val="1"/>
      <w:numFmt w:val="lowerRoman"/>
      <w:lvlText w:val="%3."/>
      <w:lvlJc w:val="right"/>
      <w:pPr>
        <w:ind w:left="2256" w:hanging="420"/>
      </w:pPr>
      <w:rPr>
        <w:rFonts w:cs="Times New Roman"/>
      </w:rPr>
    </w:lvl>
    <w:lvl w:ilvl="3" w:tplc="0409000F" w:tentative="1">
      <w:start w:val="1"/>
      <w:numFmt w:val="decimal"/>
      <w:lvlText w:val="%4."/>
      <w:lvlJc w:val="left"/>
      <w:pPr>
        <w:ind w:left="2676" w:hanging="420"/>
      </w:pPr>
      <w:rPr>
        <w:rFonts w:cs="Times New Roman"/>
      </w:rPr>
    </w:lvl>
    <w:lvl w:ilvl="4" w:tplc="04090019" w:tentative="1">
      <w:start w:val="1"/>
      <w:numFmt w:val="lowerLetter"/>
      <w:lvlText w:val="%5)"/>
      <w:lvlJc w:val="left"/>
      <w:pPr>
        <w:ind w:left="3096" w:hanging="420"/>
      </w:pPr>
      <w:rPr>
        <w:rFonts w:cs="Times New Roman"/>
      </w:rPr>
    </w:lvl>
    <w:lvl w:ilvl="5" w:tplc="0409001B" w:tentative="1">
      <w:start w:val="1"/>
      <w:numFmt w:val="lowerRoman"/>
      <w:lvlText w:val="%6."/>
      <w:lvlJc w:val="right"/>
      <w:pPr>
        <w:ind w:left="3516" w:hanging="420"/>
      </w:pPr>
      <w:rPr>
        <w:rFonts w:cs="Times New Roman"/>
      </w:rPr>
    </w:lvl>
    <w:lvl w:ilvl="6" w:tplc="0409000F" w:tentative="1">
      <w:start w:val="1"/>
      <w:numFmt w:val="decimal"/>
      <w:lvlText w:val="%7."/>
      <w:lvlJc w:val="left"/>
      <w:pPr>
        <w:ind w:left="3936" w:hanging="420"/>
      </w:pPr>
      <w:rPr>
        <w:rFonts w:cs="Times New Roman"/>
      </w:rPr>
    </w:lvl>
    <w:lvl w:ilvl="7" w:tplc="04090019" w:tentative="1">
      <w:start w:val="1"/>
      <w:numFmt w:val="lowerLetter"/>
      <w:lvlText w:val="%8)"/>
      <w:lvlJc w:val="left"/>
      <w:pPr>
        <w:ind w:left="4356" w:hanging="420"/>
      </w:pPr>
      <w:rPr>
        <w:rFonts w:cs="Times New Roman"/>
      </w:rPr>
    </w:lvl>
    <w:lvl w:ilvl="8" w:tplc="0409001B" w:tentative="1">
      <w:start w:val="1"/>
      <w:numFmt w:val="lowerRoman"/>
      <w:lvlText w:val="%9."/>
      <w:lvlJc w:val="right"/>
      <w:pPr>
        <w:ind w:left="4776" w:hanging="420"/>
      </w:pPr>
      <w:rPr>
        <w:rFonts w:cs="Times New Roman"/>
      </w:rPr>
    </w:lvl>
  </w:abstractNum>
  <w:abstractNum w:abstractNumId="34" w15:restartNumberingAfterBreak="0">
    <w:nsid w:val="4CD25CD7"/>
    <w:multiLevelType w:val="hybridMultilevel"/>
    <w:tmpl w:val="B75CDB04"/>
    <w:lvl w:ilvl="0" w:tplc="117047B8">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15:restartNumberingAfterBreak="0">
    <w:nsid w:val="4D77134C"/>
    <w:multiLevelType w:val="hybridMultilevel"/>
    <w:tmpl w:val="BEB49F62"/>
    <w:lvl w:ilvl="0" w:tplc="F3BC0BF0">
      <w:start w:val="1"/>
      <w:numFmt w:val="decimal"/>
      <w:lvlText w:val="%1."/>
      <w:lvlJc w:val="left"/>
      <w:pPr>
        <w:ind w:left="780" w:hanging="360"/>
      </w:pPr>
      <w:rPr>
        <w:rFonts w:cs="Times New Roman" w:hint="default"/>
        <w:w w:val="100"/>
        <w:sz w:val="24"/>
        <w:szCs w:val="24"/>
      </w:rPr>
    </w:lvl>
    <w:lvl w:ilvl="1" w:tplc="9C04D972">
      <w:numFmt w:val="bullet"/>
      <w:lvlText w:val="•"/>
      <w:lvlJc w:val="left"/>
      <w:pPr>
        <w:ind w:left="1684" w:hanging="360"/>
      </w:pPr>
      <w:rPr>
        <w:rFonts w:hint="default"/>
      </w:rPr>
    </w:lvl>
    <w:lvl w:ilvl="2" w:tplc="7518B558">
      <w:numFmt w:val="bullet"/>
      <w:lvlText w:val="•"/>
      <w:lvlJc w:val="left"/>
      <w:pPr>
        <w:ind w:left="2588" w:hanging="360"/>
      </w:pPr>
      <w:rPr>
        <w:rFonts w:hint="default"/>
      </w:rPr>
    </w:lvl>
    <w:lvl w:ilvl="3" w:tplc="969C64E8">
      <w:numFmt w:val="bullet"/>
      <w:lvlText w:val="•"/>
      <w:lvlJc w:val="left"/>
      <w:pPr>
        <w:ind w:left="3492" w:hanging="360"/>
      </w:pPr>
      <w:rPr>
        <w:rFonts w:hint="default"/>
      </w:rPr>
    </w:lvl>
    <w:lvl w:ilvl="4" w:tplc="804096C4">
      <w:numFmt w:val="bullet"/>
      <w:lvlText w:val="•"/>
      <w:lvlJc w:val="left"/>
      <w:pPr>
        <w:ind w:left="4396" w:hanging="360"/>
      </w:pPr>
      <w:rPr>
        <w:rFonts w:hint="default"/>
      </w:rPr>
    </w:lvl>
    <w:lvl w:ilvl="5" w:tplc="8AD6DC98">
      <w:numFmt w:val="bullet"/>
      <w:lvlText w:val="•"/>
      <w:lvlJc w:val="left"/>
      <w:pPr>
        <w:ind w:left="5300" w:hanging="360"/>
      </w:pPr>
      <w:rPr>
        <w:rFonts w:hint="default"/>
      </w:rPr>
    </w:lvl>
    <w:lvl w:ilvl="6" w:tplc="6A0E0E62">
      <w:numFmt w:val="bullet"/>
      <w:lvlText w:val="•"/>
      <w:lvlJc w:val="left"/>
      <w:pPr>
        <w:ind w:left="6204" w:hanging="360"/>
      </w:pPr>
      <w:rPr>
        <w:rFonts w:hint="default"/>
      </w:rPr>
    </w:lvl>
    <w:lvl w:ilvl="7" w:tplc="1B3C10E0">
      <w:numFmt w:val="bullet"/>
      <w:lvlText w:val="•"/>
      <w:lvlJc w:val="left"/>
      <w:pPr>
        <w:ind w:left="7108" w:hanging="360"/>
      </w:pPr>
      <w:rPr>
        <w:rFonts w:hint="default"/>
      </w:rPr>
    </w:lvl>
    <w:lvl w:ilvl="8" w:tplc="D554870C">
      <w:numFmt w:val="bullet"/>
      <w:lvlText w:val="•"/>
      <w:lvlJc w:val="left"/>
      <w:pPr>
        <w:ind w:left="8012" w:hanging="360"/>
      </w:pPr>
      <w:rPr>
        <w:rFonts w:hint="default"/>
      </w:rPr>
    </w:lvl>
  </w:abstractNum>
  <w:abstractNum w:abstractNumId="36" w15:restartNumberingAfterBreak="0">
    <w:nsid w:val="55933383"/>
    <w:multiLevelType w:val="singleLevel"/>
    <w:tmpl w:val="7FCAC574"/>
    <w:lvl w:ilvl="0">
      <w:start w:val="1"/>
      <w:numFmt w:val="bullet"/>
      <w:pStyle w:val="Aufzhlung2"/>
      <w:lvlText w:val="-"/>
      <w:lvlJc w:val="left"/>
      <w:pPr>
        <w:tabs>
          <w:tab w:val="num" w:pos="360"/>
        </w:tabs>
        <w:ind w:left="360" w:hanging="360"/>
      </w:pPr>
      <w:rPr>
        <w:sz w:val="16"/>
      </w:rPr>
    </w:lvl>
  </w:abstractNum>
  <w:abstractNum w:abstractNumId="37" w15:restartNumberingAfterBreak="0">
    <w:nsid w:val="5E6B7EEA"/>
    <w:multiLevelType w:val="hybridMultilevel"/>
    <w:tmpl w:val="6F94E6AA"/>
    <w:lvl w:ilvl="0" w:tplc="8040B476">
      <w:start w:val="1"/>
      <w:numFmt w:val="decimal"/>
      <w:lvlText w:val="(%1)"/>
      <w:lvlJc w:val="left"/>
      <w:pPr>
        <w:ind w:left="860" w:hanging="420"/>
      </w:pPr>
      <w:rPr>
        <w:rFonts w:hint="eastAsia"/>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8" w15:restartNumberingAfterBreak="0">
    <w:nsid w:val="62133DED"/>
    <w:multiLevelType w:val="multilevel"/>
    <w:tmpl w:val="E3560E38"/>
    <w:lvl w:ilvl="0">
      <w:start w:val="1"/>
      <w:numFmt w:val="decimal"/>
      <w:isLgl/>
      <w:lvlText w:val="(%1)"/>
      <w:lvlJc w:val="left"/>
      <w:pPr>
        <w:ind w:left="372" w:firstLine="0"/>
      </w:pPr>
      <w:rPr>
        <w:rFonts w:cs="Times New Roman" w:hint="eastAsia"/>
        <w:b w:val="0"/>
      </w:rPr>
    </w:lvl>
    <w:lvl w:ilvl="1">
      <w:start w:val="1"/>
      <w:numFmt w:val="decimal"/>
      <w:isLgl/>
      <w:suff w:val="space"/>
      <w:lvlText w:val="%2)"/>
      <w:lvlJc w:val="left"/>
      <w:pPr>
        <w:ind w:left="372" w:firstLine="0"/>
      </w:pPr>
      <w:rPr>
        <w:rFonts w:cs="Times New Roman" w:hint="eastAsia"/>
      </w:rPr>
    </w:lvl>
    <w:lvl w:ilvl="2">
      <w:start w:val="1"/>
      <w:numFmt w:val="lowerRoman"/>
      <w:lvlText w:val="%3."/>
      <w:lvlJc w:val="right"/>
      <w:pPr>
        <w:ind w:left="372" w:firstLine="0"/>
      </w:pPr>
      <w:rPr>
        <w:rFonts w:cs="Times New Roman" w:hint="eastAsia"/>
      </w:rPr>
    </w:lvl>
    <w:lvl w:ilvl="3">
      <w:start w:val="1"/>
      <w:numFmt w:val="decimal"/>
      <w:lvlText w:val="%4."/>
      <w:lvlJc w:val="left"/>
      <w:pPr>
        <w:ind w:left="372" w:firstLine="0"/>
      </w:pPr>
      <w:rPr>
        <w:rFonts w:cs="Times New Roman" w:hint="eastAsia"/>
      </w:rPr>
    </w:lvl>
    <w:lvl w:ilvl="4">
      <w:start w:val="1"/>
      <w:numFmt w:val="lowerLetter"/>
      <w:lvlText w:val="%5)"/>
      <w:lvlJc w:val="left"/>
      <w:pPr>
        <w:ind w:left="372" w:firstLine="0"/>
      </w:pPr>
      <w:rPr>
        <w:rFonts w:cs="Times New Roman" w:hint="eastAsia"/>
      </w:rPr>
    </w:lvl>
    <w:lvl w:ilvl="5">
      <w:start w:val="1"/>
      <w:numFmt w:val="lowerRoman"/>
      <w:lvlText w:val="%6."/>
      <w:lvlJc w:val="right"/>
      <w:pPr>
        <w:ind w:left="372" w:firstLine="0"/>
      </w:pPr>
      <w:rPr>
        <w:rFonts w:cs="Times New Roman" w:hint="eastAsia"/>
      </w:rPr>
    </w:lvl>
    <w:lvl w:ilvl="6">
      <w:start w:val="1"/>
      <w:numFmt w:val="decimal"/>
      <w:lvlText w:val="%7."/>
      <w:lvlJc w:val="left"/>
      <w:pPr>
        <w:ind w:left="372" w:firstLine="0"/>
      </w:pPr>
      <w:rPr>
        <w:rFonts w:cs="Times New Roman" w:hint="eastAsia"/>
      </w:rPr>
    </w:lvl>
    <w:lvl w:ilvl="7">
      <w:start w:val="1"/>
      <w:numFmt w:val="lowerLetter"/>
      <w:lvlText w:val="%8)"/>
      <w:lvlJc w:val="left"/>
      <w:pPr>
        <w:ind w:left="372" w:firstLine="0"/>
      </w:pPr>
      <w:rPr>
        <w:rFonts w:cs="Times New Roman" w:hint="eastAsia"/>
      </w:rPr>
    </w:lvl>
    <w:lvl w:ilvl="8">
      <w:start w:val="1"/>
      <w:numFmt w:val="lowerRoman"/>
      <w:lvlText w:val="%9."/>
      <w:lvlJc w:val="right"/>
      <w:pPr>
        <w:ind w:left="372" w:firstLine="0"/>
      </w:pPr>
      <w:rPr>
        <w:rFonts w:cs="Times New Roman" w:hint="eastAsia"/>
      </w:rPr>
    </w:lvl>
  </w:abstractNum>
  <w:abstractNum w:abstractNumId="39" w15:restartNumberingAfterBreak="0">
    <w:nsid w:val="62BC12BD"/>
    <w:multiLevelType w:val="hybridMultilevel"/>
    <w:tmpl w:val="AAFE5B18"/>
    <w:lvl w:ilvl="0" w:tplc="35929382">
      <w:start w:val="1"/>
      <w:numFmt w:val="upperLetter"/>
      <w:lvlText w:val="%1."/>
      <w:lvlJc w:val="left"/>
      <w:pPr>
        <w:ind w:left="800" w:hanging="360"/>
      </w:pPr>
      <w:rPr>
        <w:rFonts w:hint="eastAsia"/>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40" w15:restartNumberingAfterBreak="0">
    <w:nsid w:val="66BD28B3"/>
    <w:multiLevelType w:val="hybridMultilevel"/>
    <w:tmpl w:val="0E8677EC"/>
    <w:lvl w:ilvl="0" w:tplc="8040B476">
      <w:start w:val="1"/>
      <w:numFmt w:val="decimal"/>
      <w:lvlText w:val="(%1)"/>
      <w:lvlJc w:val="left"/>
      <w:pPr>
        <w:ind w:left="860" w:hanging="420"/>
      </w:pPr>
      <w:rPr>
        <w:rFonts w:hint="eastAsia"/>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1" w15:restartNumberingAfterBreak="0">
    <w:nsid w:val="6CD045C1"/>
    <w:multiLevelType w:val="hybridMultilevel"/>
    <w:tmpl w:val="CBA4F5B2"/>
    <w:lvl w:ilvl="0" w:tplc="3618C0FC">
      <w:start w:val="5"/>
      <w:numFmt w:val="bullet"/>
      <w:lvlText w:val="–"/>
      <w:lvlJc w:val="left"/>
      <w:pPr>
        <w:ind w:left="780" w:hanging="360"/>
      </w:pPr>
      <w:rPr>
        <w:rFonts w:ascii="Times New Roman" w:eastAsia="SimSun" w:hAnsi="Times New Roman" w:hint="eastAsia"/>
        <w:color w:val="auto"/>
        <w:w w:val="100"/>
        <w:sz w:val="24"/>
      </w:rPr>
    </w:lvl>
    <w:lvl w:ilvl="1" w:tplc="AFB2CF64">
      <w:numFmt w:val="bullet"/>
      <w:lvlText w:val="•"/>
      <w:lvlJc w:val="left"/>
      <w:pPr>
        <w:ind w:left="1684" w:hanging="360"/>
      </w:pPr>
      <w:rPr>
        <w:rFonts w:hint="default"/>
      </w:rPr>
    </w:lvl>
    <w:lvl w:ilvl="2" w:tplc="A9AEF7E4">
      <w:numFmt w:val="bullet"/>
      <w:lvlText w:val="•"/>
      <w:lvlJc w:val="left"/>
      <w:pPr>
        <w:ind w:left="2588" w:hanging="360"/>
      </w:pPr>
      <w:rPr>
        <w:rFonts w:hint="default"/>
      </w:rPr>
    </w:lvl>
    <w:lvl w:ilvl="3" w:tplc="A50EA812">
      <w:numFmt w:val="bullet"/>
      <w:lvlText w:val="•"/>
      <w:lvlJc w:val="left"/>
      <w:pPr>
        <w:ind w:left="3492" w:hanging="360"/>
      </w:pPr>
      <w:rPr>
        <w:rFonts w:hint="default"/>
      </w:rPr>
    </w:lvl>
    <w:lvl w:ilvl="4" w:tplc="624426F0">
      <w:numFmt w:val="bullet"/>
      <w:lvlText w:val="•"/>
      <w:lvlJc w:val="left"/>
      <w:pPr>
        <w:ind w:left="4396" w:hanging="360"/>
      </w:pPr>
      <w:rPr>
        <w:rFonts w:hint="default"/>
      </w:rPr>
    </w:lvl>
    <w:lvl w:ilvl="5" w:tplc="21F65642">
      <w:numFmt w:val="bullet"/>
      <w:lvlText w:val="•"/>
      <w:lvlJc w:val="left"/>
      <w:pPr>
        <w:ind w:left="5300" w:hanging="360"/>
      </w:pPr>
      <w:rPr>
        <w:rFonts w:hint="default"/>
      </w:rPr>
    </w:lvl>
    <w:lvl w:ilvl="6" w:tplc="90EC5848">
      <w:numFmt w:val="bullet"/>
      <w:lvlText w:val="•"/>
      <w:lvlJc w:val="left"/>
      <w:pPr>
        <w:ind w:left="6204" w:hanging="360"/>
      </w:pPr>
      <w:rPr>
        <w:rFonts w:hint="default"/>
      </w:rPr>
    </w:lvl>
    <w:lvl w:ilvl="7" w:tplc="33D26090">
      <w:numFmt w:val="bullet"/>
      <w:lvlText w:val="•"/>
      <w:lvlJc w:val="left"/>
      <w:pPr>
        <w:ind w:left="7108" w:hanging="360"/>
      </w:pPr>
      <w:rPr>
        <w:rFonts w:hint="default"/>
      </w:rPr>
    </w:lvl>
    <w:lvl w:ilvl="8" w:tplc="D2F2054C">
      <w:numFmt w:val="bullet"/>
      <w:lvlText w:val="•"/>
      <w:lvlJc w:val="left"/>
      <w:pPr>
        <w:ind w:left="8012" w:hanging="360"/>
      </w:pPr>
      <w:rPr>
        <w:rFonts w:hint="default"/>
      </w:rPr>
    </w:lvl>
  </w:abstractNum>
  <w:abstractNum w:abstractNumId="42" w15:restartNumberingAfterBreak="0">
    <w:nsid w:val="6EA210A9"/>
    <w:multiLevelType w:val="hybridMultilevel"/>
    <w:tmpl w:val="4B80E294"/>
    <w:lvl w:ilvl="0" w:tplc="DAE66794">
      <w:start w:val="1"/>
      <w:numFmt w:val="decimal"/>
      <w:lvlText w:val="%1."/>
      <w:lvlJc w:val="left"/>
      <w:pPr>
        <w:ind w:left="1500" w:hanging="360"/>
      </w:pPr>
      <w:rPr>
        <w:rFonts w:cs="Times New Roman" w:hint="eastAsia"/>
        <w:w w:val="100"/>
        <w:sz w:val="24"/>
        <w:szCs w:val="24"/>
      </w:rPr>
    </w:lvl>
    <w:lvl w:ilvl="1" w:tplc="7CCE6C92">
      <w:numFmt w:val="bullet"/>
      <w:lvlText w:val="–"/>
      <w:lvlJc w:val="left"/>
      <w:pPr>
        <w:ind w:left="1860" w:hanging="360"/>
      </w:pPr>
      <w:rPr>
        <w:rFonts w:ascii="Arial" w:eastAsia="Times New Roman" w:hAnsi="Arial" w:hint="default"/>
        <w:w w:val="94"/>
        <w:sz w:val="24"/>
      </w:rPr>
    </w:lvl>
    <w:lvl w:ilvl="2" w:tplc="86665B1E">
      <w:numFmt w:val="bullet"/>
      <w:lvlText w:val="•"/>
      <w:lvlJc w:val="left"/>
      <w:pPr>
        <w:ind w:left="2744" w:hanging="360"/>
      </w:pPr>
      <w:rPr>
        <w:rFonts w:hint="default"/>
      </w:rPr>
    </w:lvl>
    <w:lvl w:ilvl="3" w:tplc="E66AF7C8">
      <w:numFmt w:val="bullet"/>
      <w:lvlText w:val="•"/>
      <w:lvlJc w:val="left"/>
      <w:pPr>
        <w:ind w:left="3628" w:hanging="360"/>
      </w:pPr>
      <w:rPr>
        <w:rFonts w:hint="default"/>
      </w:rPr>
    </w:lvl>
    <w:lvl w:ilvl="4" w:tplc="68864630">
      <w:numFmt w:val="bullet"/>
      <w:lvlText w:val="•"/>
      <w:lvlJc w:val="left"/>
      <w:pPr>
        <w:ind w:left="4513" w:hanging="360"/>
      </w:pPr>
      <w:rPr>
        <w:rFonts w:hint="default"/>
      </w:rPr>
    </w:lvl>
    <w:lvl w:ilvl="5" w:tplc="1EEE0C94">
      <w:numFmt w:val="bullet"/>
      <w:lvlText w:val="•"/>
      <w:lvlJc w:val="left"/>
      <w:pPr>
        <w:ind w:left="5397" w:hanging="360"/>
      </w:pPr>
      <w:rPr>
        <w:rFonts w:hint="default"/>
      </w:rPr>
    </w:lvl>
    <w:lvl w:ilvl="6" w:tplc="F2B4A75A">
      <w:numFmt w:val="bullet"/>
      <w:lvlText w:val="•"/>
      <w:lvlJc w:val="left"/>
      <w:pPr>
        <w:ind w:left="6282" w:hanging="360"/>
      </w:pPr>
      <w:rPr>
        <w:rFonts w:hint="default"/>
      </w:rPr>
    </w:lvl>
    <w:lvl w:ilvl="7" w:tplc="96F4A122">
      <w:numFmt w:val="bullet"/>
      <w:lvlText w:val="•"/>
      <w:lvlJc w:val="left"/>
      <w:pPr>
        <w:ind w:left="7166" w:hanging="360"/>
      </w:pPr>
      <w:rPr>
        <w:rFonts w:hint="default"/>
      </w:rPr>
    </w:lvl>
    <w:lvl w:ilvl="8" w:tplc="23E2FB5E">
      <w:numFmt w:val="bullet"/>
      <w:lvlText w:val="•"/>
      <w:lvlJc w:val="left"/>
      <w:pPr>
        <w:ind w:left="8051" w:hanging="360"/>
      </w:pPr>
      <w:rPr>
        <w:rFonts w:hint="default"/>
      </w:rPr>
    </w:lvl>
  </w:abstractNum>
  <w:abstractNum w:abstractNumId="43" w15:restartNumberingAfterBreak="0">
    <w:nsid w:val="6FE62971"/>
    <w:multiLevelType w:val="multilevel"/>
    <w:tmpl w:val="00AE798C"/>
    <w:lvl w:ilvl="0">
      <w:start w:val="2"/>
      <w:numFmt w:val="decimal"/>
      <w:lvlText w:val="%1"/>
      <w:lvlJc w:val="left"/>
      <w:pPr>
        <w:ind w:left="996" w:hanging="576"/>
      </w:pPr>
      <w:rPr>
        <w:rFonts w:cs="Times New Roman" w:hint="default"/>
      </w:rPr>
    </w:lvl>
    <w:lvl w:ilvl="1">
      <w:start w:val="1"/>
      <w:numFmt w:val="decimal"/>
      <w:lvlText w:val="%1.%2"/>
      <w:lvlJc w:val="left"/>
      <w:pPr>
        <w:ind w:left="996" w:hanging="576"/>
      </w:pPr>
      <w:rPr>
        <w:rFonts w:ascii="Arial" w:eastAsia="Times New Roman" w:hAnsi="Arial" w:cs="Arial" w:hint="default"/>
        <w:b/>
        <w:bCs/>
        <w:spacing w:val="-9"/>
        <w:w w:val="99"/>
        <w:sz w:val="24"/>
        <w:szCs w:val="24"/>
      </w:rPr>
    </w:lvl>
    <w:lvl w:ilvl="2">
      <w:numFmt w:val="bullet"/>
      <w:lvlText w:val="•"/>
      <w:lvlJc w:val="left"/>
      <w:pPr>
        <w:ind w:left="1140" w:hanging="360"/>
      </w:pPr>
      <w:rPr>
        <w:rFonts w:ascii="Arial" w:eastAsia="Times New Roman" w:hAnsi="Arial" w:hint="default"/>
        <w:w w:val="100"/>
        <w:sz w:val="24"/>
      </w:rPr>
    </w:lvl>
    <w:lvl w:ilvl="3">
      <w:numFmt w:val="bullet"/>
      <w:lvlText w:val="•"/>
      <w:lvlJc w:val="left"/>
      <w:pPr>
        <w:ind w:left="2540" w:hanging="360"/>
      </w:pPr>
      <w:rPr>
        <w:rFonts w:hint="default"/>
      </w:rPr>
    </w:lvl>
    <w:lvl w:ilvl="4">
      <w:numFmt w:val="bullet"/>
      <w:lvlText w:val="•"/>
      <w:lvlJc w:val="left"/>
      <w:pPr>
        <w:ind w:left="3580" w:hanging="360"/>
      </w:pPr>
      <w:rPr>
        <w:rFonts w:hint="default"/>
      </w:rPr>
    </w:lvl>
    <w:lvl w:ilvl="5">
      <w:numFmt w:val="bullet"/>
      <w:lvlText w:val="•"/>
      <w:lvlJc w:val="left"/>
      <w:pPr>
        <w:ind w:left="4620" w:hanging="360"/>
      </w:pPr>
      <w:rPr>
        <w:rFonts w:hint="default"/>
      </w:rPr>
    </w:lvl>
    <w:lvl w:ilvl="6">
      <w:numFmt w:val="bullet"/>
      <w:lvlText w:val="•"/>
      <w:lvlJc w:val="left"/>
      <w:pPr>
        <w:ind w:left="5660" w:hanging="360"/>
      </w:pPr>
      <w:rPr>
        <w:rFonts w:hint="default"/>
      </w:rPr>
    </w:lvl>
    <w:lvl w:ilvl="7">
      <w:numFmt w:val="bullet"/>
      <w:lvlText w:val="•"/>
      <w:lvlJc w:val="left"/>
      <w:pPr>
        <w:ind w:left="6700" w:hanging="360"/>
      </w:pPr>
      <w:rPr>
        <w:rFonts w:hint="default"/>
      </w:rPr>
    </w:lvl>
    <w:lvl w:ilvl="8">
      <w:numFmt w:val="bullet"/>
      <w:lvlText w:val="•"/>
      <w:lvlJc w:val="left"/>
      <w:pPr>
        <w:ind w:left="7740" w:hanging="360"/>
      </w:pPr>
      <w:rPr>
        <w:rFonts w:hint="default"/>
      </w:rPr>
    </w:lvl>
  </w:abstractNum>
  <w:abstractNum w:abstractNumId="44" w15:restartNumberingAfterBreak="0">
    <w:nsid w:val="70E31170"/>
    <w:multiLevelType w:val="hybridMultilevel"/>
    <w:tmpl w:val="2FAE7F2C"/>
    <w:lvl w:ilvl="0" w:tplc="1F06A742">
      <w:start w:val="1"/>
      <w:numFmt w:val="bullet"/>
      <w:pStyle w:val="20"/>
      <w:lvlText w:val=""/>
      <w:lvlJc w:val="left"/>
      <w:pPr>
        <w:ind w:left="1130" w:hanging="420"/>
      </w:pPr>
      <w:rPr>
        <w:rFonts w:ascii="Symbol" w:hAnsi="Symbol" w:hint="default"/>
        <w:color w:val="auto"/>
      </w:rPr>
    </w:lvl>
    <w:lvl w:ilvl="1" w:tplc="9E48CB72">
      <w:numFmt w:val="bullet"/>
      <w:lvlText w:val="•"/>
      <w:lvlJc w:val="left"/>
      <w:pPr>
        <w:ind w:left="1683" w:hanging="540"/>
      </w:pPr>
      <w:rPr>
        <w:rFonts w:ascii="NSimSun" w:eastAsia="NSimSun" w:hAnsi="NSimSun" w:hint="eastAsia"/>
      </w:rPr>
    </w:lvl>
    <w:lvl w:ilvl="2" w:tplc="04090005"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3" w:tentative="1">
      <w:start w:val="1"/>
      <w:numFmt w:val="bullet"/>
      <w:lvlText w:val=""/>
      <w:lvlJc w:val="left"/>
      <w:pPr>
        <w:ind w:left="2823" w:hanging="420"/>
      </w:pPr>
      <w:rPr>
        <w:rFonts w:ascii="Wingdings" w:hAnsi="Wingdings" w:hint="default"/>
      </w:rPr>
    </w:lvl>
    <w:lvl w:ilvl="5" w:tplc="04090005"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3" w:tentative="1">
      <w:start w:val="1"/>
      <w:numFmt w:val="bullet"/>
      <w:lvlText w:val=""/>
      <w:lvlJc w:val="left"/>
      <w:pPr>
        <w:ind w:left="4083" w:hanging="420"/>
      </w:pPr>
      <w:rPr>
        <w:rFonts w:ascii="Wingdings" w:hAnsi="Wingdings" w:hint="default"/>
      </w:rPr>
    </w:lvl>
    <w:lvl w:ilvl="8" w:tplc="04090005" w:tentative="1">
      <w:start w:val="1"/>
      <w:numFmt w:val="bullet"/>
      <w:lvlText w:val=""/>
      <w:lvlJc w:val="left"/>
      <w:pPr>
        <w:ind w:left="4503" w:hanging="420"/>
      </w:pPr>
      <w:rPr>
        <w:rFonts w:ascii="Wingdings" w:hAnsi="Wingdings" w:hint="default"/>
      </w:rPr>
    </w:lvl>
  </w:abstractNum>
  <w:abstractNum w:abstractNumId="45" w15:restartNumberingAfterBreak="0">
    <w:nsid w:val="7DF04022"/>
    <w:multiLevelType w:val="hybridMultilevel"/>
    <w:tmpl w:val="2A9ADF26"/>
    <w:lvl w:ilvl="0" w:tplc="385229FA">
      <w:start w:val="5"/>
      <w:numFmt w:val="bullet"/>
      <w:lvlText w:val="–"/>
      <w:lvlJc w:val="left"/>
      <w:pPr>
        <w:ind w:left="1554" w:hanging="420"/>
      </w:pPr>
      <w:rPr>
        <w:rFonts w:ascii="SimSun" w:eastAsia="SimSun" w:hAnsi="SimSun" w:hint="eastAsia"/>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6" w15:restartNumberingAfterBreak="0">
    <w:nsid w:val="7FFD5835"/>
    <w:multiLevelType w:val="hybridMultilevel"/>
    <w:tmpl w:val="85BAB5B6"/>
    <w:lvl w:ilvl="0" w:tplc="BD8E86E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31"/>
  </w:num>
  <w:num w:numId="3">
    <w:abstractNumId w:val="11"/>
  </w:num>
  <w:num w:numId="4">
    <w:abstractNumId w:val="20"/>
  </w:num>
  <w:num w:numId="5">
    <w:abstractNumId w:val="28"/>
  </w:num>
  <w:num w:numId="6">
    <w:abstractNumId w:val="43"/>
  </w:num>
  <w:num w:numId="7">
    <w:abstractNumId w:val="44"/>
  </w:num>
  <w:num w:numId="8">
    <w:abstractNumId w:val="15"/>
  </w:num>
  <w:num w:numId="9">
    <w:abstractNumId w:val="36"/>
  </w:num>
  <w:num w:numId="10">
    <w:abstractNumId w:val="38"/>
  </w:num>
  <w:num w:numId="11">
    <w:abstractNumId w:val="27"/>
  </w:num>
  <w:num w:numId="12">
    <w:abstractNumId w:val="35"/>
  </w:num>
  <w:num w:numId="13">
    <w:abstractNumId w:val="16"/>
  </w:num>
  <w:num w:numId="14">
    <w:abstractNumId w:val="34"/>
  </w:num>
  <w:num w:numId="15">
    <w:abstractNumId w:val="17"/>
  </w:num>
  <w:num w:numId="16">
    <w:abstractNumId w:val="22"/>
  </w:num>
  <w:num w:numId="17">
    <w:abstractNumId w:val="45"/>
  </w:num>
  <w:num w:numId="18">
    <w:abstractNumId w:val="29"/>
  </w:num>
  <w:num w:numId="19">
    <w:abstractNumId w:val="12"/>
  </w:num>
  <w:num w:numId="20">
    <w:abstractNumId w:val="13"/>
  </w:num>
  <w:num w:numId="21">
    <w:abstractNumId w:val="41"/>
  </w:num>
  <w:num w:numId="22">
    <w:abstractNumId w:val="26"/>
  </w:num>
  <w:num w:numId="23">
    <w:abstractNumId w:val="33"/>
  </w:num>
  <w:num w:numId="24">
    <w:abstractNumId w:val="19"/>
  </w:num>
  <w:num w:numId="25">
    <w:abstractNumId w:val="42"/>
  </w:num>
  <w:num w:numId="26">
    <w:abstractNumId w:val="14"/>
  </w:num>
  <w:num w:numId="27">
    <w:abstractNumId w:val="18"/>
  </w:num>
  <w:num w:numId="28">
    <w:abstractNumId w:val="39"/>
  </w:num>
  <w:num w:numId="29">
    <w:abstractNumId w:val="10"/>
    <w:lvlOverride w:ilvl="0">
      <w:lvl w:ilvl="0">
        <w:numFmt w:val="bullet"/>
        <w:lvlText w:val="•"/>
        <w:legacy w:legacy="1" w:legacySpace="0" w:legacyIndent="0"/>
        <w:lvlJc w:val="left"/>
        <w:rPr>
          <w:rFonts w:ascii="Times New Roman" w:hAnsi="Times New Roman" w:hint="default"/>
          <w:snapToGrid w:val="0"/>
          <w:color w:val="auto"/>
          <w:sz w:val="18"/>
        </w:rPr>
      </w:lvl>
    </w:lvlOverride>
  </w:num>
  <w:num w:numId="30">
    <w:abstractNumId w:val="32"/>
  </w:num>
  <w:num w:numId="31">
    <w:abstractNumId w:val="30"/>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46"/>
  </w:num>
  <w:num w:numId="43">
    <w:abstractNumId w:val="40"/>
  </w:num>
  <w:num w:numId="44">
    <w:abstractNumId w:val="37"/>
  </w:num>
  <w:num w:numId="45">
    <w:abstractNumId w:val="24"/>
  </w:num>
  <w:num w:numId="46">
    <w:abstractNumId w:val="21"/>
  </w:num>
  <w:num w:numId="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0"/>
  <w:defaultTabStop w:val="440"/>
  <w:characterSpacingControl w:val="doNotCompress"/>
  <w:noLineBreaksAfter w:lang="zh-CN" w:val="$([{£¥·‘“〈《「『【〔〖〝﹙﹛﹝＄（．［｛￡￥"/>
  <w:noLineBreaksBefore w:lang="zh-CN" w:val="!%),.:;&gt;?]}¢¨°·ˇˉ―‖’”…‰′″›℃∶、。〃〉》」』】〕〗〞︶︺︾﹀﹄﹚﹜﹞！＂％＇），．：；？］｀｜｝～￠"/>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1F"/>
    <w:rsid w:val="00001731"/>
    <w:rsid w:val="00002F74"/>
    <w:rsid w:val="0000621D"/>
    <w:rsid w:val="0000676E"/>
    <w:rsid w:val="000072D4"/>
    <w:rsid w:val="00010DA5"/>
    <w:rsid w:val="0001292F"/>
    <w:rsid w:val="0002053A"/>
    <w:rsid w:val="00020C39"/>
    <w:rsid w:val="00022BC8"/>
    <w:rsid w:val="000230BA"/>
    <w:rsid w:val="00026D8D"/>
    <w:rsid w:val="00035444"/>
    <w:rsid w:val="00036652"/>
    <w:rsid w:val="00037CC2"/>
    <w:rsid w:val="000400DC"/>
    <w:rsid w:val="000403B3"/>
    <w:rsid w:val="00042BA0"/>
    <w:rsid w:val="00045F7D"/>
    <w:rsid w:val="00050F80"/>
    <w:rsid w:val="00052D29"/>
    <w:rsid w:val="00055E6A"/>
    <w:rsid w:val="00056DAA"/>
    <w:rsid w:val="000648BF"/>
    <w:rsid w:val="000653EB"/>
    <w:rsid w:val="00066654"/>
    <w:rsid w:val="000703A2"/>
    <w:rsid w:val="00074DCD"/>
    <w:rsid w:val="00076371"/>
    <w:rsid w:val="000767C5"/>
    <w:rsid w:val="00076CAE"/>
    <w:rsid w:val="000808B4"/>
    <w:rsid w:val="000816A2"/>
    <w:rsid w:val="00082ABC"/>
    <w:rsid w:val="00083092"/>
    <w:rsid w:val="00084761"/>
    <w:rsid w:val="00086151"/>
    <w:rsid w:val="0008663D"/>
    <w:rsid w:val="00086BD9"/>
    <w:rsid w:val="00086E85"/>
    <w:rsid w:val="000871E5"/>
    <w:rsid w:val="00087C20"/>
    <w:rsid w:val="00090DF8"/>
    <w:rsid w:val="000928FB"/>
    <w:rsid w:val="000959A9"/>
    <w:rsid w:val="000974F2"/>
    <w:rsid w:val="000A08EE"/>
    <w:rsid w:val="000A2B47"/>
    <w:rsid w:val="000A2D85"/>
    <w:rsid w:val="000A3C4E"/>
    <w:rsid w:val="000A4461"/>
    <w:rsid w:val="000A62BC"/>
    <w:rsid w:val="000A65EC"/>
    <w:rsid w:val="000B0E4E"/>
    <w:rsid w:val="000B183A"/>
    <w:rsid w:val="000B2C2F"/>
    <w:rsid w:val="000B7A3E"/>
    <w:rsid w:val="000B7B88"/>
    <w:rsid w:val="000C027A"/>
    <w:rsid w:val="000C0293"/>
    <w:rsid w:val="000C33AE"/>
    <w:rsid w:val="000C3E68"/>
    <w:rsid w:val="000C42FE"/>
    <w:rsid w:val="000C5CF8"/>
    <w:rsid w:val="000C6430"/>
    <w:rsid w:val="000C6820"/>
    <w:rsid w:val="000D2B37"/>
    <w:rsid w:val="000D614A"/>
    <w:rsid w:val="000D66BD"/>
    <w:rsid w:val="000D687C"/>
    <w:rsid w:val="000D79CA"/>
    <w:rsid w:val="000E2CC9"/>
    <w:rsid w:val="000E337D"/>
    <w:rsid w:val="000E5971"/>
    <w:rsid w:val="000E5AEB"/>
    <w:rsid w:val="000E5CF9"/>
    <w:rsid w:val="000E5D76"/>
    <w:rsid w:val="000F067C"/>
    <w:rsid w:val="000F0E76"/>
    <w:rsid w:val="000F1AAE"/>
    <w:rsid w:val="000F40E2"/>
    <w:rsid w:val="000F76D4"/>
    <w:rsid w:val="001011E2"/>
    <w:rsid w:val="00101A3C"/>
    <w:rsid w:val="00102DE6"/>
    <w:rsid w:val="00103F97"/>
    <w:rsid w:val="00105FC4"/>
    <w:rsid w:val="00106BDD"/>
    <w:rsid w:val="00107202"/>
    <w:rsid w:val="00107790"/>
    <w:rsid w:val="001079DA"/>
    <w:rsid w:val="00110FE1"/>
    <w:rsid w:val="00113048"/>
    <w:rsid w:val="00114CA0"/>
    <w:rsid w:val="00115103"/>
    <w:rsid w:val="0011518A"/>
    <w:rsid w:val="00116067"/>
    <w:rsid w:val="00117ECF"/>
    <w:rsid w:val="00117FE2"/>
    <w:rsid w:val="0012083D"/>
    <w:rsid w:val="00120B42"/>
    <w:rsid w:val="001223A2"/>
    <w:rsid w:val="00123D47"/>
    <w:rsid w:val="001245D9"/>
    <w:rsid w:val="00127DE6"/>
    <w:rsid w:val="00131007"/>
    <w:rsid w:val="00132988"/>
    <w:rsid w:val="00132C43"/>
    <w:rsid w:val="00137AB6"/>
    <w:rsid w:val="00140BC2"/>
    <w:rsid w:val="00143D0B"/>
    <w:rsid w:val="001453E8"/>
    <w:rsid w:val="00147EAB"/>
    <w:rsid w:val="00152E74"/>
    <w:rsid w:val="00154087"/>
    <w:rsid w:val="00155174"/>
    <w:rsid w:val="001553AE"/>
    <w:rsid w:val="00156326"/>
    <w:rsid w:val="00156B84"/>
    <w:rsid w:val="001571D4"/>
    <w:rsid w:val="00160CB2"/>
    <w:rsid w:val="001618AB"/>
    <w:rsid w:val="00174E34"/>
    <w:rsid w:val="001754DE"/>
    <w:rsid w:val="00175AB1"/>
    <w:rsid w:val="00176546"/>
    <w:rsid w:val="00176A05"/>
    <w:rsid w:val="00177531"/>
    <w:rsid w:val="0018035A"/>
    <w:rsid w:val="0018153D"/>
    <w:rsid w:val="001844A3"/>
    <w:rsid w:val="00192AC9"/>
    <w:rsid w:val="0019560E"/>
    <w:rsid w:val="00196C28"/>
    <w:rsid w:val="001973C4"/>
    <w:rsid w:val="00197458"/>
    <w:rsid w:val="00197F9F"/>
    <w:rsid w:val="001A2334"/>
    <w:rsid w:val="001A2632"/>
    <w:rsid w:val="001B4E95"/>
    <w:rsid w:val="001B6222"/>
    <w:rsid w:val="001B6C5A"/>
    <w:rsid w:val="001C05AF"/>
    <w:rsid w:val="001C0BCF"/>
    <w:rsid w:val="001C3278"/>
    <w:rsid w:val="001C4359"/>
    <w:rsid w:val="001C7019"/>
    <w:rsid w:val="001C739B"/>
    <w:rsid w:val="001D07BC"/>
    <w:rsid w:val="001D103B"/>
    <w:rsid w:val="001D1AE5"/>
    <w:rsid w:val="001D3D78"/>
    <w:rsid w:val="001D684A"/>
    <w:rsid w:val="001E3071"/>
    <w:rsid w:val="001E40F8"/>
    <w:rsid w:val="001E4250"/>
    <w:rsid w:val="001E65BB"/>
    <w:rsid w:val="001F0BD6"/>
    <w:rsid w:val="001F29F6"/>
    <w:rsid w:val="001F358D"/>
    <w:rsid w:val="001F4DF2"/>
    <w:rsid w:val="001F6B37"/>
    <w:rsid w:val="001F77F6"/>
    <w:rsid w:val="00200B55"/>
    <w:rsid w:val="00201FCB"/>
    <w:rsid w:val="00203CB8"/>
    <w:rsid w:val="00203F98"/>
    <w:rsid w:val="002052B9"/>
    <w:rsid w:val="00211C7D"/>
    <w:rsid w:val="002147FD"/>
    <w:rsid w:val="00214EE5"/>
    <w:rsid w:val="002176D9"/>
    <w:rsid w:val="002177C0"/>
    <w:rsid w:val="00220555"/>
    <w:rsid w:val="00221880"/>
    <w:rsid w:val="00223353"/>
    <w:rsid w:val="00223A7F"/>
    <w:rsid w:val="00226CC1"/>
    <w:rsid w:val="0022711B"/>
    <w:rsid w:val="00230881"/>
    <w:rsid w:val="00230E98"/>
    <w:rsid w:val="002318DE"/>
    <w:rsid w:val="00233C9B"/>
    <w:rsid w:val="00234C60"/>
    <w:rsid w:val="00236082"/>
    <w:rsid w:val="00241AF6"/>
    <w:rsid w:val="00244821"/>
    <w:rsid w:val="00247242"/>
    <w:rsid w:val="002507C2"/>
    <w:rsid w:val="00250CD4"/>
    <w:rsid w:val="002518CC"/>
    <w:rsid w:val="00252E62"/>
    <w:rsid w:val="00253167"/>
    <w:rsid w:val="00253CDC"/>
    <w:rsid w:val="00255560"/>
    <w:rsid w:val="002608A9"/>
    <w:rsid w:val="002623FB"/>
    <w:rsid w:val="0026271C"/>
    <w:rsid w:val="002627DD"/>
    <w:rsid w:val="00263417"/>
    <w:rsid w:val="002637A3"/>
    <w:rsid w:val="0026387E"/>
    <w:rsid w:val="00263E8A"/>
    <w:rsid w:val="00271E87"/>
    <w:rsid w:val="00272B65"/>
    <w:rsid w:val="00274AA6"/>
    <w:rsid w:val="00277EA0"/>
    <w:rsid w:val="00280EE9"/>
    <w:rsid w:val="00281834"/>
    <w:rsid w:val="002831A7"/>
    <w:rsid w:val="002849B9"/>
    <w:rsid w:val="00287441"/>
    <w:rsid w:val="00291BE3"/>
    <w:rsid w:val="0029365E"/>
    <w:rsid w:val="00293686"/>
    <w:rsid w:val="00295841"/>
    <w:rsid w:val="002960A9"/>
    <w:rsid w:val="00296981"/>
    <w:rsid w:val="002A583A"/>
    <w:rsid w:val="002A7A8C"/>
    <w:rsid w:val="002B2947"/>
    <w:rsid w:val="002C09DC"/>
    <w:rsid w:val="002C26A0"/>
    <w:rsid w:val="002C76F2"/>
    <w:rsid w:val="002D0974"/>
    <w:rsid w:val="002D0DD4"/>
    <w:rsid w:val="002D0F1A"/>
    <w:rsid w:val="002D36A5"/>
    <w:rsid w:val="002D490F"/>
    <w:rsid w:val="002D4C71"/>
    <w:rsid w:val="002D58B9"/>
    <w:rsid w:val="002D66FD"/>
    <w:rsid w:val="002E039F"/>
    <w:rsid w:val="002E2727"/>
    <w:rsid w:val="002E4FC5"/>
    <w:rsid w:val="002E6BD1"/>
    <w:rsid w:val="002E79F1"/>
    <w:rsid w:val="002F027B"/>
    <w:rsid w:val="002F1A5B"/>
    <w:rsid w:val="002F3664"/>
    <w:rsid w:val="002F3A37"/>
    <w:rsid w:val="002F4456"/>
    <w:rsid w:val="002F7251"/>
    <w:rsid w:val="00300234"/>
    <w:rsid w:val="003017ED"/>
    <w:rsid w:val="00301BD4"/>
    <w:rsid w:val="00302FBD"/>
    <w:rsid w:val="0030381D"/>
    <w:rsid w:val="00303F5E"/>
    <w:rsid w:val="00304A36"/>
    <w:rsid w:val="00306645"/>
    <w:rsid w:val="003127B1"/>
    <w:rsid w:val="00314AD5"/>
    <w:rsid w:val="00315C51"/>
    <w:rsid w:val="003162A6"/>
    <w:rsid w:val="00317CA9"/>
    <w:rsid w:val="00326BE0"/>
    <w:rsid w:val="00326D6E"/>
    <w:rsid w:val="00331400"/>
    <w:rsid w:val="00333F9C"/>
    <w:rsid w:val="00335F5D"/>
    <w:rsid w:val="00337199"/>
    <w:rsid w:val="003407AD"/>
    <w:rsid w:val="00344701"/>
    <w:rsid w:val="00347F04"/>
    <w:rsid w:val="003503DC"/>
    <w:rsid w:val="00350507"/>
    <w:rsid w:val="0035543C"/>
    <w:rsid w:val="003625BF"/>
    <w:rsid w:val="00364AAA"/>
    <w:rsid w:val="0037177A"/>
    <w:rsid w:val="0037211D"/>
    <w:rsid w:val="00376C23"/>
    <w:rsid w:val="00377D7B"/>
    <w:rsid w:val="0038058E"/>
    <w:rsid w:val="003809B5"/>
    <w:rsid w:val="003824F2"/>
    <w:rsid w:val="00382C2E"/>
    <w:rsid w:val="00383371"/>
    <w:rsid w:val="00384520"/>
    <w:rsid w:val="003941EA"/>
    <w:rsid w:val="00395530"/>
    <w:rsid w:val="00395F94"/>
    <w:rsid w:val="00396ED4"/>
    <w:rsid w:val="003971DE"/>
    <w:rsid w:val="003A1161"/>
    <w:rsid w:val="003A2F1D"/>
    <w:rsid w:val="003A3192"/>
    <w:rsid w:val="003A3299"/>
    <w:rsid w:val="003A3D5B"/>
    <w:rsid w:val="003A3FFC"/>
    <w:rsid w:val="003A5120"/>
    <w:rsid w:val="003A5B19"/>
    <w:rsid w:val="003A6E7E"/>
    <w:rsid w:val="003A6F12"/>
    <w:rsid w:val="003A7026"/>
    <w:rsid w:val="003B08AA"/>
    <w:rsid w:val="003B1608"/>
    <w:rsid w:val="003B253A"/>
    <w:rsid w:val="003B54C9"/>
    <w:rsid w:val="003B5670"/>
    <w:rsid w:val="003B650D"/>
    <w:rsid w:val="003B7B13"/>
    <w:rsid w:val="003C2BB5"/>
    <w:rsid w:val="003C2C6F"/>
    <w:rsid w:val="003C5DC6"/>
    <w:rsid w:val="003C5FC1"/>
    <w:rsid w:val="003C7E6E"/>
    <w:rsid w:val="003D1391"/>
    <w:rsid w:val="003D19BC"/>
    <w:rsid w:val="003D6DEE"/>
    <w:rsid w:val="003D7532"/>
    <w:rsid w:val="003D7F20"/>
    <w:rsid w:val="003F0A13"/>
    <w:rsid w:val="003F393D"/>
    <w:rsid w:val="003F504A"/>
    <w:rsid w:val="00402865"/>
    <w:rsid w:val="00405CA4"/>
    <w:rsid w:val="004068ED"/>
    <w:rsid w:val="00407535"/>
    <w:rsid w:val="00411351"/>
    <w:rsid w:val="00413A25"/>
    <w:rsid w:val="00417E14"/>
    <w:rsid w:val="00421803"/>
    <w:rsid w:val="00422A03"/>
    <w:rsid w:val="004249DC"/>
    <w:rsid w:val="00424CA6"/>
    <w:rsid w:val="00425BD8"/>
    <w:rsid w:val="00431C89"/>
    <w:rsid w:val="00432845"/>
    <w:rsid w:val="004341BF"/>
    <w:rsid w:val="0043655D"/>
    <w:rsid w:val="004378A4"/>
    <w:rsid w:val="00440300"/>
    <w:rsid w:val="00442A9B"/>
    <w:rsid w:val="0044494A"/>
    <w:rsid w:val="00446FA7"/>
    <w:rsid w:val="00451BF4"/>
    <w:rsid w:val="00452247"/>
    <w:rsid w:val="00453FAC"/>
    <w:rsid w:val="004551EB"/>
    <w:rsid w:val="00455B12"/>
    <w:rsid w:val="004604B4"/>
    <w:rsid w:val="0046190E"/>
    <w:rsid w:val="00461CF1"/>
    <w:rsid w:val="004620E2"/>
    <w:rsid w:val="00463F51"/>
    <w:rsid w:val="00472309"/>
    <w:rsid w:val="00472981"/>
    <w:rsid w:val="00472C36"/>
    <w:rsid w:val="00472D67"/>
    <w:rsid w:val="004733E0"/>
    <w:rsid w:val="00473E31"/>
    <w:rsid w:val="00475694"/>
    <w:rsid w:val="00476095"/>
    <w:rsid w:val="00476894"/>
    <w:rsid w:val="00476EB8"/>
    <w:rsid w:val="00476EDC"/>
    <w:rsid w:val="00477DBE"/>
    <w:rsid w:val="00480350"/>
    <w:rsid w:val="00481843"/>
    <w:rsid w:val="004867E5"/>
    <w:rsid w:val="00486D6E"/>
    <w:rsid w:val="00487EE0"/>
    <w:rsid w:val="0049217A"/>
    <w:rsid w:val="004951C5"/>
    <w:rsid w:val="004971DE"/>
    <w:rsid w:val="00497C99"/>
    <w:rsid w:val="004A0E7E"/>
    <w:rsid w:val="004B1F5F"/>
    <w:rsid w:val="004C0608"/>
    <w:rsid w:val="004C08C9"/>
    <w:rsid w:val="004C0B0C"/>
    <w:rsid w:val="004C0DC6"/>
    <w:rsid w:val="004C1CCC"/>
    <w:rsid w:val="004C5369"/>
    <w:rsid w:val="004C6882"/>
    <w:rsid w:val="004C73D1"/>
    <w:rsid w:val="004C7979"/>
    <w:rsid w:val="004D052F"/>
    <w:rsid w:val="004D58E6"/>
    <w:rsid w:val="004E0CA9"/>
    <w:rsid w:val="004E2571"/>
    <w:rsid w:val="004E29FF"/>
    <w:rsid w:val="004F7089"/>
    <w:rsid w:val="0050083D"/>
    <w:rsid w:val="00500B2F"/>
    <w:rsid w:val="00500BEC"/>
    <w:rsid w:val="0050129B"/>
    <w:rsid w:val="00501EBA"/>
    <w:rsid w:val="005029AD"/>
    <w:rsid w:val="005101E7"/>
    <w:rsid w:val="00510F17"/>
    <w:rsid w:val="0051138E"/>
    <w:rsid w:val="005136BE"/>
    <w:rsid w:val="0052456A"/>
    <w:rsid w:val="00525D55"/>
    <w:rsid w:val="00526039"/>
    <w:rsid w:val="00530995"/>
    <w:rsid w:val="005329C1"/>
    <w:rsid w:val="00534ED2"/>
    <w:rsid w:val="00535EC2"/>
    <w:rsid w:val="00540E46"/>
    <w:rsid w:val="0054232F"/>
    <w:rsid w:val="005453E9"/>
    <w:rsid w:val="005462AC"/>
    <w:rsid w:val="005471E4"/>
    <w:rsid w:val="005506C6"/>
    <w:rsid w:val="005517F8"/>
    <w:rsid w:val="005528F5"/>
    <w:rsid w:val="005531E6"/>
    <w:rsid w:val="0055373E"/>
    <w:rsid w:val="00553B09"/>
    <w:rsid w:val="00553F49"/>
    <w:rsid w:val="005542CB"/>
    <w:rsid w:val="0056148E"/>
    <w:rsid w:val="00563043"/>
    <w:rsid w:val="00563264"/>
    <w:rsid w:val="00563AA5"/>
    <w:rsid w:val="00563DAF"/>
    <w:rsid w:val="00564B88"/>
    <w:rsid w:val="00566062"/>
    <w:rsid w:val="0056640B"/>
    <w:rsid w:val="00566854"/>
    <w:rsid w:val="00566FCC"/>
    <w:rsid w:val="005678AC"/>
    <w:rsid w:val="0057075A"/>
    <w:rsid w:val="00570A0C"/>
    <w:rsid w:val="00571488"/>
    <w:rsid w:val="00571C5C"/>
    <w:rsid w:val="00572663"/>
    <w:rsid w:val="00573A58"/>
    <w:rsid w:val="00573AD7"/>
    <w:rsid w:val="0057671E"/>
    <w:rsid w:val="005776F8"/>
    <w:rsid w:val="005779FD"/>
    <w:rsid w:val="00577C8B"/>
    <w:rsid w:val="005809B6"/>
    <w:rsid w:val="005827FD"/>
    <w:rsid w:val="00585F74"/>
    <w:rsid w:val="005864A9"/>
    <w:rsid w:val="00587566"/>
    <w:rsid w:val="00587575"/>
    <w:rsid w:val="00590BAE"/>
    <w:rsid w:val="0059172D"/>
    <w:rsid w:val="00592053"/>
    <w:rsid w:val="005930A0"/>
    <w:rsid w:val="00594D37"/>
    <w:rsid w:val="005A1981"/>
    <w:rsid w:val="005A1F7B"/>
    <w:rsid w:val="005A5F85"/>
    <w:rsid w:val="005A7018"/>
    <w:rsid w:val="005B0609"/>
    <w:rsid w:val="005B31B1"/>
    <w:rsid w:val="005B3598"/>
    <w:rsid w:val="005B5F48"/>
    <w:rsid w:val="005C28D4"/>
    <w:rsid w:val="005C418D"/>
    <w:rsid w:val="005C5DD4"/>
    <w:rsid w:val="005C6C5B"/>
    <w:rsid w:val="005C7F47"/>
    <w:rsid w:val="005D19DF"/>
    <w:rsid w:val="005D76CD"/>
    <w:rsid w:val="005D79F7"/>
    <w:rsid w:val="005E105B"/>
    <w:rsid w:val="005E1948"/>
    <w:rsid w:val="005E420C"/>
    <w:rsid w:val="005E482A"/>
    <w:rsid w:val="005E6F4D"/>
    <w:rsid w:val="005F0F69"/>
    <w:rsid w:val="005F4914"/>
    <w:rsid w:val="005F6E3C"/>
    <w:rsid w:val="006004EC"/>
    <w:rsid w:val="00600716"/>
    <w:rsid w:val="0060382E"/>
    <w:rsid w:val="00605C59"/>
    <w:rsid w:val="00606163"/>
    <w:rsid w:val="00606235"/>
    <w:rsid w:val="00612F94"/>
    <w:rsid w:val="0061476F"/>
    <w:rsid w:val="00616ABB"/>
    <w:rsid w:val="00616BA8"/>
    <w:rsid w:val="00617F9B"/>
    <w:rsid w:val="00620B34"/>
    <w:rsid w:val="00621E9F"/>
    <w:rsid w:val="006234FE"/>
    <w:rsid w:val="00623A3C"/>
    <w:rsid w:val="0062439E"/>
    <w:rsid w:val="006256E3"/>
    <w:rsid w:val="0062576A"/>
    <w:rsid w:val="00632777"/>
    <w:rsid w:val="006335C5"/>
    <w:rsid w:val="00634C45"/>
    <w:rsid w:val="00636B25"/>
    <w:rsid w:val="00637FCC"/>
    <w:rsid w:val="00642BA6"/>
    <w:rsid w:val="00643ED9"/>
    <w:rsid w:val="00644062"/>
    <w:rsid w:val="00646EC4"/>
    <w:rsid w:val="0065024A"/>
    <w:rsid w:val="00652E7C"/>
    <w:rsid w:val="006534D4"/>
    <w:rsid w:val="00656361"/>
    <w:rsid w:val="00660BCC"/>
    <w:rsid w:val="006617AC"/>
    <w:rsid w:val="006648B4"/>
    <w:rsid w:val="006653BD"/>
    <w:rsid w:val="0066563A"/>
    <w:rsid w:val="0066797C"/>
    <w:rsid w:val="00671764"/>
    <w:rsid w:val="00672EE1"/>
    <w:rsid w:val="00674F2F"/>
    <w:rsid w:val="0067619F"/>
    <w:rsid w:val="00676FDE"/>
    <w:rsid w:val="00677341"/>
    <w:rsid w:val="00681937"/>
    <w:rsid w:val="00681D17"/>
    <w:rsid w:val="006843C5"/>
    <w:rsid w:val="00685458"/>
    <w:rsid w:val="006870A9"/>
    <w:rsid w:val="006904FF"/>
    <w:rsid w:val="006936D6"/>
    <w:rsid w:val="00695BAA"/>
    <w:rsid w:val="006A0E84"/>
    <w:rsid w:val="006A1320"/>
    <w:rsid w:val="006A485F"/>
    <w:rsid w:val="006A6EE0"/>
    <w:rsid w:val="006B0C4A"/>
    <w:rsid w:val="006B0FDE"/>
    <w:rsid w:val="006B487B"/>
    <w:rsid w:val="006B604D"/>
    <w:rsid w:val="006B7565"/>
    <w:rsid w:val="006C2636"/>
    <w:rsid w:val="006C3352"/>
    <w:rsid w:val="006C463C"/>
    <w:rsid w:val="006C60D5"/>
    <w:rsid w:val="006C7162"/>
    <w:rsid w:val="006C7990"/>
    <w:rsid w:val="006D0C84"/>
    <w:rsid w:val="006D0EF5"/>
    <w:rsid w:val="006D56FF"/>
    <w:rsid w:val="006D660A"/>
    <w:rsid w:val="006D7F05"/>
    <w:rsid w:val="006E3338"/>
    <w:rsid w:val="006E5FE6"/>
    <w:rsid w:val="006E70E7"/>
    <w:rsid w:val="006F512D"/>
    <w:rsid w:val="006F7153"/>
    <w:rsid w:val="006F79B1"/>
    <w:rsid w:val="006F7A12"/>
    <w:rsid w:val="0070200D"/>
    <w:rsid w:val="007037F4"/>
    <w:rsid w:val="00703F32"/>
    <w:rsid w:val="00707037"/>
    <w:rsid w:val="00714299"/>
    <w:rsid w:val="007142D0"/>
    <w:rsid w:val="00721382"/>
    <w:rsid w:val="007234DF"/>
    <w:rsid w:val="0073013E"/>
    <w:rsid w:val="00731F77"/>
    <w:rsid w:val="00735BBC"/>
    <w:rsid w:val="00735ECF"/>
    <w:rsid w:val="00737DAB"/>
    <w:rsid w:val="00737EEB"/>
    <w:rsid w:val="0074024C"/>
    <w:rsid w:val="00744E89"/>
    <w:rsid w:val="007454A1"/>
    <w:rsid w:val="007457E6"/>
    <w:rsid w:val="00745D2E"/>
    <w:rsid w:val="007462F1"/>
    <w:rsid w:val="00746C99"/>
    <w:rsid w:val="007472F9"/>
    <w:rsid w:val="007518AD"/>
    <w:rsid w:val="00751993"/>
    <w:rsid w:val="007544DD"/>
    <w:rsid w:val="0075584A"/>
    <w:rsid w:val="0075784C"/>
    <w:rsid w:val="00760BF4"/>
    <w:rsid w:val="007612C5"/>
    <w:rsid w:val="00761343"/>
    <w:rsid w:val="00761F56"/>
    <w:rsid w:val="00762124"/>
    <w:rsid w:val="00764731"/>
    <w:rsid w:val="0076627A"/>
    <w:rsid w:val="00766343"/>
    <w:rsid w:val="00771032"/>
    <w:rsid w:val="0077355B"/>
    <w:rsid w:val="00776F5A"/>
    <w:rsid w:val="00782669"/>
    <w:rsid w:val="00790E64"/>
    <w:rsid w:val="0079115E"/>
    <w:rsid w:val="00792C86"/>
    <w:rsid w:val="00793279"/>
    <w:rsid w:val="007949E1"/>
    <w:rsid w:val="00794A6B"/>
    <w:rsid w:val="0079502D"/>
    <w:rsid w:val="00796BBD"/>
    <w:rsid w:val="007971CC"/>
    <w:rsid w:val="007A060F"/>
    <w:rsid w:val="007A16A9"/>
    <w:rsid w:val="007A17FC"/>
    <w:rsid w:val="007A5341"/>
    <w:rsid w:val="007A688D"/>
    <w:rsid w:val="007B349D"/>
    <w:rsid w:val="007B4362"/>
    <w:rsid w:val="007B5329"/>
    <w:rsid w:val="007B7339"/>
    <w:rsid w:val="007C0102"/>
    <w:rsid w:val="007C1C28"/>
    <w:rsid w:val="007C5769"/>
    <w:rsid w:val="007D44A3"/>
    <w:rsid w:val="007D480F"/>
    <w:rsid w:val="007D67CE"/>
    <w:rsid w:val="007E08B1"/>
    <w:rsid w:val="007E4581"/>
    <w:rsid w:val="007E6358"/>
    <w:rsid w:val="007E6460"/>
    <w:rsid w:val="007F1208"/>
    <w:rsid w:val="007F407B"/>
    <w:rsid w:val="007F6A3F"/>
    <w:rsid w:val="007F7CD4"/>
    <w:rsid w:val="00800375"/>
    <w:rsid w:val="00800548"/>
    <w:rsid w:val="00800566"/>
    <w:rsid w:val="0080173C"/>
    <w:rsid w:val="0080246F"/>
    <w:rsid w:val="0080369F"/>
    <w:rsid w:val="00810E34"/>
    <w:rsid w:val="0081148C"/>
    <w:rsid w:val="0081337A"/>
    <w:rsid w:val="00813EAF"/>
    <w:rsid w:val="00814734"/>
    <w:rsid w:val="00815CA1"/>
    <w:rsid w:val="00816E30"/>
    <w:rsid w:val="00823875"/>
    <w:rsid w:val="0082607F"/>
    <w:rsid w:val="0082630B"/>
    <w:rsid w:val="008332D2"/>
    <w:rsid w:val="00833593"/>
    <w:rsid w:val="008373E8"/>
    <w:rsid w:val="00844761"/>
    <w:rsid w:val="0085046B"/>
    <w:rsid w:val="00850DA9"/>
    <w:rsid w:val="00854A61"/>
    <w:rsid w:val="00857B65"/>
    <w:rsid w:val="00862729"/>
    <w:rsid w:val="008637BE"/>
    <w:rsid w:val="00863975"/>
    <w:rsid w:val="0086475D"/>
    <w:rsid w:val="00864F0C"/>
    <w:rsid w:val="00870E2F"/>
    <w:rsid w:val="00871392"/>
    <w:rsid w:val="00881A14"/>
    <w:rsid w:val="00885122"/>
    <w:rsid w:val="00886FEB"/>
    <w:rsid w:val="00887450"/>
    <w:rsid w:val="008875EE"/>
    <w:rsid w:val="00891CE7"/>
    <w:rsid w:val="008A0A08"/>
    <w:rsid w:val="008A1F2B"/>
    <w:rsid w:val="008A2FCE"/>
    <w:rsid w:val="008A3599"/>
    <w:rsid w:val="008A42BB"/>
    <w:rsid w:val="008A5809"/>
    <w:rsid w:val="008A5C35"/>
    <w:rsid w:val="008A677F"/>
    <w:rsid w:val="008A74F3"/>
    <w:rsid w:val="008A7D0F"/>
    <w:rsid w:val="008B05ED"/>
    <w:rsid w:val="008B32FB"/>
    <w:rsid w:val="008B655B"/>
    <w:rsid w:val="008B7084"/>
    <w:rsid w:val="008C013D"/>
    <w:rsid w:val="008C0681"/>
    <w:rsid w:val="008C163A"/>
    <w:rsid w:val="008C19C4"/>
    <w:rsid w:val="008C32C3"/>
    <w:rsid w:val="008C3780"/>
    <w:rsid w:val="008C6B5A"/>
    <w:rsid w:val="008C7679"/>
    <w:rsid w:val="008D2630"/>
    <w:rsid w:val="008D3C06"/>
    <w:rsid w:val="008D43A6"/>
    <w:rsid w:val="008D4864"/>
    <w:rsid w:val="008D4DC9"/>
    <w:rsid w:val="008D6EF0"/>
    <w:rsid w:val="008D7F22"/>
    <w:rsid w:val="008E3AAE"/>
    <w:rsid w:val="008E6A2B"/>
    <w:rsid w:val="008E6FEF"/>
    <w:rsid w:val="008F0FCD"/>
    <w:rsid w:val="008F1A22"/>
    <w:rsid w:val="008F21DD"/>
    <w:rsid w:val="008F3B5C"/>
    <w:rsid w:val="008F4B41"/>
    <w:rsid w:val="008F5CF1"/>
    <w:rsid w:val="008F78A8"/>
    <w:rsid w:val="009006CA"/>
    <w:rsid w:val="00900B70"/>
    <w:rsid w:val="00902431"/>
    <w:rsid w:val="009025D4"/>
    <w:rsid w:val="00902EAC"/>
    <w:rsid w:val="00903D72"/>
    <w:rsid w:val="009119EE"/>
    <w:rsid w:val="00912F4D"/>
    <w:rsid w:val="00915D14"/>
    <w:rsid w:val="00916808"/>
    <w:rsid w:val="00922669"/>
    <w:rsid w:val="0092489C"/>
    <w:rsid w:val="00930073"/>
    <w:rsid w:val="00932A36"/>
    <w:rsid w:val="00933707"/>
    <w:rsid w:val="009342FE"/>
    <w:rsid w:val="00940166"/>
    <w:rsid w:val="009403EB"/>
    <w:rsid w:val="00940B79"/>
    <w:rsid w:val="00942384"/>
    <w:rsid w:val="0094255C"/>
    <w:rsid w:val="00944B14"/>
    <w:rsid w:val="00945611"/>
    <w:rsid w:val="00952F30"/>
    <w:rsid w:val="009554F5"/>
    <w:rsid w:val="009625BE"/>
    <w:rsid w:val="00965BF7"/>
    <w:rsid w:val="0096657E"/>
    <w:rsid w:val="00966E95"/>
    <w:rsid w:val="00967DD6"/>
    <w:rsid w:val="00970555"/>
    <w:rsid w:val="009707A9"/>
    <w:rsid w:val="009754D0"/>
    <w:rsid w:val="0098065F"/>
    <w:rsid w:val="00981857"/>
    <w:rsid w:val="00981CF0"/>
    <w:rsid w:val="0098205F"/>
    <w:rsid w:val="00982732"/>
    <w:rsid w:val="009832C1"/>
    <w:rsid w:val="00991B0A"/>
    <w:rsid w:val="009922F2"/>
    <w:rsid w:val="0099495D"/>
    <w:rsid w:val="00995CC2"/>
    <w:rsid w:val="00997ADA"/>
    <w:rsid w:val="009A00C3"/>
    <w:rsid w:val="009A0643"/>
    <w:rsid w:val="009A1240"/>
    <w:rsid w:val="009A5277"/>
    <w:rsid w:val="009A7E1F"/>
    <w:rsid w:val="009B1154"/>
    <w:rsid w:val="009B14C0"/>
    <w:rsid w:val="009B33E8"/>
    <w:rsid w:val="009C03DD"/>
    <w:rsid w:val="009C21A5"/>
    <w:rsid w:val="009C21E2"/>
    <w:rsid w:val="009C3266"/>
    <w:rsid w:val="009C3FC9"/>
    <w:rsid w:val="009C42D6"/>
    <w:rsid w:val="009C4D21"/>
    <w:rsid w:val="009C65AC"/>
    <w:rsid w:val="009D4F9E"/>
    <w:rsid w:val="009D751A"/>
    <w:rsid w:val="009E0869"/>
    <w:rsid w:val="009E28A0"/>
    <w:rsid w:val="009E5D8B"/>
    <w:rsid w:val="009F2380"/>
    <w:rsid w:val="009F2950"/>
    <w:rsid w:val="009F2B48"/>
    <w:rsid w:val="009F514E"/>
    <w:rsid w:val="009F66A1"/>
    <w:rsid w:val="009F7AE6"/>
    <w:rsid w:val="00A001B6"/>
    <w:rsid w:val="00A0365D"/>
    <w:rsid w:val="00A054D2"/>
    <w:rsid w:val="00A0624A"/>
    <w:rsid w:val="00A10004"/>
    <w:rsid w:val="00A15736"/>
    <w:rsid w:val="00A15755"/>
    <w:rsid w:val="00A16253"/>
    <w:rsid w:val="00A23197"/>
    <w:rsid w:val="00A23360"/>
    <w:rsid w:val="00A24A0F"/>
    <w:rsid w:val="00A270F4"/>
    <w:rsid w:val="00A2751E"/>
    <w:rsid w:val="00A31E99"/>
    <w:rsid w:val="00A3254D"/>
    <w:rsid w:val="00A4010C"/>
    <w:rsid w:val="00A41365"/>
    <w:rsid w:val="00A42450"/>
    <w:rsid w:val="00A479A1"/>
    <w:rsid w:val="00A519D2"/>
    <w:rsid w:val="00A51EB5"/>
    <w:rsid w:val="00A60CD4"/>
    <w:rsid w:val="00A612C0"/>
    <w:rsid w:val="00A61681"/>
    <w:rsid w:val="00A655FD"/>
    <w:rsid w:val="00A660B8"/>
    <w:rsid w:val="00A705FB"/>
    <w:rsid w:val="00A70972"/>
    <w:rsid w:val="00A732FF"/>
    <w:rsid w:val="00A74F4C"/>
    <w:rsid w:val="00A76F14"/>
    <w:rsid w:val="00A8281E"/>
    <w:rsid w:val="00A8348F"/>
    <w:rsid w:val="00A834AA"/>
    <w:rsid w:val="00A85A0C"/>
    <w:rsid w:val="00A87B62"/>
    <w:rsid w:val="00A95503"/>
    <w:rsid w:val="00AA0A8F"/>
    <w:rsid w:val="00AA119C"/>
    <w:rsid w:val="00AA21F2"/>
    <w:rsid w:val="00AA274F"/>
    <w:rsid w:val="00AA2CC2"/>
    <w:rsid w:val="00AA37F9"/>
    <w:rsid w:val="00AA4CB7"/>
    <w:rsid w:val="00AB0729"/>
    <w:rsid w:val="00AB0C07"/>
    <w:rsid w:val="00AB2A4F"/>
    <w:rsid w:val="00AB5126"/>
    <w:rsid w:val="00AB567D"/>
    <w:rsid w:val="00AB7989"/>
    <w:rsid w:val="00AC090C"/>
    <w:rsid w:val="00AC564B"/>
    <w:rsid w:val="00AC5A18"/>
    <w:rsid w:val="00AC620D"/>
    <w:rsid w:val="00AC6AD2"/>
    <w:rsid w:val="00AC6DFE"/>
    <w:rsid w:val="00AD02DA"/>
    <w:rsid w:val="00AD2D8D"/>
    <w:rsid w:val="00AD4A0A"/>
    <w:rsid w:val="00AD5712"/>
    <w:rsid w:val="00AD660A"/>
    <w:rsid w:val="00AD685E"/>
    <w:rsid w:val="00AD78AD"/>
    <w:rsid w:val="00AD7DC8"/>
    <w:rsid w:val="00AE65EF"/>
    <w:rsid w:val="00AE677C"/>
    <w:rsid w:val="00AE6CD3"/>
    <w:rsid w:val="00AE7066"/>
    <w:rsid w:val="00AF5591"/>
    <w:rsid w:val="00AF5834"/>
    <w:rsid w:val="00AF6D18"/>
    <w:rsid w:val="00B0121B"/>
    <w:rsid w:val="00B01DC6"/>
    <w:rsid w:val="00B03307"/>
    <w:rsid w:val="00B047A0"/>
    <w:rsid w:val="00B0606E"/>
    <w:rsid w:val="00B069AA"/>
    <w:rsid w:val="00B06DC7"/>
    <w:rsid w:val="00B17F73"/>
    <w:rsid w:val="00B2093C"/>
    <w:rsid w:val="00B21E3F"/>
    <w:rsid w:val="00B220B5"/>
    <w:rsid w:val="00B222EC"/>
    <w:rsid w:val="00B23EAE"/>
    <w:rsid w:val="00B3234E"/>
    <w:rsid w:val="00B324E8"/>
    <w:rsid w:val="00B32CAA"/>
    <w:rsid w:val="00B35112"/>
    <w:rsid w:val="00B35120"/>
    <w:rsid w:val="00B357F4"/>
    <w:rsid w:val="00B41893"/>
    <w:rsid w:val="00B41C5A"/>
    <w:rsid w:val="00B42521"/>
    <w:rsid w:val="00B428FB"/>
    <w:rsid w:val="00B43010"/>
    <w:rsid w:val="00B43BE7"/>
    <w:rsid w:val="00B456A8"/>
    <w:rsid w:val="00B46F19"/>
    <w:rsid w:val="00B516C8"/>
    <w:rsid w:val="00B51BB0"/>
    <w:rsid w:val="00B51FFF"/>
    <w:rsid w:val="00B52333"/>
    <w:rsid w:val="00B534F8"/>
    <w:rsid w:val="00B54C28"/>
    <w:rsid w:val="00B551DD"/>
    <w:rsid w:val="00B57297"/>
    <w:rsid w:val="00B57A25"/>
    <w:rsid w:val="00B615F8"/>
    <w:rsid w:val="00B61960"/>
    <w:rsid w:val="00B61C89"/>
    <w:rsid w:val="00B6318E"/>
    <w:rsid w:val="00B63550"/>
    <w:rsid w:val="00B64AA0"/>
    <w:rsid w:val="00B71EF3"/>
    <w:rsid w:val="00B7764F"/>
    <w:rsid w:val="00B7776B"/>
    <w:rsid w:val="00B80820"/>
    <w:rsid w:val="00B80C41"/>
    <w:rsid w:val="00B81AC0"/>
    <w:rsid w:val="00B82400"/>
    <w:rsid w:val="00B86476"/>
    <w:rsid w:val="00B87898"/>
    <w:rsid w:val="00B90F7D"/>
    <w:rsid w:val="00B939DD"/>
    <w:rsid w:val="00B94123"/>
    <w:rsid w:val="00B942CD"/>
    <w:rsid w:val="00B94B08"/>
    <w:rsid w:val="00B953E2"/>
    <w:rsid w:val="00B95FDE"/>
    <w:rsid w:val="00B9753E"/>
    <w:rsid w:val="00BA029A"/>
    <w:rsid w:val="00BA390F"/>
    <w:rsid w:val="00BA53A2"/>
    <w:rsid w:val="00BB03A2"/>
    <w:rsid w:val="00BB0727"/>
    <w:rsid w:val="00BB1D81"/>
    <w:rsid w:val="00BB322E"/>
    <w:rsid w:val="00BB5E0B"/>
    <w:rsid w:val="00BB6353"/>
    <w:rsid w:val="00BB6989"/>
    <w:rsid w:val="00BB741C"/>
    <w:rsid w:val="00BB7EEB"/>
    <w:rsid w:val="00BC1A31"/>
    <w:rsid w:val="00BC78E8"/>
    <w:rsid w:val="00BD1F5C"/>
    <w:rsid w:val="00BD22B8"/>
    <w:rsid w:val="00BD2CF1"/>
    <w:rsid w:val="00BD424D"/>
    <w:rsid w:val="00BD7481"/>
    <w:rsid w:val="00BE365C"/>
    <w:rsid w:val="00BE621A"/>
    <w:rsid w:val="00BE7259"/>
    <w:rsid w:val="00BE74CC"/>
    <w:rsid w:val="00BF12DC"/>
    <w:rsid w:val="00BF25BD"/>
    <w:rsid w:val="00BF44FF"/>
    <w:rsid w:val="00BF47A2"/>
    <w:rsid w:val="00BF5E79"/>
    <w:rsid w:val="00C03ED8"/>
    <w:rsid w:val="00C04058"/>
    <w:rsid w:val="00C04EC6"/>
    <w:rsid w:val="00C1061E"/>
    <w:rsid w:val="00C14D08"/>
    <w:rsid w:val="00C17AD2"/>
    <w:rsid w:val="00C207CE"/>
    <w:rsid w:val="00C21F6B"/>
    <w:rsid w:val="00C22051"/>
    <w:rsid w:val="00C22A99"/>
    <w:rsid w:val="00C23198"/>
    <w:rsid w:val="00C23786"/>
    <w:rsid w:val="00C2605B"/>
    <w:rsid w:val="00C2611F"/>
    <w:rsid w:val="00C32D18"/>
    <w:rsid w:val="00C34830"/>
    <w:rsid w:val="00C34850"/>
    <w:rsid w:val="00C35D97"/>
    <w:rsid w:val="00C367E7"/>
    <w:rsid w:val="00C36D76"/>
    <w:rsid w:val="00C40D7B"/>
    <w:rsid w:val="00C40DB6"/>
    <w:rsid w:val="00C42A97"/>
    <w:rsid w:val="00C43F7F"/>
    <w:rsid w:val="00C44DB6"/>
    <w:rsid w:val="00C454B6"/>
    <w:rsid w:val="00C4628B"/>
    <w:rsid w:val="00C4671A"/>
    <w:rsid w:val="00C46FBA"/>
    <w:rsid w:val="00C4714A"/>
    <w:rsid w:val="00C47453"/>
    <w:rsid w:val="00C50591"/>
    <w:rsid w:val="00C52749"/>
    <w:rsid w:val="00C54968"/>
    <w:rsid w:val="00C70D69"/>
    <w:rsid w:val="00C73BBC"/>
    <w:rsid w:val="00C760D8"/>
    <w:rsid w:val="00C77C8A"/>
    <w:rsid w:val="00C8037D"/>
    <w:rsid w:val="00C805C6"/>
    <w:rsid w:val="00C80D1E"/>
    <w:rsid w:val="00C81EBE"/>
    <w:rsid w:val="00C83764"/>
    <w:rsid w:val="00C838AA"/>
    <w:rsid w:val="00C841DD"/>
    <w:rsid w:val="00C8498B"/>
    <w:rsid w:val="00C91F51"/>
    <w:rsid w:val="00C95F40"/>
    <w:rsid w:val="00C96A73"/>
    <w:rsid w:val="00C972B5"/>
    <w:rsid w:val="00C979C4"/>
    <w:rsid w:val="00CA15FF"/>
    <w:rsid w:val="00CA3676"/>
    <w:rsid w:val="00CA3B75"/>
    <w:rsid w:val="00CA4786"/>
    <w:rsid w:val="00CA4CAA"/>
    <w:rsid w:val="00CA5897"/>
    <w:rsid w:val="00CA5AF8"/>
    <w:rsid w:val="00CA5DDD"/>
    <w:rsid w:val="00CA6440"/>
    <w:rsid w:val="00CB02E2"/>
    <w:rsid w:val="00CB181D"/>
    <w:rsid w:val="00CB24F3"/>
    <w:rsid w:val="00CB44C4"/>
    <w:rsid w:val="00CB6391"/>
    <w:rsid w:val="00CB7599"/>
    <w:rsid w:val="00CC23A8"/>
    <w:rsid w:val="00CC2508"/>
    <w:rsid w:val="00CC285A"/>
    <w:rsid w:val="00CC35F9"/>
    <w:rsid w:val="00CC6654"/>
    <w:rsid w:val="00CD1E00"/>
    <w:rsid w:val="00CD2DE5"/>
    <w:rsid w:val="00CD4327"/>
    <w:rsid w:val="00CE445E"/>
    <w:rsid w:val="00CE4D70"/>
    <w:rsid w:val="00CE634C"/>
    <w:rsid w:val="00CE6D8F"/>
    <w:rsid w:val="00CF0A53"/>
    <w:rsid w:val="00CF1E87"/>
    <w:rsid w:val="00CF2D86"/>
    <w:rsid w:val="00CF3361"/>
    <w:rsid w:val="00CF4099"/>
    <w:rsid w:val="00CF659D"/>
    <w:rsid w:val="00CF6C11"/>
    <w:rsid w:val="00CF7375"/>
    <w:rsid w:val="00D04936"/>
    <w:rsid w:val="00D0563C"/>
    <w:rsid w:val="00D05C47"/>
    <w:rsid w:val="00D05E07"/>
    <w:rsid w:val="00D06958"/>
    <w:rsid w:val="00D111DA"/>
    <w:rsid w:val="00D13766"/>
    <w:rsid w:val="00D137AE"/>
    <w:rsid w:val="00D149AF"/>
    <w:rsid w:val="00D154EC"/>
    <w:rsid w:val="00D15CF3"/>
    <w:rsid w:val="00D16100"/>
    <w:rsid w:val="00D2228F"/>
    <w:rsid w:val="00D23638"/>
    <w:rsid w:val="00D23A5C"/>
    <w:rsid w:val="00D33C96"/>
    <w:rsid w:val="00D37D13"/>
    <w:rsid w:val="00D4185D"/>
    <w:rsid w:val="00D43F26"/>
    <w:rsid w:val="00D531CA"/>
    <w:rsid w:val="00D53C5E"/>
    <w:rsid w:val="00D549AC"/>
    <w:rsid w:val="00D5694A"/>
    <w:rsid w:val="00D56978"/>
    <w:rsid w:val="00D57000"/>
    <w:rsid w:val="00D6072A"/>
    <w:rsid w:val="00D64AB8"/>
    <w:rsid w:val="00D67811"/>
    <w:rsid w:val="00D679E1"/>
    <w:rsid w:val="00D70499"/>
    <w:rsid w:val="00D71626"/>
    <w:rsid w:val="00D71F9C"/>
    <w:rsid w:val="00D771DF"/>
    <w:rsid w:val="00D80348"/>
    <w:rsid w:val="00D803A0"/>
    <w:rsid w:val="00D826F9"/>
    <w:rsid w:val="00D831B1"/>
    <w:rsid w:val="00D84EF0"/>
    <w:rsid w:val="00D86C94"/>
    <w:rsid w:val="00D93FC9"/>
    <w:rsid w:val="00D947BF"/>
    <w:rsid w:val="00D9566D"/>
    <w:rsid w:val="00D96584"/>
    <w:rsid w:val="00DA38B2"/>
    <w:rsid w:val="00DA3AB2"/>
    <w:rsid w:val="00DA79E2"/>
    <w:rsid w:val="00DB2D0B"/>
    <w:rsid w:val="00DB66C1"/>
    <w:rsid w:val="00DB75F8"/>
    <w:rsid w:val="00DC4192"/>
    <w:rsid w:val="00DC4578"/>
    <w:rsid w:val="00DC4A24"/>
    <w:rsid w:val="00DC540D"/>
    <w:rsid w:val="00DC560B"/>
    <w:rsid w:val="00DC675B"/>
    <w:rsid w:val="00DC691C"/>
    <w:rsid w:val="00DC7444"/>
    <w:rsid w:val="00DD318E"/>
    <w:rsid w:val="00DD4420"/>
    <w:rsid w:val="00DD5279"/>
    <w:rsid w:val="00DD56E3"/>
    <w:rsid w:val="00DE1690"/>
    <w:rsid w:val="00DE1F80"/>
    <w:rsid w:val="00DE25E4"/>
    <w:rsid w:val="00DE433C"/>
    <w:rsid w:val="00DF05F9"/>
    <w:rsid w:val="00DF0A8D"/>
    <w:rsid w:val="00DF1A65"/>
    <w:rsid w:val="00DF2258"/>
    <w:rsid w:val="00DF2C43"/>
    <w:rsid w:val="00DF5BFC"/>
    <w:rsid w:val="00E00368"/>
    <w:rsid w:val="00E016E7"/>
    <w:rsid w:val="00E027AD"/>
    <w:rsid w:val="00E02B3F"/>
    <w:rsid w:val="00E0391D"/>
    <w:rsid w:val="00E064C0"/>
    <w:rsid w:val="00E07663"/>
    <w:rsid w:val="00E10546"/>
    <w:rsid w:val="00E109CC"/>
    <w:rsid w:val="00E11EFB"/>
    <w:rsid w:val="00E12CA4"/>
    <w:rsid w:val="00E1302D"/>
    <w:rsid w:val="00E149CE"/>
    <w:rsid w:val="00E15EA1"/>
    <w:rsid w:val="00E15F1E"/>
    <w:rsid w:val="00E1664F"/>
    <w:rsid w:val="00E16AAE"/>
    <w:rsid w:val="00E16F62"/>
    <w:rsid w:val="00E2342B"/>
    <w:rsid w:val="00E23ECE"/>
    <w:rsid w:val="00E254B5"/>
    <w:rsid w:val="00E277F5"/>
    <w:rsid w:val="00E30198"/>
    <w:rsid w:val="00E30729"/>
    <w:rsid w:val="00E34F68"/>
    <w:rsid w:val="00E359DF"/>
    <w:rsid w:val="00E36DC6"/>
    <w:rsid w:val="00E42BA0"/>
    <w:rsid w:val="00E42DA8"/>
    <w:rsid w:val="00E45AC0"/>
    <w:rsid w:val="00E45C25"/>
    <w:rsid w:val="00E463B7"/>
    <w:rsid w:val="00E47DFF"/>
    <w:rsid w:val="00E51841"/>
    <w:rsid w:val="00E52097"/>
    <w:rsid w:val="00E52AA9"/>
    <w:rsid w:val="00E56B2F"/>
    <w:rsid w:val="00E57CE8"/>
    <w:rsid w:val="00E617BB"/>
    <w:rsid w:val="00E62582"/>
    <w:rsid w:val="00E64AD7"/>
    <w:rsid w:val="00E65E84"/>
    <w:rsid w:val="00E66561"/>
    <w:rsid w:val="00E67BB5"/>
    <w:rsid w:val="00E71F3A"/>
    <w:rsid w:val="00E7600E"/>
    <w:rsid w:val="00E76CB5"/>
    <w:rsid w:val="00E77421"/>
    <w:rsid w:val="00E80AEE"/>
    <w:rsid w:val="00E817F2"/>
    <w:rsid w:val="00E83E0E"/>
    <w:rsid w:val="00E84DFD"/>
    <w:rsid w:val="00E85F1E"/>
    <w:rsid w:val="00E87024"/>
    <w:rsid w:val="00E87AE0"/>
    <w:rsid w:val="00E90A9D"/>
    <w:rsid w:val="00E90D0E"/>
    <w:rsid w:val="00E90DB4"/>
    <w:rsid w:val="00E92D73"/>
    <w:rsid w:val="00E95400"/>
    <w:rsid w:val="00E964CE"/>
    <w:rsid w:val="00EA07B1"/>
    <w:rsid w:val="00EA3CB1"/>
    <w:rsid w:val="00EA3EEF"/>
    <w:rsid w:val="00EA4E38"/>
    <w:rsid w:val="00EA5A07"/>
    <w:rsid w:val="00EA6401"/>
    <w:rsid w:val="00EA6F43"/>
    <w:rsid w:val="00EB0F7F"/>
    <w:rsid w:val="00EB32F5"/>
    <w:rsid w:val="00EB33CE"/>
    <w:rsid w:val="00EB3ECC"/>
    <w:rsid w:val="00EB6000"/>
    <w:rsid w:val="00EC132C"/>
    <w:rsid w:val="00EC2EC0"/>
    <w:rsid w:val="00EC34FA"/>
    <w:rsid w:val="00EC4A92"/>
    <w:rsid w:val="00EC6DB8"/>
    <w:rsid w:val="00ED0EE1"/>
    <w:rsid w:val="00ED24EA"/>
    <w:rsid w:val="00ED34AD"/>
    <w:rsid w:val="00ED6814"/>
    <w:rsid w:val="00ED7624"/>
    <w:rsid w:val="00ED7955"/>
    <w:rsid w:val="00EE0CD9"/>
    <w:rsid w:val="00EE1173"/>
    <w:rsid w:val="00EE1B4D"/>
    <w:rsid w:val="00EE218B"/>
    <w:rsid w:val="00EE727A"/>
    <w:rsid w:val="00EF162B"/>
    <w:rsid w:val="00EF3E33"/>
    <w:rsid w:val="00EF7365"/>
    <w:rsid w:val="00F14D61"/>
    <w:rsid w:val="00F16242"/>
    <w:rsid w:val="00F2154C"/>
    <w:rsid w:val="00F22BA8"/>
    <w:rsid w:val="00F23027"/>
    <w:rsid w:val="00F24E17"/>
    <w:rsid w:val="00F2773E"/>
    <w:rsid w:val="00F27996"/>
    <w:rsid w:val="00F31807"/>
    <w:rsid w:val="00F329FD"/>
    <w:rsid w:val="00F34A77"/>
    <w:rsid w:val="00F417FE"/>
    <w:rsid w:val="00F43376"/>
    <w:rsid w:val="00F50990"/>
    <w:rsid w:val="00F51251"/>
    <w:rsid w:val="00F5143C"/>
    <w:rsid w:val="00F51C62"/>
    <w:rsid w:val="00F51E2C"/>
    <w:rsid w:val="00F5241B"/>
    <w:rsid w:val="00F54890"/>
    <w:rsid w:val="00F54D3E"/>
    <w:rsid w:val="00F559D5"/>
    <w:rsid w:val="00F573C4"/>
    <w:rsid w:val="00F61B27"/>
    <w:rsid w:val="00F6316E"/>
    <w:rsid w:val="00F636D8"/>
    <w:rsid w:val="00F6616B"/>
    <w:rsid w:val="00F66EF3"/>
    <w:rsid w:val="00F6756B"/>
    <w:rsid w:val="00F70E7E"/>
    <w:rsid w:val="00F7226E"/>
    <w:rsid w:val="00F735DC"/>
    <w:rsid w:val="00F778B6"/>
    <w:rsid w:val="00F829FF"/>
    <w:rsid w:val="00F83CAD"/>
    <w:rsid w:val="00F8669B"/>
    <w:rsid w:val="00F8710F"/>
    <w:rsid w:val="00F87393"/>
    <w:rsid w:val="00F9027B"/>
    <w:rsid w:val="00F93980"/>
    <w:rsid w:val="00F948A8"/>
    <w:rsid w:val="00F972FD"/>
    <w:rsid w:val="00F97428"/>
    <w:rsid w:val="00F9796B"/>
    <w:rsid w:val="00FA46A5"/>
    <w:rsid w:val="00FB1BB7"/>
    <w:rsid w:val="00FB1CA5"/>
    <w:rsid w:val="00FB3F8B"/>
    <w:rsid w:val="00FB4A37"/>
    <w:rsid w:val="00FB62EB"/>
    <w:rsid w:val="00FB63AA"/>
    <w:rsid w:val="00FC0FC7"/>
    <w:rsid w:val="00FC1DE2"/>
    <w:rsid w:val="00FC3E66"/>
    <w:rsid w:val="00FC54C7"/>
    <w:rsid w:val="00FC5C11"/>
    <w:rsid w:val="00FC6DA6"/>
    <w:rsid w:val="00FC782C"/>
    <w:rsid w:val="00FD0A87"/>
    <w:rsid w:val="00FD21A8"/>
    <w:rsid w:val="00FD2399"/>
    <w:rsid w:val="00FD59F3"/>
    <w:rsid w:val="00FE1B34"/>
    <w:rsid w:val="00FE5758"/>
    <w:rsid w:val="00FE7722"/>
    <w:rsid w:val="00FE77F2"/>
    <w:rsid w:val="00FE7AD7"/>
    <w:rsid w:val="00FF12B6"/>
    <w:rsid w:val="00FF33AC"/>
    <w:rsid w:val="00FF35E5"/>
    <w:rsid w:val="00FF5744"/>
    <w:rsid w:val="00FF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B1401"/>
  <w15:docId w15:val="{18C534A4-8A4A-4245-A34B-D3D3FB2B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1F"/>
    <w:pPr>
      <w:widowControl w:val="0"/>
      <w:autoSpaceDE w:val="0"/>
      <w:autoSpaceDN w:val="0"/>
    </w:pPr>
    <w:rPr>
      <w:rFonts w:ascii="Arial" w:hAnsi="Arial" w:cs="Arial"/>
      <w:sz w:val="22"/>
      <w:szCs w:val="22"/>
      <w:lang w:eastAsia="en-US"/>
    </w:rPr>
  </w:style>
  <w:style w:type="paragraph" w:styleId="Heading1">
    <w:name w:val="heading 1"/>
    <w:basedOn w:val="Normal"/>
    <w:link w:val="Heading1Char"/>
    <w:uiPriority w:val="99"/>
    <w:qFormat/>
    <w:rsid w:val="006F79B1"/>
    <w:pPr>
      <w:widowControl/>
      <w:numPr>
        <w:numId w:val="31"/>
      </w:numPr>
      <w:autoSpaceDE/>
      <w:autoSpaceDN/>
      <w:adjustRightInd w:val="0"/>
      <w:snapToGrid w:val="0"/>
      <w:spacing w:beforeLines="50" w:before="120" w:line="300" w:lineRule="auto"/>
      <w:ind w:left="562" w:hangingChars="200" w:hanging="562"/>
      <w:jc w:val="both"/>
      <w:outlineLvl w:val="0"/>
    </w:pPr>
    <w:rPr>
      <w:rFonts w:ascii="Times New Roman" w:eastAsia="SimSun" w:hAnsi="Times New Roman"/>
      <w:b/>
      <w:bCs/>
      <w:snapToGrid w:val="0"/>
      <w:sz w:val="28"/>
      <w:szCs w:val="28"/>
    </w:rPr>
  </w:style>
  <w:style w:type="paragraph" w:styleId="Heading2">
    <w:name w:val="heading 2"/>
    <w:basedOn w:val="Normal"/>
    <w:link w:val="Heading2Char"/>
    <w:uiPriority w:val="99"/>
    <w:qFormat/>
    <w:rsid w:val="000400DC"/>
    <w:pPr>
      <w:widowControl/>
      <w:numPr>
        <w:ilvl w:val="1"/>
        <w:numId w:val="31"/>
      </w:numPr>
      <w:autoSpaceDE/>
      <w:autoSpaceDN/>
      <w:adjustRightInd w:val="0"/>
      <w:snapToGrid w:val="0"/>
      <w:spacing w:beforeLines="50" w:before="120" w:line="300" w:lineRule="auto"/>
      <w:ind w:left="723" w:hangingChars="300" w:hanging="723"/>
      <w:jc w:val="both"/>
      <w:outlineLvl w:val="1"/>
    </w:pPr>
    <w:rPr>
      <w:rFonts w:ascii="Times New Roman" w:eastAsia="SimSun" w:hAnsi="Times New Roman"/>
      <w:b/>
      <w:bCs/>
      <w:snapToGrid w:val="0"/>
      <w:sz w:val="24"/>
      <w:szCs w:val="24"/>
    </w:rPr>
  </w:style>
  <w:style w:type="paragraph" w:styleId="Heading3">
    <w:name w:val="heading 3"/>
    <w:basedOn w:val="Normal"/>
    <w:link w:val="Heading3Char"/>
    <w:uiPriority w:val="99"/>
    <w:qFormat/>
    <w:rsid w:val="000400DC"/>
    <w:pPr>
      <w:widowControl/>
      <w:numPr>
        <w:ilvl w:val="2"/>
        <w:numId w:val="31"/>
      </w:numPr>
      <w:autoSpaceDE/>
      <w:autoSpaceDN/>
      <w:adjustRightInd w:val="0"/>
      <w:snapToGrid w:val="0"/>
      <w:spacing w:beforeLines="50" w:before="120" w:line="300" w:lineRule="auto"/>
      <w:ind w:left="964" w:hangingChars="400" w:hanging="964"/>
      <w:jc w:val="both"/>
      <w:outlineLvl w:val="2"/>
    </w:pPr>
    <w:rPr>
      <w:rFonts w:ascii="Times New Roman" w:eastAsia="SimSun" w:hAnsi="Times New Roman"/>
      <w:b/>
      <w:bCs/>
      <w:snapToGrid w:val="0"/>
      <w:sz w:val="24"/>
    </w:rPr>
  </w:style>
  <w:style w:type="paragraph" w:styleId="Heading4">
    <w:name w:val="heading 4"/>
    <w:basedOn w:val="Normal"/>
    <w:next w:val="Normal"/>
    <w:link w:val="Heading4Char"/>
    <w:unhideWhenUsed/>
    <w:qFormat/>
    <w:locked/>
    <w:rsid w:val="000400DC"/>
    <w:pPr>
      <w:widowControl/>
      <w:numPr>
        <w:ilvl w:val="3"/>
        <w:numId w:val="31"/>
      </w:numPr>
      <w:autoSpaceDE/>
      <w:autoSpaceDN/>
      <w:adjustRightInd w:val="0"/>
      <w:snapToGrid w:val="0"/>
      <w:spacing w:beforeLines="50" w:before="120" w:line="300" w:lineRule="auto"/>
      <w:ind w:left="964" w:hangingChars="400" w:hanging="964"/>
      <w:jc w:val="both"/>
      <w:outlineLvl w:val="3"/>
    </w:pPr>
    <w:rPr>
      <w:rFonts w:ascii="Times New Roman" w:eastAsia="SimSun" w:hAnsi="Times New Roman" w:cstheme="majorBidi"/>
      <w:b/>
      <w:bCs/>
      <w:snapToGrid w:val="0"/>
      <w:sz w:val="24"/>
      <w:szCs w:val="28"/>
    </w:rPr>
  </w:style>
  <w:style w:type="paragraph" w:styleId="Heading5">
    <w:name w:val="heading 5"/>
    <w:basedOn w:val="Normal"/>
    <w:next w:val="Normal"/>
    <w:link w:val="Heading5Char"/>
    <w:semiHidden/>
    <w:unhideWhenUsed/>
    <w:qFormat/>
    <w:locked/>
    <w:rsid w:val="006F79B1"/>
    <w:pPr>
      <w:keepNext/>
      <w:keepLines/>
      <w:numPr>
        <w:ilvl w:val="4"/>
        <w:numId w:val="31"/>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locked/>
    <w:rsid w:val="006F79B1"/>
    <w:pPr>
      <w:keepNext/>
      <w:keepLines/>
      <w:numPr>
        <w:ilvl w:val="5"/>
        <w:numId w:val="31"/>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locked/>
    <w:rsid w:val="002176D9"/>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locked/>
    <w:rsid w:val="002176D9"/>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locked/>
    <w:rsid w:val="002176D9"/>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F79B1"/>
    <w:rPr>
      <w:rFonts w:ascii="Times New Roman" w:eastAsia="SimSun" w:hAnsi="Times New Roman" w:cs="Arial"/>
      <w:b/>
      <w:bCs/>
      <w:snapToGrid w:val="0"/>
      <w:sz w:val="28"/>
      <w:szCs w:val="28"/>
      <w:lang w:eastAsia="en-US"/>
    </w:rPr>
  </w:style>
  <w:style w:type="character" w:customStyle="1" w:styleId="Heading2Char">
    <w:name w:val="Heading 2 Char"/>
    <w:link w:val="Heading2"/>
    <w:uiPriority w:val="99"/>
    <w:locked/>
    <w:rsid w:val="000400DC"/>
    <w:rPr>
      <w:rFonts w:ascii="Times New Roman" w:eastAsia="SimSun" w:hAnsi="Times New Roman" w:cs="Arial"/>
      <w:b/>
      <w:bCs/>
      <w:snapToGrid w:val="0"/>
      <w:sz w:val="24"/>
      <w:szCs w:val="24"/>
      <w:lang w:eastAsia="en-US"/>
    </w:rPr>
  </w:style>
  <w:style w:type="character" w:customStyle="1" w:styleId="Heading3Char">
    <w:name w:val="Heading 3 Char"/>
    <w:link w:val="Heading3"/>
    <w:uiPriority w:val="99"/>
    <w:locked/>
    <w:rsid w:val="000400DC"/>
    <w:rPr>
      <w:rFonts w:ascii="Times New Roman" w:eastAsia="SimSun" w:hAnsi="Times New Roman" w:cs="Arial"/>
      <w:b/>
      <w:bCs/>
      <w:snapToGrid w:val="0"/>
      <w:sz w:val="24"/>
      <w:szCs w:val="22"/>
      <w:lang w:eastAsia="en-US"/>
    </w:rPr>
  </w:style>
  <w:style w:type="table" w:customStyle="1" w:styleId="TableNormal1">
    <w:name w:val="Table Normal1"/>
    <w:uiPriority w:val="99"/>
    <w:semiHidden/>
    <w:rsid w:val="009A7E1F"/>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OC1">
    <w:name w:val="toc 1"/>
    <w:basedOn w:val="Normal"/>
    <w:uiPriority w:val="39"/>
    <w:rsid w:val="00233C9B"/>
    <w:pPr>
      <w:widowControl/>
      <w:tabs>
        <w:tab w:val="right" w:leader="dot" w:pos="9350"/>
      </w:tabs>
      <w:autoSpaceDE/>
      <w:autoSpaceDN/>
      <w:adjustRightInd w:val="0"/>
      <w:snapToGrid w:val="0"/>
      <w:spacing w:beforeLines="50" w:before="120" w:line="300" w:lineRule="auto"/>
      <w:ind w:left="480" w:rightChars="200" w:right="440" w:hangingChars="200" w:hanging="480"/>
      <w:jc w:val="both"/>
    </w:pPr>
    <w:rPr>
      <w:rFonts w:ascii="Times New Roman" w:eastAsia="SimSun" w:hAnsi="Times New Roman"/>
      <w:bCs/>
      <w:noProof/>
      <w:snapToGrid w:val="0"/>
      <w:sz w:val="24"/>
    </w:rPr>
  </w:style>
  <w:style w:type="paragraph" w:styleId="TOC2">
    <w:name w:val="toc 2"/>
    <w:basedOn w:val="Normal"/>
    <w:uiPriority w:val="39"/>
    <w:rsid w:val="00233C9B"/>
    <w:pPr>
      <w:widowControl/>
      <w:tabs>
        <w:tab w:val="right" w:leader="dot" w:pos="9350"/>
      </w:tabs>
      <w:autoSpaceDE/>
      <w:autoSpaceDN/>
      <w:adjustRightInd w:val="0"/>
      <w:snapToGrid w:val="0"/>
      <w:spacing w:line="300" w:lineRule="auto"/>
      <w:ind w:leftChars="200" w:left="1160" w:rightChars="200" w:right="440" w:hangingChars="300" w:hanging="720"/>
      <w:jc w:val="both"/>
    </w:pPr>
    <w:rPr>
      <w:rFonts w:ascii="Times New Roman" w:eastAsia="SimSun" w:hAnsi="Times New Roman"/>
      <w:noProof/>
      <w:snapToGrid w:val="0"/>
      <w:sz w:val="24"/>
    </w:rPr>
  </w:style>
  <w:style w:type="paragraph" w:styleId="TOC3">
    <w:name w:val="toc 3"/>
    <w:basedOn w:val="Normal"/>
    <w:uiPriority w:val="39"/>
    <w:rsid w:val="00233C9B"/>
    <w:pPr>
      <w:widowControl/>
      <w:tabs>
        <w:tab w:val="right" w:leader="dot" w:pos="9350"/>
      </w:tabs>
      <w:autoSpaceDE/>
      <w:autoSpaceDN/>
      <w:adjustRightInd w:val="0"/>
      <w:snapToGrid w:val="0"/>
      <w:spacing w:line="300" w:lineRule="auto"/>
      <w:ind w:leftChars="400" w:left="1840" w:rightChars="200" w:right="440" w:hangingChars="400" w:hanging="960"/>
      <w:jc w:val="both"/>
    </w:pPr>
    <w:rPr>
      <w:rFonts w:ascii="Times New Roman" w:eastAsia="SimSun" w:hAnsi="Times New Roman"/>
      <w:noProof/>
      <w:snapToGrid w:val="0"/>
      <w:sz w:val="24"/>
    </w:rPr>
  </w:style>
  <w:style w:type="paragraph" w:styleId="TOC4">
    <w:name w:val="toc 4"/>
    <w:basedOn w:val="Normal"/>
    <w:uiPriority w:val="39"/>
    <w:rsid w:val="009A7E1F"/>
    <w:pPr>
      <w:spacing w:line="252" w:lineRule="exact"/>
      <w:ind w:left="2152" w:hanging="552"/>
    </w:pPr>
    <w:rPr>
      <w:b/>
      <w:bCs/>
      <w:i/>
    </w:rPr>
  </w:style>
  <w:style w:type="paragraph" w:styleId="TOC5">
    <w:name w:val="toc 5"/>
    <w:basedOn w:val="Normal"/>
    <w:uiPriority w:val="39"/>
    <w:rsid w:val="009A7E1F"/>
    <w:pPr>
      <w:spacing w:line="252" w:lineRule="exact"/>
      <w:ind w:left="3056" w:hanging="736"/>
    </w:pPr>
  </w:style>
  <w:style w:type="paragraph" w:styleId="BodyText">
    <w:name w:val="Body Text"/>
    <w:basedOn w:val="Normal"/>
    <w:link w:val="BodyTextChar"/>
    <w:uiPriority w:val="99"/>
    <w:rsid w:val="009A7E1F"/>
    <w:pPr>
      <w:ind w:left="200"/>
    </w:pPr>
  </w:style>
  <w:style w:type="character" w:customStyle="1" w:styleId="BodyTextChar">
    <w:name w:val="Body Text Char"/>
    <w:link w:val="BodyText"/>
    <w:uiPriority w:val="99"/>
    <w:locked/>
    <w:rsid w:val="009A7E1F"/>
    <w:rPr>
      <w:rFonts w:ascii="Arial" w:hAnsi="Arial" w:cs="Arial"/>
      <w:lang w:eastAsia="en-US"/>
    </w:rPr>
  </w:style>
  <w:style w:type="paragraph" w:styleId="ListParagraph">
    <w:name w:val="List Paragraph"/>
    <w:basedOn w:val="Normal"/>
    <w:link w:val="ListParagraphChar"/>
    <w:uiPriority w:val="99"/>
    <w:qFormat/>
    <w:rsid w:val="009A7E1F"/>
    <w:pPr>
      <w:ind w:left="920" w:hanging="360"/>
    </w:pPr>
  </w:style>
  <w:style w:type="paragraph" w:customStyle="1" w:styleId="TableParagraph">
    <w:name w:val="Table Paragraph"/>
    <w:basedOn w:val="Normal"/>
    <w:uiPriority w:val="99"/>
    <w:rsid w:val="009A7E1F"/>
  </w:style>
  <w:style w:type="paragraph" w:styleId="Header">
    <w:name w:val="header"/>
    <w:basedOn w:val="Normal"/>
    <w:link w:val="HeaderChar"/>
    <w:uiPriority w:val="99"/>
    <w:rsid w:val="009A7E1F"/>
    <w:pPr>
      <w:tabs>
        <w:tab w:val="center" w:pos="4320"/>
        <w:tab w:val="right" w:pos="8640"/>
      </w:tabs>
    </w:pPr>
  </w:style>
  <w:style w:type="character" w:customStyle="1" w:styleId="HeaderChar">
    <w:name w:val="Header Char"/>
    <w:link w:val="Header"/>
    <w:uiPriority w:val="99"/>
    <w:locked/>
    <w:rsid w:val="009A7E1F"/>
    <w:rPr>
      <w:rFonts w:ascii="Arial" w:hAnsi="Arial" w:cs="Arial"/>
      <w:lang w:eastAsia="en-US"/>
    </w:rPr>
  </w:style>
  <w:style w:type="paragraph" w:styleId="Footer">
    <w:name w:val="footer"/>
    <w:basedOn w:val="Normal"/>
    <w:link w:val="FooterChar"/>
    <w:uiPriority w:val="99"/>
    <w:rsid w:val="009A7E1F"/>
    <w:pPr>
      <w:tabs>
        <w:tab w:val="center" w:pos="4320"/>
        <w:tab w:val="right" w:pos="8640"/>
      </w:tabs>
    </w:pPr>
  </w:style>
  <w:style w:type="character" w:customStyle="1" w:styleId="FooterChar">
    <w:name w:val="Footer Char"/>
    <w:link w:val="Footer"/>
    <w:uiPriority w:val="99"/>
    <w:locked/>
    <w:rsid w:val="009A7E1F"/>
    <w:rPr>
      <w:rFonts w:ascii="Arial" w:hAnsi="Arial" w:cs="Arial"/>
      <w:lang w:eastAsia="en-US"/>
    </w:rPr>
  </w:style>
  <w:style w:type="paragraph" w:customStyle="1" w:styleId="CoverTitle">
    <w:name w:val="CoverTitle"/>
    <w:basedOn w:val="Normal"/>
    <w:uiPriority w:val="99"/>
    <w:rsid w:val="007234DF"/>
    <w:pPr>
      <w:widowControl/>
      <w:pBdr>
        <w:bottom w:val="single" w:sz="12" w:space="1" w:color="auto"/>
      </w:pBdr>
      <w:suppressAutoHyphens/>
      <w:autoSpaceDE/>
      <w:autoSpaceDN/>
      <w:spacing w:after="400"/>
      <w:jc w:val="center"/>
    </w:pPr>
    <w:rPr>
      <w:rFonts w:eastAsia="SimSun" w:cs="Times New Roman"/>
      <w:b/>
      <w:sz w:val="36"/>
      <w:szCs w:val="20"/>
    </w:rPr>
  </w:style>
  <w:style w:type="paragraph" w:customStyle="1" w:styleId="CoverTextList">
    <w:name w:val="CoverTextList"/>
    <w:basedOn w:val="Normal"/>
    <w:uiPriority w:val="99"/>
    <w:rsid w:val="007234DF"/>
    <w:pPr>
      <w:widowControl/>
      <w:suppressAutoHyphens/>
      <w:autoSpaceDE/>
      <w:autoSpaceDN/>
      <w:spacing w:after="280"/>
      <w:ind w:left="3600" w:hanging="3600"/>
    </w:pPr>
    <w:rPr>
      <w:rFonts w:eastAsia="SimSun" w:cs="Times New Roman"/>
      <w:b/>
      <w:szCs w:val="20"/>
    </w:rPr>
  </w:style>
  <w:style w:type="paragraph" w:customStyle="1" w:styleId="Conf">
    <w:name w:val="Conf"/>
    <w:basedOn w:val="Normal"/>
    <w:next w:val="Normal"/>
    <w:uiPriority w:val="99"/>
    <w:rsid w:val="007234DF"/>
    <w:pPr>
      <w:keepNext/>
      <w:widowControl/>
      <w:pBdr>
        <w:top w:val="single" w:sz="4" w:space="1" w:color="auto"/>
        <w:bottom w:val="single" w:sz="4" w:space="1" w:color="auto"/>
      </w:pBdr>
      <w:suppressAutoHyphens/>
      <w:autoSpaceDE/>
      <w:autoSpaceDN/>
      <w:jc w:val="center"/>
    </w:pPr>
    <w:rPr>
      <w:rFonts w:ascii="Times New Roman" w:eastAsia="SimSun" w:hAnsi="Times New Roman" w:cs="Times New Roman"/>
      <w:sz w:val="18"/>
      <w:szCs w:val="20"/>
    </w:rPr>
  </w:style>
  <w:style w:type="paragraph" w:customStyle="1" w:styleId="Para">
    <w:name w:val="Para"/>
    <w:link w:val="ParaChar"/>
    <w:uiPriority w:val="99"/>
    <w:rsid w:val="007234DF"/>
    <w:pPr>
      <w:suppressAutoHyphens/>
      <w:spacing w:after="180" w:line="320" w:lineRule="exact"/>
    </w:pPr>
    <w:rPr>
      <w:rFonts w:ascii="Times New Roman" w:eastAsia="SimSun" w:hAnsi="Times New Roman"/>
      <w:sz w:val="22"/>
      <w:szCs w:val="22"/>
      <w:lang w:eastAsia="en-US"/>
    </w:rPr>
  </w:style>
  <w:style w:type="character" w:customStyle="1" w:styleId="ParaChar">
    <w:name w:val="Para Char"/>
    <w:link w:val="Para"/>
    <w:uiPriority w:val="99"/>
    <w:locked/>
    <w:rsid w:val="007234DF"/>
    <w:rPr>
      <w:rFonts w:ascii="Times New Roman" w:eastAsia="SimSun" w:hAnsi="Times New Roman"/>
      <w:sz w:val="22"/>
      <w:szCs w:val="22"/>
      <w:lang w:eastAsia="en-US" w:bidi="ar-SA"/>
    </w:rPr>
  </w:style>
  <w:style w:type="character" w:customStyle="1" w:styleId="web-item2">
    <w:name w:val="web-item2"/>
    <w:uiPriority w:val="99"/>
    <w:rsid w:val="00132988"/>
    <w:rPr>
      <w:rFonts w:cs="Times New Roman"/>
      <w:sz w:val="18"/>
      <w:szCs w:val="18"/>
    </w:rPr>
  </w:style>
  <w:style w:type="paragraph" w:customStyle="1" w:styleId="20">
    <w:name w:val="样式2 正文"/>
    <w:basedOn w:val="PlainText"/>
    <w:link w:val="2Char"/>
    <w:uiPriority w:val="99"/>
    <w:rsid w:val="006004EC"/>
    <w:pPr>
      <w:numPr>
        <w:numId w:val="7"/>
      </w:numPr>
      <w:autoSpaceDE/>
      <w:autoSpaceDN/>
      <w:spacing w:line="360" w:lineRule="auto"/>
      <w:jc w:val="both"/>
    </w:pPr>
    <w:rPr>
      <w:rFonts w:ascii="SimSun" w:eastAsia="NSimSun" w:hAnsi="SimSun" w:cs="Times New Roman"/>
      <w:kern w:val="2"/>
      <w:sz w:val="24"/>
      <w:szCs w:val="20"/>
    </w:rPr>
  </w:style>
  <w:style w:type="character" w:customStyle="1" w:styleId="2Char">
    <w:name w:val="样式2 正文 Char"/>
    <w:link w:val="20"/>
    <w:uiPriority w:val="99"/>
    <w:locked/>
    <w:rsid w:val="006004EC"/>
    <w:rPr>
      <w:rFonts w:ascii="SimSun" w:eastAsia="NSimSun" w:hAnsi="SimSun"/>
      <w:kern w:val="2"/>
      <w:sz w:val="24"/>
      <w:lang w:eastAsia="en-US"/>
    </w:rPr>
  </w:style>
  <w:style w:type="paragraph" w:styleId="PlainText">
    <w:name w:val="Plain Text"/>
    <w:basedOn w:val="Normal"/>
    <w:link w:val="PlainTextChar"/>
    <w:uiPriority w:val="99"/>
    <w:semiHidden/>
    <w:rsid w:val="006004EC"/>
    <w:rPr>
      <w:rFonts w:ascii="Consolas" w:hAnsi="Consolas"/>
      <w:sz w:val="21"/>
      <w:szCs w:val="21"/>
    </w:rPr>
  </w:style>
  <w:style w:type="character" w:customStyle="1" w:styleId="PlainTextChar">
    <w:name w:val="Plain Text Char"/>
    <w:link w:val="PlainText"/>
    <w:uiPriority w:val="99"/>
    <w:semiHidden/>
    <w:locked/>
    <w:rsid w:val="006004EC"/>
    <w:rPr>
      <w:rFonts w:ascii="Consolas" w:hAnsi="Consolas" w:cs="Arial"/>
      <w:sz w:val="21"/>
      <w:szCs w:val="21"/>
      <w:lang w:eastAsia="en-US"/>
    </w:rPr>
  </w:style>
  <w:style w:type="paragraph" w:styleId="BalloonText">
    <w:name w:val="Balloon Text"/>
    <w:basedOn w:val="Normal"/>
    <w:link w:val="BalloonTextChar"/>
    <w:uiPriority w:val="99"/>
    <w:semiHidden/>
    <w:rsid w:val="003A7026"/>
    <w:rPr>
      <w:rFonts w:ascii="Microsoft YaHei UI" w:eastAsia="Microsoft YaHei UI"/>
      <w:sz w:val="18"/>
      <w:szCs w:val="18"/>
    </w:rPr>
  </w:style>
  <w:style w:type="character" w:customStyle="1" w:styleId="BalloonTextChar">
    <w:name w:val="Balloon Text Char"/>
    <w:link w:val="BalloonText"/>
    <w:uiPriority w:val="99"/>
    <w:semiHidden/>
    <w:locked/>
    <w:rsid w:val="003A7026"/>
    <w:rPr>
      <w:rFonts w:ascii="Microsoft YaHei UI" w:eastAsia="Microsoft YaHei UI" w:hAnsi="Arial" w:cs="Arial"/>
      <w:sz w:val="18"/>
      <w:szCs w:val="18"/>
      <w:lang w:eastAsia="en-US"/>
    </w:rPr>
  </w:style>
  <w:style w:type="table" w:styleId="TableTheme">
    <w:name w:val="Table Theme"/>
    <w:basedOn w:val="TableNormal"/>
    <w:uiPriority w:val="99"/>
    <w:rsid w:val="00606235"/>
    <w:pPr>
      <w:spacing w:before="12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1803"/>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E0CA9"/>
    <w:pPr>
      <w:widowControl/>
      <w:autoSpaceDE/>
      <w:autoSpaceDN/>
      <w:spacing w:before="100" w:beforeAutospacing="1" w:after="100" w:afterAutospacing="1"/>
    </w:pPr>
    <w:rPr>
      <w:rFonts w:ascii="Times New Roman" w:hAnsi="Times New Roman" w:cs="Times New Roman"/>
      <w:sz w:val="24"/>
      <w:szCs w:val="24"/>
      <w:lang w:eastAsia="zh-CN"/>
    </w:rPr>
  </w:style>
  <w:style w:type="paragraph" w:customStyle="1" w:styleId="a">
    <w:name w:val="报告正文"/>
    <w:basedOn w:val="Normal"/>
    <w:link w:val="Char"/>
    <w:uiPriority w:val="99"/>
    <w:rsid w:val="0018035A"/>
    <w:pPr>
      <w:autoSpaceDE/>
      <w:autoSpaceDN/>
      <w:spacing w:beforeLines="50" w:afterLines="50" w:line="300" w:lineRule="auto"/>
      <w:ind w:firstLineChars="200" w:firstLine="200"/>
    </w:pPr>
    <w:rPr>
      <w:rFonts w:ascii="Times New Roman" w:eastAsia="SimSun" w:hAnsi="Times New Roman" w:cs="Times New Roman"/>
      <w:kern w:val="2"/>
      <w:sz w:val="24"/>
      <w:szCs w:val="24"/>
      <w:lang w:eastAsia="zh-CN"/>
    </w:rPr>
  </w:style>
  <w:style w:type="character" w:customStyle="1" w:styleId="Char">
    <w:name w:val="报告正文 Char"/>
    <w:link w:val="a"/>
    <w:uiPriority w:val="99"/>
    <w:locked/>
    <w:rsid w:val="0018035A"/>
    <w:rPr>
      <w:rFonts w:ascii="Times New Roman" w:eastAsia="SimSun" w:hAnsi="Times New Roman" w:cs="Times New Roman"/>
      <w:kern w:val="2"/>
      <w:sz w:val="24"/>
      <w:szCs w:val="24"/>
    </w:rPr>
  </w:style>
  <w:style w:type="character" w:customStyle="1" w:styleId="ListParagraphChar">
    <w:name w:val="List Paragraph Char"/>
    <w:link w:val="ListParagraph"/>
    <w:uiPriority w:val="99"/>
    <w:locked/>
    <w:rsid w:val="00A16253"/>
    <w:rPr>
      <w:rFonts w:ascii="Arial" w:hAnsi="Arial" w:cs="Arial"/>
      <w:lang w:eastAsia="en-US"/>
    </w:rPr>
  </w:style>
  <w:style w:type="paragraph" w:customStyle="1" w:styleId="table1">
    <w:name w:val="table 1"/>
    <w:basedOn w:val="Normal"/>
    <w:uiPriority w:val="99"/>
    <w:rsid w:val="005D79F7"/>
    <w:pPr>
      <w:numPr>
        <w:numId w:val="8"/>
      </w:numPr>
      <w:autoSpaceDE/>
      <w:autoSpaceDN/>
    </w:pPr>
    <w:rPr>
      <w:rFonts w:ascii="Times New Roman" w:eastAsia="SimSun" w:hAnsi="Times New Roman" w:cs="Times New Roman"/>
      <w:b/>
      <w:kern w:val="2"/>
      <w:sz w:val="24"/>
      <w:szCs w:val="24"/>
      <w:lang w:eastAsia="zh-CN"/>
    </w:rPr>
  </w:style>
  <w:style w:type="paragraph" w:customStyle="1" w:styleId="Aufzhlung2">
    <w:name w:val="Aufzählung 2"/>
    <w:basedOn w:val="Normal"/>
    <w:uiPriority w:val="99"/>
    <w:rsid w:val="00B51FFF"/>
    <w:pPr>
      <w:widowControl/>
      <w:numPr>
        <w:numId w:val="9"/>
      </w:numPr>
      <w:autoSpaceDE/>
      <w:autoSpaceDN/>
      <w:spacing w:before="60"/>
    </w:pPr>
    <w:rPr>
      <w:rFonts w:eastAsia="SimSun" w:cs="Times New Roman"/>
      <w:sz w:val="24"/>
      <w:szCs w:val="20"/>
      <w:lang w:eastAsia="ko-KR"/>
    </w:rPr>
  </w:style>
  <w:style w:type="character" w:styleId="Hyperlink">
    <w:name w:val="Hyperlink"/>
    <w:uiPriority w:val="99"/>
    <w:rsid w:val="00FB63AA"/>
    <w:rPr>
      <w:rFonts w:cs="Times New Roman"/>
      <w:color w:val="0000FF"/>
      <w:u w:val="none"/>
      <w:effect w:val="none"/>
    </w:rPr>
  </w:style>
  <w:style w:type="paragraph" w:styleId="TOCHeading">
    <w:name w:val="TOC Heading"/>
    <w:basedOn w:val="Heading1"/>
    <w:next w:val="Normal"/>
    <w:uiPriority w:val="99"/>
    <w:qFormat/>
    <w:rsid w:val="00D56978"/>
    <w:pPr>
      <w:keepNext/>
      <w:keepLines/>
      <w:spacing w:before="240" w:line="259" w:lineRule="auto"/>
      <w:ind w:left="0"/>
      <w:outlineLvl w:val="9"/>
    </w:pPr>
    <w:rPr>
      <w:rFonts w:ascii="Calibri Light" w:eastAsia="DengXian Light" w:hAnsi="Calibri Light" w:cs="Times New Roman"/>
      <w:b w:val="0"/>
      <w:bCs w:val="0"/>
      <w:color w:val="2F5496"/>
      <w:sz w:val="32"/>
      <w:szCs w:val="32"/>
      <w:lang w:eastAsia="zh-CN"/>
    </w:rPr>
  </w:style>
  <w:style w:type="character" w:customStyle="1" w:styleId="fontstyle01">
    <w:name w:val="fontstyle01"/>
    <w:uiPriority w:val="99"/>
    <w:rsid w:val="008F78A8"/>
    <w:rPr>
      <w:rFonts w:ascii="SimSun" w:eastAsia="SimSun" w:hAnsi="SimSun" w:cs="Times New Roman"/>
      <w:color w:val="000000"/>
      <w:sz w:val="24"/>
      <w:szCs w:val="24"/>
    </w:rPr>
  </w:style>
  <w:style w:type="character" w:customStyle="1" w:styleId="fontstyle21">
    <w:name w:val="fontstyle21"/>
    <w:uiPriority w:val="99"/>
    <w:rsid w:val="008F78A8"/>
    <w:rPr>
      <w:rFonts w:ascii="TimesNewRomanPSMT" w:hAnsi="TimesNewRomanPSMT" w:cs="Times New Roman"/>
      <w:color w:val="000000"/>
      <w:sz w:val="24"/>
      <w:szCs w:val="24"/>
    </w:rPr>
  </w:style>
  <w:style w:type="character" w:customStyle="1" w:styleId="fontstyle11">
    <w:name w:val="fontstyle11"/>
    <w:uiPriority w:val="99"/>
    <w:rsid w:val="000C5CF8"/>
    <w:rPr>
      <w:rFonts w:ascii="TimesNewRomanPSMT" w:hAnsi="TimesNewRomanPSMT" w:cs="Times New Roman"/>
      <w:color w:val="000000"/>
      <w:sz w:val="22"/>
      <w:szCs w:val="22"/>
    </w:rPr>
  </w:style>
  <w:style w:type="character" w:customStyle="1" w:styleId="fontstyle31">
    <w:name w:val="fontstyle31"/>
    <w:uiPriority w:val="99"/>
    <w:rsid w:val="00C80D1E"/>
    <w:rPr>
      <w:rFonts w:ascii="Wingdings-Regular" w:hAnsi="Wingdings-Regular" w:cs="Times New Roman"/>
      <w:color w:val="000000"/>
      <w:sz w:val="22"/>
      <w:szCs w:val="22"/>
    </w:rPr>
  </w:style>
  <w:style w:type="character" w:styleId="CommentReference">
    <w:name w:val="annotation reference"/>
    <w:uiPriority w:val="99"/>
    <w:semiHidden/>
    <w:rsid w:val="0008663D"/>
    <w:rPr>
      <w:rFonts w:cs="Times New Roman"/>
      <w:sz w:val="21"/>
      <w:szCs w:val="21"/>
    </w:rPr>
  </w:style>
  <w:style w:type="paragraph" w:styleId="CommentText">
    <w:name w:val="annotation text"/>
    <w:basedOn w:val="Normal"/>
    <w:link w:val="CommentTextChar"/>
    <w:uiPriority w:val="99"/>
    <w:semiHidden/>
    <w:rsid w:val="0008663D"/>
  </w:style>
  <w:style w:type="character" w:customStyle="1" w:styleId="CommentTextChar">
    <w:name w:val="Comment Text Char"/>
    <w:link w:val="CommentText"/>
    <w:uiPriority w:val="99"/>
    <w:semiHidden/>
    <w:locked/>
    <w:rsid w:val="0008663D"/>
    <w:rPr>
      <w:rFonts w:ascii="Arial" w:hAnsi="Arial" w:cs="Arial"/>
      <w:lang w:eastAsia="en-US"/>
    </w:rPr>
  </w:style>
  <w:style w:type="paragraph" w:styleId="CommentSubject">
    <w:name w:val="annotation subject"/>
    <w:basedOn w:val="CommentText"/>
    <w:next w:val="CommentText"/>
    <w:link w:val="CommentSubjectChar"/>
    <w:uiPriority w:val="99"/>
    <w:semiHidden/>
    <w:rsid w:val="0008663D"/>
    <w:rPr>
      <w:b/>
      <w:bCs/>
    </w:rPr>
  </w:style>
  <w:style w:type="character" w:customStyle="1" w:styleId="CommentSubjectChar">
    <w:name w:val="Comment Subject Char"/>
    <w:link w:val="CommentSubject"/>
    <w:uiPriority w:val="99"/>
    <w:semiHidden/>
    <w:locked/>
    <w:rsid w:val="0008663D"/>
    <w:rPr>
      <w:rFonts w:ascii="Arial" w:hAnsi="Arial" w:cs="Arial"/>
      <w:b/>
      <w:bCs/>
      <w:lang w:eastAsia="en-US"/>
    </w:rPr>
  </w:style>
  <w:style w:type="paragraph" w:styleId="Revision">
    <w:name w:val="Revision"/>
    <w:hidden/>
    <w:uiPriority w:val="99"/>
    <w:semiHidden/>
    <w:rsid w:val="00534ED2"/>
    <w:rPr>
      <w:rFonts w:ascii="Arial" w:hAnsi="Arial" w:cs="Arial"/>
      <w:sz w:val="22"/>
      <w:szCs w:val="22"/>
      <w:lang w:eastAsia="en-US"/>
    </w:rPr>
  </w:style>
  <w:style w:type="character" w:customStyle="1" w:styleId="apple-converted-space">
    <w:name w:val="apple-converted-space"/>
    <w:uiPriority w:val="99"/>
    <w:rsid w:val="00F50990"/>
    <w:rPr>
      <w:rFonts w:cs="Times New Roman"/>
    </w:rPr>
  </w:style>
  <w:style w:type="table" w:customStyle="1" w:styleId="31">
    <w:name w:val="无格式表格 31"/>
    <w:uiPriority w:val="99"/>
    <w:rsid w:val="00E15EA1"/>
    <w:tblPr>
      <w:tblStyleRowBandSize w:val="1"/>
      <w:tblStyleColBandSize w:val="1"/>
      <w:tblInd w:w="0" w:type="dxa"/>
      <w:tblCellMar>
        <w:top w:w="0" w:type="dxa"/>
        <w:left w:w="108" w:type="dxa"/>
        <w:bottom w:w="0" w:type="dxa"/>
        <w:right w:w="108" w:type="dxa"/>
      </w:tblCellMar>
    </w:tblPr>
  </w:style>
  <w:style w:type="paragraph" w:styleId="Date">
    <w:name w:val="Date"/>
    <w:basedOn w:val="Normal"/>
    <w:next w:val="Normal"/>
    <w:link w:val="DateChar"/>
    <w:uiPriority w:val="99"/>
    <w:semiHidden/>
    <w:rsid w:val="0002053A"/>
    <w:pPr>
      <w:ind w:leftChars="2500" w:left="100"/>
    </w:pPr>
  </w:style>
  <w:style w:type="character" w:customStyle="1" w:styleId="DateChar">
    <w:name w:val="Date Char"/>
    <w:link w:val="Date"/>
    <w:uiPriority w:val="99"/>
    <w:semiHidden/>
    <w:locked/>
    <w:rsid w:val="0002053A"/>
    <w:rPr>
      <w:rFonts w:ascii="Arial" w:hAnsi="Arial" w:cs="Arial"/>
      <w:lang w:eastAsia="en-US"/>
    </w:rPr>
  </w:style>
  <w:style w:type="paragraph" w:customStyle="1" w:styleId="Default">
    <w:name w:val="Default"/>
    <w:uiPriority w:val="99"/>
    <w:rsid w:val="00201FCB"/>
    <w:pPr>
      <w:widowControl w:val="0"/>
      <w:autoSpaceDE w:val="0"/>
      <w:autoSpaceDN w:val="0"/>
      <w:adjustRightInd w:val="0"/>
    </w:pPr>
    <w:rPr>
      <w:rFonts w:ascii="SimSun" w:eastAsia="SimSun" w:cs="SimSun"/>
      <w:color w:val="000000"/>
      <w:sz w:val="24"/>
      <w:szCs w:val="24"/>
    </w:rPr>
  </w:style>
  <w:style w:type="table" w:customStyle="1" w:styleId="41">
    <w:name w:val="无格式表格 41"/>
    <w:uiPriority w:val="99"/>
    <w:rsid w:val="00201FCB"/>
    <w:tblPr>
      <w:tblStyleRowBandSize w:val="1"/>
      <w:tblStyleColBandSize w:val="1"/>
      <w:tblInd w:w="0" w:type="dxa"/>
      <w:tblCellMar>
        <w:top w:w="0" w:type="dxa"/>
        <w:left w:w="108" w:type="dxa"/>
        <w:bottom w:w="0" w:type="dxa"/>
        <w:right w:w="108" w:type="dxa"/>
      </w:tblCellMar>
    </w:tblPr>
  </w:style>
  <w:style w:type="paragraph" w:customStyle="1" w:styleId="3">
    <w:name w:val="标题3"/>
    <w:basedOn w:val="Heading3"/>
    <w:link w:val="3Char"/>
    <w:uiPriority w:val="99"/>
    <w:rsid w:val="00BF12DC"/>
    <w:pPr>
      <w:keepNext/>
      <w:keepLines/>
      <w:numPr>
        <w:numId w:val="30"/>
      </w:numPr>
      <w:spacing w:line="360" w:lineRule="auto"/>
      <w:ind w:left="300" w:hangingChars="300" w:hanging="300"/>
    </w:pPr>
    <w:rPr>
      <w:rFonts w:cs="Times New Roman"/>
      <w:i/>
      <w:kern w:val="2"/>
      <w:szCs w:val="32"/>
    </w:rPr>
  </w:style>
  <w:style w:type="paragraph" w:customStyle="1" w:styleId="2">
    <w:name w:val="标题2"/>
    <w:basedOn w:val="Heading2"/>
    <w:uiPriority w:val="99"/>
    <w:rsid w:val="00BF12DC"/>
    <w:pPr>
      <w:keepNext/>
      <w:keepLines/>
      <w:numPr>
        <w:numId w:val="30"/>
      </w:numPr>
      <w:tabs>
        <w:tab w:val="num" w:pos="360"/>
      </w:tabs>
      <w:spacing w:after="120" w:line="360" w:lineRule="auto"/>
      <w:ind w:left="250" w:hangingChars="250" w:hanging="250"/>
    </w:pPr>
    <w:rPr>
      <w:rFonts w:cs="Times New Roman"/>
      <w:kern w:val="2"/>
      <w:sz w:val="30"/>
      <w:szCs w:val="32"/>
      <w:lang w:eastAsia="zh-CN"/>
    </w:rPr>
  </w:style>
  <w:style w:type="character" w:customStyle="1" w:styleId="3Char">
    <w:name w:val="标题3 Char"/>
    <w:link w:val="3"/>
    <w:uiPriority w:val="99"/>
    <w:locked/>
    <w:rsid w:val="00BF12DC"/>
    <w:rPr>
      <w:rFonts w:ascii="Times New Roman" w:eastAsia="SimSun" w:hAnsi="Times New Roman"/>
      <w:b/>
      <w:bCs/>
      <w:i/>
      <w:snapToGrid w:val="0"/>
      <w:kern w:val="2"/>
      <w:sz w:val="24"/>
      <w:szCs w:val="32"/>
      <w:lang w:eastAsia="en-US"/>
    </w:rPr>
  </w:style>
  <w:style w:type="paragraph" w:customStyle="1" w:styleId="1">
    <w:name w:val="标题1"/>
    <w:basedOn w:val="Heading1"/>
    <w:next w:val="Normal"/>
    <w:uiPriority w:val="99"/>
    <w:rsid w:val="00BF12DC"/>
    <w:pPr>
      <w:keepNext/>
      <w:keepLines/>
      <w:numPr>
        <w:numId w:val="30"/>
      </w:numPr>
      <w:tabs>
        <w:tab w:val="num" w:pos="360"/>
      </w:tabs>
      <w:spacing w:before="240" w:after="240" w:line="360" w:lineRule="auto"/>
      <w:ind w:left="0" w:firstLineChars="200" w:firstLine="200"/>
    </w:pPr>
    <w:rPr>
      <w:rFonts w:cs="Times New Roman"/>
      <w:kern w:val="44"/>
      <w:sz w:val="32"/>
      <w:szCs w:val="44"/>
      <w:lang w:eastAsia="zh-CN"/>
    </w:rPr>
  </w:style>
  <w:style w:type="paragraph" w:customStyle="1" w:styleId="4">
    <w:name w:val="样式4"/>
    <w:basedOn w:val="3"/>
    <w:uiPriority w:val="99"/>
    <w:rsid w:val="00BF12DC"/>
    <w:pPr>
      <w:numPr>
        <w:ilvl w:val="3"/>
      </w:numPr>
      <w:tabs>
        <w:tab w:val="num" w:pos="360"/>
      </w:tabs>
      <w:ind w:left="850" w:hangingChars="354" w:hanging="850"/>
      <w:outlineLvl w:val="3"/>
    </w:pPr>
    <w:rPr>
      <w:rFonts w:hAnsi="SimSun"/>
      <w:b w:val="0"/>
    </w:rPr>
  </w:style>
  <w:style w:type="character" w:customStyle="1" w:styleId="Heading4Char">
    <w:name w:val="Heading 4 Char"/>
    <w:basedOn w:val="DefaultParagraphFont"/>
    <w:link w:val="Heading4"/>
    <w:rsid w:val="000400DC"/>
    <w:rPr>
      <w:rFonts w:ascii="Times New Roman" w:eastAsia="SimSun" w:hAnsi="Times New Roman" w:cstheme="majorBidi"/>
      <w:b/>
      <w:bCs/>
      <w:snapToGrid w:val="0"/>
      <w:sz w:val="24"/>
      <w:szCs w:val="28"/>
      <w:lang w:eastAsia="en-US"/>
    </w:rPr>
  </w:style>
  <w:style w:type="character" w:customStyle="1" w:styleId="Heading5Char">
    <w:name w:val="Heading 5 Char"/>
    <w:basedOn w:val="DefaultParagraphFont"/>
    <w:link w:val="Heading5"/>
    <w:semiHidden/>
    <w:rsid w:val="006F79B1"/>
    <w:rPr>
      <w:rFonts w:ascii="Arial" w:hAnsi="Arial" w:cs="Arial"/>
      <w:b/>
      <w:bCs/>
      <w:sz w:val="28"/>
      <w:szCs w:val="28"/>
      <w:lang w:eastAsia="en-US"/>
    </w:rPr>
  </w:style>
  <w:style w:type="character" w:customStyle="1" w:styleId="Heading6Char">
    <w:name w:val="Heading 6 Char"/>
    <w:basedOn w:val="DefaultParagraphFont"/>
    <w:link w:val="Heading6"/>
    <w:semiHidden/>
    <w:rsid w:val="006F79B1"/>
    <w:rPr>
      <w:rFonts w:asciiTheme="majorHAnsi" w:eastAsiaTheme="majorEastAsia" w:hAnsiTheme="majorHAnsi" w:cstheme="majorBidi"/>
      <w:b/>
      <w:bCs/>
      <w:sz w:val="24"/>
      <w:szCs w:val="24"/>
      <w:lang w:eastAsia="en-US"/>
    </w:rPr>
  </w:style>
  <w:style w:type="paragraph" w:styleId="TOC6">
    <w:name w:val="toc 6"/>
    <w:basedOn w:val="Normal"/>
    <w:next w:val="Normal"/>
    <w:uiPriority w:val="39"/>
    <w:unhideWhenUsed/>
    <w:locked/>
    <w:rsid w:val="00233C9B"/>
    <w:pPr>
      <w:autoSpaceDE/>
      <w:autoSpaceDN/>
      <w:ind w:leftChars="1000" w:left="2100"/>
      <w:jc w:val="both"/>
    </w:pPr>
    <w:rPr>
      <w:rFonts w:asciiTheme="minorHAnsi" w:eastAsiaTheme="minorEastAsia" w:hAnsiTheme="minorHAnsi" w:cstheme="minorBidi"/>
      <w:kern w:val="2"/>
      <w:sz w:val="21"/>
      <w:lang w:eastAsia="zh-CN"/>
    </w:rPr>
  </w:style>
  <w:style w:type="paragraph" w:styleId="TOC7">
    <w:name w:val="toc 7"/>
    <w:basedOn w:val="Normal"/>
    <w:next w:val="Normal"/>
    <w:uiPriority w:val="39"/>
    <w:unhideWhenUsed/>
    <w:locked/>
    <w:rsid w:val="00233C9B"/>
    <w:pPr>
      <w:autoSpaceDE/>
      <w:autoSpaceDN/>
      <w:ind w:leftChars="1200" w:left="2520"/>
      <w:jc w:val="both"/>
    </w:pPr>
    <w:rPr>
      <w:rFonts w:asciiTheme="minorHAnsi" w:eastAsiaTheme="minorEastAsia" w:hAnsiTheme="minorHAnsi" w:cstheme="minorBidi"/>
      <w:kern w:val="2"/>
      <w:sz w:val="21"/>
      <w:lang w:eastAsia="zh-CN"/>
    </w:rPr>
  </w:style>
  <w:style w:type="paragraph" w:styleId="TOC8">
    <w:name w:val="toc 8"/>
    <w:basedOn w:val="Normal"/>
    <w:next w:val="Normal"/>
    <w:uiPriority w:val="39"/>
    <w:unhideWhenUsed/>
    <w:locked/>
    <w:rsid w:val="00233C9B"/>
    <w:pPr>
      <w:autoSpaceDE/>
      <w:autoSpaceDN/>
      <w:ind w:leftChars="1400" w:left="2940"/>
      <w:jc w:val="both"/>
    </w:pPr>
    <w:rPr>
      <w:rFonts w:asciiTheme="minorHAnsi" w:eastAsiaTheme="minorEastAsia" w:hAnsiTheme="minorHAnsi" w:cstheme="minorBidi"/>
      <w:kern w:val="2"/>
      <w:sz w:val="21"/>
      <w:lang w:eastAsia="zh-CN"/>
    </w:rPr>
  </w:style>
  <w:style w:type="paragraph" w:styleId="TOC9">
    <w:name w:val="toc 9"/>
    <w:basedOn w:val="Normal"/>
    <w:next w:val="Normal"/>
    <w:uiPriority w:val="39"/>
    <w:unhideWhenUsed/>
    <w:locked/>
    <w:rsid w:val="00233C9B"/>
    <w:pPr>
      <w:autoSpaceDE/>
      <w:autoSpaceDN/>
      <w:ind w:leftChars="1600" w:left="3360"/>
      <w:jc w:val="both"/>
    </w:pPr>
    <w:rPr>
      <w:rFonts w:asciiTheme="minorHAnsi" w:eastAsiaTheme="minorEastAsia" w:hAnsiTheme="minorHAnsi" w:cstheme="minorBidi"/>
      <w:kern w:val="2"/>
      <w:sz w:val="21"/>
      <w:lang w:eastAsia="zh-CN"/>
    </w:rPr>
  </w:style>
  <w:style w:type="character" w:styleId="UnresolvedMention">
    <w:name w:val="Unresolved Mention"/>
    <w:basedOn w:val="DefaultParagraphFont"/>
    <w:uiPriority w:val="99"/>
    <w:semiHidden/>
    <w:unhideWhenUsed/>
    <w:rsid w:val="00233C9B"/>
    <w:rPr>
      <w:color w:val="605E5C"/>
      <w:shd w:val="clear" w:color="auto" w:fill="E1DFDD"/>
    </w:rPr>
  </w:style>
  <w:style w:type="paragraph" w:styleId="HTMLAddress">
    <w:name w:val="HTML Address"/>
    <w:basedOn w:val="Normal"/>
    <w:link w:val="HTMLAddressChar"/>
    <w:uiPriority w:val="99"/>
    <w:semiHidden/>
    <w:unhideWhenUsed/>
    <w:rsid w:val="002176D9"/>
    <w:rPr>
      <w:i/>
      <w:iCs/>
    </w:rPr>
  </w:style>
  <w:style w:type="character" w:customStyle="1" w:styleId="HTMLAddressChar">
    <w:name w:val="HTML Address Char"/>
    <w:basedOn w:val="DefaultParagraphFont"/>
    <w:link w:val="HTMLAddress"/>
    <w:uiPriority w:val="99"/>
    <w:semiHidden/>
    <w:rsid w:val="002176D9"/>
    <w:rPr>
      <w:rFonts w:ascii="Arial" w:hAnsi="Arial" w:cs="Arial"/>
      <w:i/>
      <w:iCs/>
      <w:sz w:val="22"/>
      <w:szCs w:val="22"/>
      <w:lang w:eastAsia="en-US"/>
    </w:rPr>
  </w:style>
  <w:style w:type="paragraph" w:styleId="HTMLPreformatted">
    <w:name w:val="HTML Preformatted"/>
    <w:basedOn w:val="Normal"/>
    <w:link w:val="HTMLPreformattedChar"/>
    <w:uiPriority w:val="99"/>
    <w:semiHidden/>
    <w:unhideWhenUsed/>
    <w:rsid w:val="002176D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176D9"/>
    <w:rPr>
      <w:rFonts w:ascii="Courier New" w:hAnsi="Courier New" w:cs="Courier New"/>
      <w:lang w:eastAsia="en-US"/>
    </w:rPr>
  </w:style>
  <w:style w:type="paragraph" w:styleId="Title">
    <w:name w:val="Title"/>
    <w:basedOn w:val="Normal"/>
    <w:next w:val="Normal"/>
    <w:link w:val="TitleChar"/>
    <w:qFormat/>
    <w:locked/>
    <w:rsid w:val="002176D9"/>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2176D9"/>
    <w:rPr>
      <w:rFonts w:asciiTheme="majorHAnsi" w:eastAsiaTheme="majorEastAsia" w:hAnsiTheme="majorHAnsi" w:cstheme="majorBidi"/>
      <w:b/>
      <w:bCs/>
      <w:sz w:val="32"/>
      <w:szCs w:val="32"/>
      <w:lang w:eastAsia="en-US"/>
    </w:rPr>
  </w:style>
  <w:style w:type="character" w:customStyle="1" w:styleId="Heading7Char">
    <w:name w:val="Heading 7 Char"/>
    <w:basedOn w:val="DefaultParagraphFont"/>
    <w:link w:val="Heading7"/>
    <w:semiHidden/>
    <w:rsid w:val="002176D9"/>
    <w:rPr>
      <w:rFonts w:ascii="Arial" w:hAnsi="Arial" w:cs="Arial"/>
      <w:b/>
      <w:bCs/>
      <w:sz w:val="24"/>
      <w:szCs w:val="24"/>
      <w:lang w:eastAsia="en-US"/>
    </w:rPr>
  </w:style>
  <w:style w:type="character" w:customStyle="1" w:styleId="Heading8Char">
    <w:name w:val="Heading 8 Char"/>
    <w:basedOn w:val="DefaultParagraphFont"/>
    <w:link w:val="Heading8"/>
    <w:semiHidden/>
    <w:rsid w:val="002176D9"/>
    <w:rPr>
      <w:rFonts w:asciiTheme="majorHAnsi" w:eastAsiaTheme="majorEastAsia" w:hAnsiTheme="majorHAnsi" w:cstheme="majorBidi"/>
      <w:sz w:val="24"/>
      <w:szCs w:val="24"/>
      <w:lang w:eastAsia="en-US"/>
    </w:rPr>
  </w:style>
  <w:style w:type="character" w:customStyle="1" w:styleId="Heading9Char">
    <w:name w:val="Heading 9 Char"/>
    <w:basedOn w:val="DefaultParagraphFont"/>
    <w:link w:val="Heading9"/>
    <w:semiHidden/>
    <w:rsid w:val="002176D9"/>
    <w:rPr>
      <w:rFonts w:asciiTheme="majorHAnsi" w:eastAsiaTheme="majorEastAsia" w:hAnsiTheme="majorHAnsi" w:cstheme="majorBidi"/>
      <w:sz w:val="21"/>
      <w:szCs w:val="21"/>
      <w:lang w:eastAsia="en-US"/>
    </w:rPr>
  </w:style>
  <w:style w:type="paragraph" w:styleId="Salutation">
    <w:name w:val="Salutation"/>
    <w:basedOn w:val="Normal"/>
    <w:next w:val="Normal"/>
    <w:link w:val="SalutationChar"/>
    <w:uiPriority w:val="99"/>
    <w:semiHidden/>
    <w:unhideWhenUsed/>
    <w:rsid w:val="002176D9"/>
  </w:style>
  <w:style w:type="character" w:customStyle="1" w:styleId="SalutationChar">
    <w:name w:val="Salutation Char"/>
    <w:basedOn w:val="DefaultParagraphFont"/>
    <w:link w:val="Salutation"/>
    <w:uiPriority w:val="99"/>
    <w:semiHidden/>
    <w:rsid w:val="002176D9"/>
    <w:rPr>
      <w:rFonts w:ascii="Arial" w:hAnsi="Arial" w:cs="Arial"/>
      <w:sz w:val="22"/>
      <w:szCs w:val="22"/>
      <w:lang w:eastAsia="en-US"/>
    </w:rPr>
  </w:style>
  <w:style w:type="paragraph" w:styleId="E-mailSignature">
    <w:name w:val="E-mail Signature"/>
    <w:basedOn w:val="Normal"/>
    <w:link w:val="E-mailSignatureChar"/>
    <w:uiPriority w:val="99"/>
    <w:semiHidden/>
    <w:unhideWhenUsed/>
    <w:rsid w:val="002176D9"/>
  </w:style>
  <w:style w:type="character" w:customStyle="1" w:styleId="E-mailSignatureChar">
    <w:name w:val="E-mail Signature Char"/>
    <w:basedOn w:val="DefaultParagraphFont"/>
    <w:link w:val="E-mailSignature"/>
    <w:uiPriority w:val="99"/>
    <w:semiHidden/>
    <w:rsid w:val="002176D9"/>
    <w:rPr>
      <w:rFonts w:ascii="Arial" w:hAnsi="Arial" w:cs="Arial"/>
      <w:sz w:val="22"/>
      <w:szCs w:val="22"/>
      <w:lang w:eastAsia="en-US"/>
    </w:rPr>
  </w:style>
  <w:style w:type="paragraph" w:styleId="Subtitle">
    <w:name w:val="Subtitle"/>
    <w:basedOn w:val="Normal"/>
    <w:next w:val="Normal"/>
    <w:link w:val="SubtitleChar"/>
    <w:qFormat/>
    <w:locked/>
    <w:rsid w:val="002176D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2176D9"/>
    <w:rPr>
      <w:rFonts w:asciiTheme="minorHAnsi" w:eastAsiaTheme="minorEastAsia" w:hAnsiTheme="minorHAnsi" w:cstheme="minorBidi"/>
      <w:b/>
      <w:bCs/>
      <w:kern w:val="28"/>
      <w:sz w:val="32"/>
      <w:szCs w:val="32"/>
      <w:lang w:eastAsia="en-US"/>
    </w:rPr>
  </w:style>
  <w:style w:type="paragraph" w:styleId="MacroText">
    <w:name w:val="macro"/>
    <w:link w:val="MacroTextChar"/>
    <w:uiPriority w:val="99"/>
    <w:semiHidden/>
    <w:unhideWhenUsed/>
    <w:rsid w:val="002176D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eastAsia="en-US"/>
    </w:rPr>
  </w:style>
  <w:style w:type="character" w:customStyle="1" w:styleId="MacroTextChar">
    <w:name w:val="Macro Text Char"/>
    <w:basedOn w:val="DefaultParagraphFont"/>
    <w:link w:val="MacroText"/>
    <w:uiPriority w:val="99"/>
    <w:semiHidden/>
    <w:rsid w:val="002176D9"/>
    <w:rPr>
      <w:rFonts w:ascii="Courier New" w:eastAsia="SimSun" w:hAnsi="Courier New" w:cs="Courier New"/>
      <w:sz w:val="24"/>
      <w:szCs w:val="24"/>
      <w:lang w:eastAsia="en-US"/>
    </w:rPr>
  </w:style>
  <w:style w:type="paragraph" w:styleId="EnvelopeReturn">
    <w:name w:val="envelope return"/>
    <w:basedOn w:val="Normal"/>
    <w:uiPriority w:val="99"/>
    <w:semiHidden/>
    <w:unhideWhenUsed/>
    <w:rsid w:val="002176D9"/>
    <w:pPr>
      <w:snapToGrid w:val="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176D9"/>
    <w:pPr>
      <w:snapToGrid w:val="0"/>
    </w:pPr>
    <w:rPr>
      <w:sz w:val="18"/>
      <w:szCs w:val="18"/>
    </w:rPr>
  </w:style>
  <w:style w:type="character" w:customStyle="1" w:styleId="FootnoteTextChar">
    <w:name w:val="Footnote Text Char"/>
    <w:basedOn w:val="DefaultParagraphFont"/>
    <w:link w:val="FootnoteText"/>
    <w:uiPriority w:val="99"/>
    <w:semiHidden/>
    <w:rsid w:val="002176D9"/>
    <w:rPr>
      <w:rFonts w:ascii="Arial" w:hAnsi="Arial" w:cs="Arial"/>
      <w:sz w:val="18"/>
      <w:szCs w:val="18"/>
      <w:lang w:eastAsia="en-US"/>
    </w:rPr>
  </w:style>
  <w:style w:type="paragraph" w:styleId="Closing">
    <w:name w:val="Closing"/>
    <w:basedOn w:val="Normal"/>
    <w:link w:val="ClosingChar"/>
    <w:uiPriority w:val="99"/>
    <w:semiHidden/>
    <w:unhideWhenUsed/>
    <w:rsid w:val="002176D9"/>
    <w:pPr>
      <w:ind w:leftChars="2100" w:left="100"/>
    </w:pPr>
  </w:style>
  <w:style w:type="character" w:customStyle="1" w:styleId="ClosingChar">
    <w:name w:val="Closing Char"/>
    <w:basedOn w:val="DefaultParagraphFont"/>
    <w:link w:val="Closing"/>
    <w:uiPriority w:val="99"/>
    <w:semiHidden/>
    <w:rsid w:val="002176D9"/>
    <w:rPr>
      <w:rFonts w:ascii="Arial" w:hAnsi="Arial" w:cs="Arial"/>
      <w:sz w:val="22"/>
      <w:szCs w:val="22"/>
      <w:lang w:eastAsia="en-US"/>
    </w:rPr>
  </w:style>
  <w:style w:type="paragraph" w:styleId="List">
    <w:name w:val="List"/>
    <w:basedOn w:val="Normal"/>
    <w:uiPriority w:val="99"/>
    <w:semiHidden/>
    <w:unhideWhenUsed/>
    <w:rsid w:val="002176D9"/>
    <w:pPr>
      <w:ind w:left="200" w:hangingChars="200" w:hanging="200"/>
      <w:contextualSpacing/>
    </w:pPr>
  </w:style>
  <w:style w:type="paragraph" w:styleId="List2">
    <w:name w:val="List 2"/>
    <w:basedOn w:val="Normal"/>
    <w:uiPriority w:val="99"/>
    <w:semiHidden/>
    <w:unhideWhenUsed/>
    <w:rsid w:val="002176D9"/>
    <w:pPr>
      <w:ind w:leftChars="200" w:left="100" w:hangingChars="200" w:hanging="200"/>
      <w:contextualSpacing/>
    </w:pPr>
  </w:style>
  <w:style w:type="paragraph" w:styleId="List3">
    <w:name w:val="List 3"/>
    <w:basedOn w:val="Normal"/>
    <w:uiPriority w:val="99"/>
    <w:semiHidden/>
    <w:unhideWhenUsed/>
    <w:rsid w:val="002176D9"/>
    <w:pPr>
      <w:ind w:leftChars="400" w:left="100" w:hangingChars="200" w:hanging="200"/>
      <w:contextualSpacing/>
    </w:pPr>
  </w:style>
  <w:style w:type="paragraph" w:styleId="List4">
    <w:name w:val="List 4"/>
    <w:basedOn w:val="Normal"/>
    <w:uiPriority w:val="99"/>
    <w:semiHidden/>
    <w:unhideWhenUsed/>
    <w:rsid w:val="002176D9"/>
    <w:pPr>
      <w:ind w:leftChars="600" w:left="100" w:hangingChars="200" w:hanging="200"/>
      <w:contextualSpacing/>
    </w:pPr>
  </w:style>
  <w:style w:type="paragraph" w:styleId="List5">
    <w:name w:val="List 5"/>
    <w:basedOn w:val="Normal"/>
    <w:uiPriority w:val="99"/>
    <w:semiHidden/>
    <w:unhideWhenUsed/>
    <w:rsid w:val="002176D9"/>
    <w:pPr>
      <w:ind w:leftChars="800" w:left="100" w:hangingChars="200" w:hanging="200"/>
      <w:contextualSpacing/>
    </w:pPr>
  </w:style>
  <w:style w:type="paragraph" w:styleId="ListNumber">
    <w:name w:val="List Number"/>
    <w:basedOn w:val="Normal"/>
    <w:uiPriority w:val="99"/>
    <w:semiHidden/>
    <w:unhideWhenUsed/>
    <w:rsid w:val="002176D9"/>
    <w:pPr>
      <w:numPr>
        <w:numId w:val="32"/>
      </w:numPr>
      <w:contextualSpacing/>
    </w:pPr>
  </w:style>
  <w:style w:type="paragraph" w:styleId="ListNumber2">
    <w:name w:val="List Number 2"/>
    <w:basedOn w:val="Normal"/>
    <w:uiPriority w:val="99"/>
    <w:semiHidden/>
    <w:unhideWhenUsed/>
    <w:rsid w:val="002176D9"/>
    <w:pPr>
      <w:numPr>
        <w:numId w:val="33"/>
      </w:numPr>
      <w:contextualSpacing/>
    </w:pPr>
  </w:style>
  <w:style w:type="paragraph" w:styleId="ListNumber3">
    <w:name w:val="List Number 3"/>
    <w:basedOn w:val="Normal"/>
    <w:uiPriority w:val="99"/>
    <w:semiHidden/>
    <w:unhideWhenUsed/>
    <w:rsid w:val="002176D9"/>
    <w:pPr>
      <w:numPr>
        <w:numId w:val="34"/>
      </w:numPr>
      <w:contextualSpacing/>
    </w:pPr>
  </w:style>
  <w:style w:type="paragraph" w:styleId="ListNumber4">
    <w:name w:val="List Number 4"/>
    <w:basedOn w:val="Normal"/>
    <w:uiPriority w:val="99"/>
    <w:semiHidden/>
    <w:unhideWhenUsed/>
    <w:rsid w:val="002176D9"/>
    <w:pPr>
      <w:numPr>
        <w:numId w:val="35"/>
      </w:numPr>
      <w:contextualSpacing/>
    </w:pPr>
  </w:style>
  <w:style w:type="paragraph" w:styleId="ListNumber5">
    <w:name w:val="List Number 5"/>
    <w:basedOn w:val="Normal"/>
    <w:uiPriority w:val="99"/>
    <w:semiHidden/>
    <w:unhideWhenUsed/>
    <w:rsid w:val="002176D9"/>
    <w:pPr>
      <w:numPr>
        <w:numId w:val="36"/>
      </w:numPr>
      <w:contextualSpacing/>
    </w:pPr>
  </w:style>
  <w:style w:type="paragraph" w:styleId="ListContinue">
    <w:name w:val="List Continue"/>
    <w:basedOn w:val="Normal"/>
    <w:uiPriority w:val="99"/>
    <w:semiHidden/>
    <w:unhideWhenUsed/>
    <w:rsid w:val="002176D9"/>
    <w:pPr>
      <w:spacing w:after="120"/>
      <w:ind w:leftChars="200" w:left="420"/>
      <w:contextualSpacing/>
    </w:pPr>
  </w:style>
  <w:style w:type="paragraph" w:styleId="ListContinue2">
    <w:name w:val="List Continue 2"/>
    <w:basedOn w:val="Normal"/>
    <w:uiPriority w:val="99"/>
    <w:semiHidden/>
    <w:unhideWhenUsed/>
    <w:rsid w:val="002176D9"/>
    <w:pPr>
      <w:spacing w:after="120"/>
      <w:ind w:leftChars="400" w:left="840"/>
      <w:contextualSpacing/>
    </w:pPr>
  </w:style>
  <w:style w:type="paragraph" w:styleId="ListContinue3">
    <w:name w:val="List Continue 3"/>
    <w:basedOn w:val="Normal"/>
    <w:uiPriority w:val="99"/>
    <w:semiHidden/>
    <w:unhideWhenUsed/>
    <w:rsid w:val="002176D9"/>
    <w:pPr>
      <w:spacing w:after="120"/>
      <w:ind w:leftChars="600" w:left="1260"/>
      <w:contextualSpacing/>
    </w:pPr>
  </w:style>
  <w:style w:type="paragraph" w:styleId="ListContinue4">
    <w:name w:val="List Continue 4"/>
    <w:basedOn w:val="Normal"/>
    <w:uiPriority w:val="99"/>
    <w:semiHidden/>
    <w:unhideWhenUsed/>
    <w:rsid w:val="002176D9"/>
    <w:pPr>
      <w:spacing w:after="120"/>
      <w:ind w:leftChars="800" w:left="1680"/>
      <w:contextualSpacing/>
    </w:pPr>
  </w:style>
  <w:style w:type="paragraph" w:styleId="ListContinue5">
    <w:name w:val="List Continue 5"/>
    <w:basedOn w:val="Normal"/>
    <w:uiPriority w:val="99"/>
    <w:semiHidden/>
    <w:unhideWhenUsed/>
    <w:rsid w:val="002176D9"/>
    <w:pPr>
      <w:spacing w:after="120"/>
      <w:ind w:leftChars="1000" w:left="2100"/>
      <w:contextualSpacing/>
    </w:pPr>
  </w:style>
  <w:style w:type="paragraph" w:styleId="ListBullet">
    <w:name w:val="List Bullet"/>
    <w:basedOn w:val="Normal"/>
    <w:uiPriority w:val="99"/>
    <w:semiHidden/>
    <w:unhideWhenUsed/>
    <w:rsid w:val="002176D9"/>
    <w:pPr>
      <w:numPr>
        <w:numId w:val="37"/>
      </w:numPr>
      <w:contextualSpacing/>
    </w:pPr>
  </w:style>
  <w:style w:type="paragraph" w:styleId="ListBullet2">
    <w:name w:val="List Bullet 2"/>
    <w:basedOn w:val="Normal"/>
    <w:uiPriority w:val="99"/>
    <w:semiHidden/>
    <w:unhideWhenUsed/>
    <w:rsid w:val="002176D9"/>
    <w:pPr>
      <w:numPr>
        <w:numId w:val="38"/>
      </w:numPr>
      <w:contextualSpacing/>
    </w:pPr>
  </w:style>
  <w:style w:type="paragraph" w:styleId="ListBullet3">
    <w:name w:val="List Bullet 3"/>
    <w:basedOn w:val="Normal"/>
    <w:uiPriority w:val="99"/>
    <w:semiHidden/>
    <w:unhideWhenUsed/>
    <w:rsid w:val="002176D9"/>
    <w:pPr>
      <w:numPr>
        <w:numId w:val="39"/>
      </w:numPr>
      <w:contextualSpacing/>
    </w:pPr>
  </w:style>
  <w:style w:type="paragraph" w:styleId="ListBullet4">
    <w:name w:val="List Bullet 4"/>
    <w:basedOn w:val="Normal"/>
    <w:uiPriority w:val="99"/>
    <w:semiHidden/>
    <w:unhideWhenUsed/>
    <w:rsid w:val="002176D9"/>
    <w:pPr>
      <w:numPr>
        <w:numId w:val="40"/>
      </w:numPr>
      <w:contextualSpacing/>
    </w:pPr>
  </w:style>
  <w:style w:type="paragraph" w:styleId="ListBullet5">
    <w:name w:val="List Bullet 5"/>
    <w:basedOn w:val="Normal"/>
    <w:uiPriority w:val="99"/>
    <w:semiHidden/>
    <w:unhideWhenUsed/>
    <w:rsid w:val="002176D9"/>
    <w:pPr>
      <w:numPr>
        <w:numId w:val="41"/>
      </w:numPr>
      <w:contextualSpacing/>
    </w:pPr>
  </w:style>
  <w:style w:type="paragraph" w:styleId="IntenseQuote">
    <w:name w:val="Intense Quote"/>
    <w:basedOn w:val="Normal"/>
    <w:next w:val="Normal"/>
    <w:link w:val="IntenseQuoteChar"/>
    <w:uiPriority w:val="30"/>
    <w:qFormat/>
    <w:rsid w:val="002176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176D9"/>
    <w:rPr>
      <w:rFonts w:ascii="Arial" w:hAnsi="Arial" w:cs="Arial"/>
      <w:i/>
      <w:iCs/>
      <w:color w:val="4F81BD" w:themeColor="accent1"/>
      <w:sz w:val="22"/>
      <w:szCs w:val="22"/>
      <w:lang w:eastAsia="en-US"/>
    </w:rPr>
  </w:style>
  <w:style w:type="paragraph" w:styleId="Signature">
    <w:name w:val="Signature"/>
    <w:basedOn w:val="Normal"/>
    <w:link w:val="SignatureChar"/>
    <w:uiPriority w:val="99"/>
    <w:semiHidden/>
    <w:unhideWhenUsed/>
    <w:rsid w:val="002176D9"/>
    <w:pPr>
      <w:ind w:leftChars="2100" w:left="100"/>
    </w:pPr>
  </w:style>
  <w:style w:type="character" w:customStyle="1" w:styleId="SignatureChar">
    <w:name w:val="Signature Char"/>
    <w:basedOn w:val="DefaultParagraphFont"/>
    <w:link w:val="Signature"/>
    <w:uiPriority w:val="99"/>
    <w:semiHidden/>
    <w:rsid w:val="002176D9"/>
    <w:rPr>
      <w:rFonts w:ascii="Arial" w:hAnsi="Arial" w:cs="Arial"/>
      <w:sz w:val="22"/>
      <w:szCs w:val="22"/>
      <w:lang w:eastAsia="en-US"/>
    </w:rPr>
  </w:style>
  <w:style w:type="paragraph" w:styleId="EnvelopeAddress">
    <w:name w:val="envelope address"/>
    <w:basedOn w:val="Normal"/>
    <w:uiPriority w:val="99"/>
    <w:semiHidden/>
    <w:unhideWhenUsed/>
    <w:rsid w:val="002176D9"/>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2176D9"/>
  </w:style>
  <w:style w:type="paragraph" w:styleId="Index1">
    <w:name w:val="index 1"/>
    <w:basedOn w:val="Normal"/>
    <w:next w:val="Normal"/>
    <w:uiPriority w:val="99"/>
    <w:semiHidden/>
    <w:unhideWhenUsed/>
    <w:rsid w:val="002176D9"/>
  </w:style>
  <w:style w:type="paragraph" w:styleId="Index2">
    <w:name w:val="index 2"/>
    <w:basedOn w:val="Normal"/>
    <w:next w:val="Normal"/>
    <w:uiPriority w:val="99"/>
    <w:semiHidden/>
    <w:unhideWhenUsed/>
    <w:rsid w:val="002176D9"/>
    <w:pPr>
      <w:ind w:leftChars="200" w:left="200"/>
    </w:pPr>
  </w:style>
  <w:style w:type="paragraph" w:styleId="Index3">
    <w:name w:val="index 3"/>
    <w:basedOn w:val="Normal"/>
    <w:next w:val="Normal"/>
    <w:uiPriority w:val="99"/>
    <w:semiHidden/>
    <w:unhideWhenUsed/>
    <w:rsid w:val="002176D9"/>
    <w:pPr>
      <w:ind w:leftChars="400" w:left="400"/>
    </w:pPr>
  </w:style>
  <w:style w:type="paragraph" w:styleId="Index4">
    <w:name w:val="index 4"/>
    <w:basedOn w:val="Normal"/>
    <w:next w:val="Normal"/>
    <w:uiPriority w:val="99"/>
    <w:semiHidden/>
    <w:unhideWhenUsed/>
    <w:rsid w:val="002176D9"/>
    <w:pPr>
      <w:ind w:leftChars="600" w:left="600"/>
    </w:pPr>
  </w:style>
  <w:style w:type="paragraph" w:styleId="Index5">
    <w:name w:val="index 5"/>
    <w:basedOn w:val="Normal"/>
    <w:next w:val="Normal"/>
    <w:uiPriority w:val="99"/>
    <w:semiHidden/>
    <w:unhideWhenUsed/>
    <w:rsid w:val="002176D9"/>
    <w:pPr>
      <w:ind w:leftChars="800" w:left="800"/>
    </w:pPr>
  </w:style>
  <w:style w:type="paragraph" w:styleId="Index6">
    <w:name w:val="index 6"/>
    <w:basedOn w:val="Normal"/>
    <w:next w:val="Normal"/>
    <w:uiPriority w:val="99"/>
    <w:semiHidden/>
    <w:unhideWhenUsed/>
    <w:rsid w:val="002176D9"/>
    <w:pPr>
      <w:ind w:leftChars="1000" w:left="1000"/>
    </w:pPr>
  </w:style>
  <w:style w:type="paragraph" w:styleId="Index7">
    <w:name w:val="index 7"/>
    <w:basedOn w:val="Normal"/>
    <w:next w:val="Normal"/>
    <w:uiPriority w:val="99"/>
    <w:semiHidden/>
    <w:unhideWhenUsed/>
    <w:rsid w:val="002176D9"/>
    <w:pPr>
      <w:ind w:leftChars="1200" w:left="1200"/>
    </w:pPr>
  </w:style>
  <w:style w:type="paragraph" w:styleId="Index8">
    <w:name w:val="index 8"/>
    <w:basedOn w:val="Normal"/>
    <w:next w:val="Normal"/>
    <w:uiPriority w:val="99"/>
    <w:semiHidden/>
    <w:unhideWhenUsed/>
    <w:rsid w:val="002176D9"/>
    <w:pPr>
      <w:ind w:leftChars="1400" w:left="1400"/>
    </w:pPr>
  </w:style>
  <w:style w:type="paragraph" w:styleId="Index9">
    <w:name w:val="index 9"/>
    <w:basedOn w:val="Normal"/>
    <w:next w:val="Normal"/>
    <w:uiPriority w:val="99"/>
    <w:semiHidden/>
    <w:unhideWhenUsed/>
    <w:rsid w:val="002176D9"/>
    <w:pPr>
      <w:ind w:leftChars="1600" w:left="1600"/>
    </w:pPr>
  </w:style>
  <w:style w:type="paragraph" w:styleId="IndexHeading">
    <w:name w:val="index heading"/>
    <w:basedOn w:val="Normal"/>
    <w:next w:val="Index1"/>
    <w:uiPriority w:val="99"/>
    <w:semiHidden/>
    <w:unhideWhenUsed/>
    <w:rsid w:val="002176D9"/>
    <w:rPr>
      <w:rFonts w:asciiTheme="majorHAnsi" w:eastAsiaTheme="majorEastAsia" w:hAnsiTheme="majorHAnsi" w:cstheme="majorBidi"/>
      <w:b/>
      <w:bCs/>
    </w:rPr>
  </w:style>
  <w:style w:type="paragraph" w:styleId="Caption">
    <w:name w:val="caption"/>
    <w:basedOn w:val="Normal"/>
    <w:next w:val="Normal"/>
    <w:semiHidden/>
    <w:unhideWhenUsed/>
    <w:qFormat/>
    <w:locked/>
    <w:rsid w:val="002176D9"/>
    <w:rPr>
      <w:rFonts w:asciiTheme="majorHAnsi" w:eastAsia="SimHei" w:hAnsiTheme="majorHAnsi" w:cstheme="majorBidi"/>
      <w:sz w:val="20"/>
      <w:szCs w:val="20"/>
    </w:rPr>
  </w:style>
  <w:style w:type="paragraph" w:styleId="TableofFigures">
    <w:name w:val="table of figures"/>
    <w:basedOn w:val="Normal"/>
    <w:next w:val="Normal"/>
    <w:uiPriority w:val="99"/>
    <w:semiHidden/>
    <w:unhideWhenUsed/>
    <w:rsid w:val="002176D9"/>
    <w:pPr>
      <w:ind w:leftChars="200" w:left="200" w:hangingChars="200" w:hanging="200"/>
    </w:pPr>
  </w:style>
  <w:style w:type="paragraph" w:styleId="EndnoteText">
    <w:name w:val="endnote text"/>
    <w:basedOn w:val="Normal"/>
    <w:link w:val="EndnoteTextChar"/>
    <w:uiPriority w:val="99"/>
    <w:semiHidden/>
    <w:unhideWhenUsed/>
    <w:rsid w:val="002176D9"/>
    <w:pPr>
      <w:snapToGrid w:val="0"/>
    </w:pPr>
  </w:style>
  <w:style w:type="character" w:customStyle="1" w:styleId="EndnoteTextChar">
    <w:name w:val="Endnote Text Char"/>
    <w:basedOn w:val="DefaultParagraphFont"/>
    <w:link w:val="EndnoteText"/>
    <w:uiPriority w:val="99"/>
    <w:semiHidden/>
    <w:rsid w:val="002176D9"/>
    <w:rPr>
      <w:rFonts w:ascii="Arial" w:hAnsi="Arial" w:cs="Arial"/>
      <w:sz w:val="22"/>
      <w:szCs w:val="22"/>
      <w:lang w:eastAsia="en-US"/>
    </w:rPr>
  </w:style>
  <w:style w:type="paragraph" w:styleId="BlockText">
    <w:name w:val="Block Text"/>
    <w:basedOn w:val="Normal"/>
    <w:uiPriority w:val="99"/>
    <w:semiHidden/>
    <w:unhideWhenUsed/>
    <w:rsid w:val="002176D9"/>
    <w:pPr>
      <w:spacing w:after="120"/>
      <w:ind w:leftChars="700" w:left="1440" w:rightChars="700" w:right="1440"/>
    </w:pPr>
  </w:style>
  <w:style w:type="paragraph" w:styleId="DocumentMap">
    <w:name w:val="Document Map"/>
    <w:basedOn w:val="Normal"/>
    <w:link w:val="DocumentMapChar"/>
    <w:uiPriority w:val="99"/>
    <w:semiHidden/>
    <w:unhideWhenUsed/>
    <w:rsid w:val="002176D9"/>
    <w:rPr>
      <w:rFonts w:ascii="Microsoft YaHei UI" w:eastAsia="Microsoft YaHei UI"/>
      <w:sz w:val="18"/>
      <w:szCs w:val="18"/>
    </w:rPr>
  </w:style>
  <w:style w:type="character" w:customStyle="1" w:styleId="DocumentMapChar">
    <w:name w:val="Document Map Char"/>
    <w:basedOn w:val="DefaultParagraphFont"/>
    <w:link w:val="DocumentMap"/>
    <w:uiPriority w:val="99"/>
    <w:semiHidden/>
    <w:rsid w:val="002176D9"/>
    <w:rPr>
      <w:rFonts w:ascii="Microsoft YaHei UI" w:eastAsia="Microsoft YaHei UI" w:hAnsi="Arial" w:cs="Arial"/>
      <w:sz w:val="18"/>
      <w:szCs w:val="18"/>
      <w:lang w:eastAsia="en-US"/>
    </w:rPr>
  </w:style>
  <w:style w:type="paragraph" w:styleId="NoSpacing">
    <w:name w:val="No Spacing"/>
    <w:uiPriority w:val="1"/>
    <w:qFormat/>
    <w:rsid w:val="002176D9"/>
    <w:pPr>
      <w:widowControl w:val="0"/>
      <w:autoSpaceDE w:val="0"/>
      <w:autoSpaceDN w:val="0"/>
    </w:pPr>
    <w:rPr>
      <w:rFonts w:ascii="Arial" w:hAnsi="Arial" w:cs="Arial"/>
      <w:sz w:val="22"/>
      <w:szCs w:val="22"/>
      <w:lang w:eastAsia="en-US"/>
    </w:rPr>
  </w:style>
  <w:style w:type="paragraph" w:styleId="MessageHeader">
    <w:name w:val="Message Header"/>
    <w:basedOn w:val="Normal"/>
    <w:link w:val="MessageHeaderChar"/>
    <w:uiPriority w:val="99"/>
    <w:semiHidden/>
    <w:unhideWhenUsed/>
    <w:rsid w:val="002176D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6D9"/>
    <w:rPr>
      <w:rFonts w:asciiTheme="majorHAnsi" w:eastAsiaTheme="majorEastAsia" w:hAnsiTheme="majorHAnsi" w:cstheme="majorBidi"/>
      <w:sz w:val="24"/>
      <w:szCs w:val="24"/>
      <w:shd w:val="pct20" w:color="auto" w:fill="auto"/>
      <w:lang w:eastAsia="en-US"/>
    </w:rPr>
  </w:style>
  <w:style w:type="paragraph" w:styleId="TableofAuthorities">
    <w:name w:val="table of authorities"/>
    <w:basedOn w:val="Normal"/>
    <w:next w:val="Normal"/>
    <w:uiPriority w:val="99"/>
    <w:semiHidden/>
    <w:unhideWhenUsed/>
    <w:rsid w:val="002176D9"/>
    <w:pPr>
      <w:ind w:leftChars="200" w:left="420"/>
    </w:pPr>
  </w:style>
  <w:style w:type="paragraph" w:styleId="TOAHeading">
    <w:name w:val="toa heading"/>
    <w:basedOn w:val="Normal"/>
    <w:next w:val="Normal"/>
    <w:uiPriority w:val="99"/>
    <w:semiHidden/>
    <w:unhideWhenUsed/>
    <w:rsid w:val="002176D9"/>
    <w:pPr>
      <w:spacing w:before="120"/>
    </w:pPr>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176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76D9"/>
    <w:rPr>
      <w:rFonts w:ascii="Arial" w:hAnsi="Arial" w:cs="Arial"/>
      <w:i/>
      <w:iCs/>
      <w:color w:val="404040" w:themeColor="text1" w:themeTint="BF"/>
      <w:sz w:val="22"/>
      <w:szCs w:val="22"/>
      <w:lang w:eastAsia="en-US"/>
    </w:rPr>
  </w:style>
  <w:style w:type="paragraph" w:styleId="NormalIndent">
    <w:name w:val="Normal Indent"/>
    <w:basedOn w:val="Normal"/>
    <w:uiPriority w:val="99"/>
    <w:semiHidden/>
    <w:unhideWhenUsed/>
    <w:rsid w:val="002176D9"/>
    <w:pPr>
      <w:ind w:firstLineChars="200" w:firstLine="420"/>
    </w:pPr>
  </w:style>
  <w:style w:type="paragraph" w:styleId="BodyText2">
    <w:name w:val="Body Text 2"/>
    <w:basedOn w:val="Normal"/>
    <w:link w:val="BodyText2Char"/>
    <w:uiPriority w:val="99"/>
    <w:semiHidden/>
    <w:unhideWhenUsed/>
    <w:rsid w:val="002176D9"/>
    <w:pPr>
      <w:spacing w:after="120" w:line="480" w:lineRule="auto"/>
    </w:pPr>
  </w:style>
  <w:style w:type="character" w:customStyle="1" w:styleId="BodyText2Char">
    <w:name w:val="Body Text 2 Char"/>
    <w:basedOn w:val="DefaultParagraphFont"/>
    <w:link w:val="BodyText2"/>
    <w:uiPriority w:val="99"/>
    <w:semiHidden/>
    <w:rsid w:val="002176D9"/>
    <w:rPr>
      <w:rFonts w:ascii="Arial" w:hAnsi="Arial" w:cs="Arial"/>
      <w:sz w:val="22"/>
      <w:szCs w:val="22"/>
      <w:lang w:eastAsia="en-US"/>
    </w:rPr>
  </w:style>
  <w:style w:type="paragraph" w:styleId="BodyText3">
    <w:name w:val="Body Text 3"/>
    <w:basedOn w:val="Normal"/>
    <w:link w:val="BodyText3Char"/>
    <w:uiPriority w:val="99"/>
    <w:semiHidden/>
    <w:unhideWhenUsed/>
    <w:rsid w:val="002176D9"/>
    <w:pPr>
      <w:spacing w:after="120"/>
    </w:pPr>
    <w:rPr>
      <w:sz w:val="16"/>
      <w:szCs w:val="16"/>
    </w:rPr>
  </w:style>
  <w:style w:type="character" w:customStyle="1" w:styleId="BodyText3Char">
    <w:name w:val="Body Text 3 Char"/>
    <w:basedOn w:val="DefaultParagraphFont"/>
    <w:link w:val="BodyText3"/>
    <w:uiPriority w:val="99"/>
    <w:semiHidden/>
    <w:rsid w:val="002176D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rsid w:val="002176D9"/>
    <w:pPr>
      <w:spacing w:after="120"/>
      <w:ind w:left="0" w:firstLineChars="100" w:firstLine="420"/>
    </w:pPr>
  </w:style>
  <w:style w:type="character" w:customStyle="1" w:styleId="BodyTextFirstIndentChar">
    <w:name w:val="Body Text First Indent Char"/>
    <w:basedOn w:val="BodyTextChar"/>
    <w:link w:val="BodyTextFirstIndent"/>
    <w:uiPriority w:val="99"/>
    <w:semiHidden/>
    <w:rsid w:val="002176D9"/>
    <w:rPr>
      <w:rFonts w:ascii="Arial" w:hAnsi="Arial" w:cs="Arial"/>
      <w:sz w:val="22"/>
      <w:szCs w:val="22"/>
      <w:lang w:eastAsia="en-US"/>
    </w:rPr>
  </w:style>
  <w:style w:type="paragraph" w:styleId="BodyTextIndent">
    <w:name w:val="Body Text Indent"/>
    <w:basedOn w:val="Normal"/>
    <w:link w:val="BodyTextIndentChar"/>
    <w:uiPriority w:val="99"/>
    <w:semiHidden/>
    <w:unhideWhenUsed/>
    <w:rsid w:val="002176D9"/>
    <w:pPr>
      <w:spacing w:after="120"/>
      <w:ind w:leftChars="200" w:left="420"/>
    </w:pPr>
  </w:style>
  <w:style w:type="character" w:customStyle="1" w:styleId="BodyTextIndentChar">
    <w:name w:val="Body Text Indent Char"/>
    <w:basedOn w:val="DefaultParagraphFont"/>
    <w:link w:val="BodyTextIndent"/>
    <w:uiPriority w:val="99"/>
    <w:semiHidden/>
    <w:rsid w:val="002176D9"/>
    <w:rPr>
      <w:rFonts w:ascii="Arial" w:hAnsi="Arial" w:cs="Arial"/>
      <w:sz w:val="22"/>
      <w:szCs w:val="22"/>
      <w:lang w:eastAsia="en-US"/>
    </w:rPr>
  </w:style>
  <w:style w:type="paragraph" w:styleId="BodyTextFirstIndent2">
    <w:name w:val="Body Text First Indent 2"/>
    <w:basedOn w:val="BodyTextIndent"/>
    <w:link w:val="BodyTextFirstIndent2Char"/>
    <w:uiPriority w:val="99"/>
    <w:semiHidden/>
    <w:unhideWhenUsed/>
    <w:rsid w:val="002176D9"/>
    <w:pPr>
      <w:ind w:firstLineChars="200" w:firstLine="420"/>
    </w:pPr>
  </w:style>
  <w:style w:type="character" w:customStyle="1" w:styleId="BodyTextFirstIndent2Char">
    <w:name w:val="Body Text First Indent 2 Char"/>
    <w:basedOn w:val="BodyTextIndentChar"/>
    <w:link w:val="BodyTextFirstIndent2"/>
    <w:uiPriority w:val="99"/>
    <w:semiHidden/>
    <w:rsid w:val="002176D9"/>
    <w:rPr>
      <w:rFonts w:ascii="Arial" w:hAnsi="Arial" w:cs="Arial"/>
      <w:sz w:val="22"/>
      <w:szCs w:val="22"/>
      <w:lang w:eastAsia="en-US"/>
    </w:rPr>
  </w:style>
  <w:style w:type="paragraph" w:styleId="BodyTextIndent2">
    <w:name w:val="Body Text Indent 2"/>
    <w:basedOn w:val="Normal"/>
    <w:link w:val="BodyTextIndent2Char"/>
    <w:uiPriority w:val="99"/>
    <w:semiHidden/>
    <w:unhideWhenUsed/>
    <w:rsid w:val="002176D9"/>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2176D9"/>
    <w:rPr>
      <w:rFonts w:ascii="Arial" w:hAnsi="Arial" w:cs="Arial"/>
      <w:sz w:val="22"/>
      <w:szCs w:val="22"/>
      <w:lang w:eastAsia="en-US"/>
    </w:rPr>
  </w:style>
  <w:style w:type="paragraph" w:styleId="BodyTextIndent3">
    <w:name w:val="Body Text Indent 3"/>
    <w:basedOn w:val="Normal"/>
    <w:link w:val="BodyTextIndent3Char"/>
    <w:uiPriority w:val="99"/>
    <w:semiHidden/>
    <w:unhideWhenUsed/>
    <w:rsid w:val="002176D9"/>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2176D9"/>
    <w:rPr>
      <w:rFonts w:ascii="Arial" w:hAnsi="Arial" w:cs="Arial"/>
      <w:sz w:val="16"/>
      <w:szCs w:val="16"/>
      <w:lang w:eastAsia="en-US"/>
    </w:rPr>
  </w:style>
  <w:style w:type="paragraph" w:styleId="NoteHeading">
    <w:name w:val="Note Heading"/>
    <w:basedOn w:val="Normal"/>
    <w:next w:val="Normal"/>
    <w:link w:val="NoteHeadingChar"/>
    <w:uiPriority w:val="99"/>
    <w:semiHidden/>
    <w:unhideWhenUsed/>
    <w:rsid w:val="002176D9"/>
    <w:pPr>
      <w:jc w:val="center"/>
    </w:pPr>
  </w:style>
  <w:style w:type="character" w:customStyle="1" w:styleId="NoteHeadingChar">
    <w:name w:val="Note Heading Char"/>
    <w:basedOn w:val="DefaultParagraphFont"/>
    <w:link w:val="NoteHeading"/>
    <w:uiPriority w:val="99"/>
    <w:semiHidden/>
    <w:rsid w:val="002176D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31744">
      <w:bodyDiv w:val="1"/>
      <w:marLeft w:val="0"/>
      <w:marRight w:val="0"/>
      <w:marTop w:val="0"/>
      <w:marBottom w:val="0"/>
      <w:divBdr>
        <w:top w:val="none" w:sz="0" w:space="0" w:color="auto"/>
        <w:left w:val="none" w:sz="0" w:space="0" w:color="auto"/>
        <w:bottom w:val="none" w:sz="0" w:space="0" w:color="auto"/>
        <w:right w:val="none" w:sz="0" w:space="0" w:color="auto"/>
      </w:divBdr>
      <w:divsChild>
        <w:div w:id="1697196219">
          <w:marLeft w:val="547"/>
          <w:marRight w:val="0"/>
          <w:marTop w:val="120"/>
          <w:marBottom w:val="0"/>
          <w:divBdr>
            <w:top w:val="none" w:sz="0" w:space="0" w:color="auto"/>
            <w:left w:val="none" w:sz="0" w:space="0" w:color="auto"/>
            <w:bottom w:val="none" w:sz="0" w:space="0" w:color="auto"/>
            <w:right w:val="none" w:sz="0" w:space="0" w:color="auto"/>
          </w:divBdr>
        </w:div>
      </w:divsChild>
    </w:div>
    <w:div w:id="1903060041">
      <w:marLeft w:val="0"/>
      <w:marRight w:val="0"/>
      <w:marTop w:val="0"/>
      <w:marBottom w:val="0"/>
      <w:divBdr>
        <w:top w:val="none" w:sz="0" w:space="0" w:color="auto"/>
        <w:left w:val="none" w:sz="0" w:space="0" w:color="auto"/>
        <w:bottom w:val="none" w:sz="0" w:space="0" w:color="auto"/>
        <w:right w:val="none" w:sz="0" w:space="0" w:color="auto"/>
      </w:divBdr>
    </w:div>
    <w:div w:id="1903060042">
      <w:marLeft w:val="0"/>
      <w:marRight w:val="0"/>
      <w:marTop w:val="0"/>
      <w:marBottom w:val="0"/>
      <w:divBdr>
        <w:top w:val="none" w:sz="0" w:space="0" w:color="auto"/>
        <w:left w:val="none" w:sz="0" w:space="0" w:color="auto"/>
        <w:bottom w:val="none" w:sz="0" w:space="0" w:color="auto"/>
        <w:right w:val="none" w:sz="0" w:space="0" w:color="auto"/>
      </w:divBdr>
      <w:divsChild>
        <w:div w:id="1903060066">
          <w:marLeft w:val="0"/>
          <w:marRight w:val="0"/>
          <w:marTop w:val="0"/>
          <w:marBottom w:val="0"/>
          <w:divBdr>
            <w:top w:val="none" w:sz="0" w:space="0" w:color="auto"/>
            <w:left w:val="none" w:sz="0" w:space="0" w:color="auto"/>
            <w:bottom w:val="none" w:sz="0" w:space="0" w:color="auto"/>
            <w:right w:val="none" w:sz="0" w:space="0" w:color="auto"/>
          </w:divBdr>
          <w:divsChild>
            <w:div w:id="1903060055">
              <w:marLeft w:val="0"/>
              <w:marRight w:val="0"/>
              <w:marTop w:val="0"/>
              <w:marBottom w:val="0"/>
              <w:divBdr>
                <w:top w:val="none" w:sz="0" w:space="0" w:color="auto"/>
                <w:left w:val="none" w:sz="0" w:space="0" w:color="auto"/>
                <w:bottom w:val="none" w:sz="0" w:space="0" w:color="auto"/>
                <w:right w:val="none" w:sz="0" w:space="0" w:color="auto"/>
              </w:divBdr>
              <w:divsChild>
                <w:div w:id="1903060045">
                  <w:marLeft w:val="0"/>
                  <w:marRight w:val="0"/>
                  <w:marTop w:val="0"/>
                  <w:marBottom w:val="15"/>
                  <w:divBdr>
                    <w:top w:val="none" w:sz="0" w:space="0" w:color="auto"/>
                    <w:left w:val="none" w:sz="0" w:space="0" w:color="auto"/>
                    <w:bottom w:val="none" w:sz="0" w:space="0" w:color="auto"/>
                    <w:right w:val="none" w:sz="0" w:space="0" w:color="auto"/>
                  </w:divBdr>
                  <w:divsChild>
                    <w:div w:id="19030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60044">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 w:id="1903060050">
      <w:marLeft w:val="0"/>
      <w:marRight w:val="0"/>
      <w:marTop w:val="0"/>
      <w:marBottom w:val="0"/>
      <w:divBdr>
        <w:top w:val="none" w:sz="0" w:space="0" w:color="auto"/>
        <w:left w:val="none" w:sz="0" w:space="0" w:color="auto"/>
        <w:bottom w:val="none" w:sz="0" w:space="0" w:color="auto"/>
        <w:right w:val="none" w:sz="0" w:space="0" w:color="auto"/>
      </w:divBdr>
    </w:div>
    <w:div w:id="1903060051">
      <w:marLeft w:val="0"/>
      <w:marRight w:val="0"/>
      <w:marTop w:val="0"/>
      <w:marBottom w:val="0"/>
      <w:divBdr>
        <w:top w:val="none" w:sz="0" w:space="0" w:color="auto"/>
        <w:left w:val="none" w:sz="0" w:space="0" w:color="auto"/>
        <w:bottom w:val="none" w:sz="0" w:space="0" w:color="auto"/>
        <w:right w:val="none" w:sz="0" w:space="0" w:color="auto"/>
      </w:divBdr>
    </w:div>
    <w:div w:id="1903060052">
      <w:marLeft w:val="0"/>
      <w:marRight w:val="0"/>
      <w:marTop w:val="0"/>
      <w:marBottom w:val="0"/>
      <w:divBdr>
        <w:top w:val="none" w:sz="0" w:space="0" w:color="auto"/>
        <w:left w:val="none" w:sz="0" w:space="0" w:color="auto"/>
        <w:bottom w:val="none" w:sz="0" w:space="0" w:color="auto"/>
        <w:right w:val="none" w:sz="0" w:space="0" w:color="auto"/>
      </w:divBdr>
    </w:div>
    <w:div w:id="1903060053">
      <w:marLeft w:val="0"/>
      <w:marRight w:val="0"/>
      <w:marTop w:val="0"/>
      <w:marBottom w:val="0"/>
      <w:divBdr>
        <w:top w:val="none" w:sz="0" w:space="0" w:color="auto"/>
        <w:left w:val="none" w:sz="0" w:space="0" w:color="auto"/>
        <w:bottom w:val="none" w:sz="0" w:space="0" w:color="auto"/>
        <w:right w:val="none" w:sz="0" w:space="0" w:color="auto"/>
      </w:divBdr>
    </w:div>
    <w:div w:id="1903060056">
      <w:marLeft w:val="0"/>
      <w:marRight w:val="0"/>
      <w:marTop w:val="0"/>
      <w:marBottom w:val="0"/>
      <w:divBdr>
        <w:top w:val="none" w:sz="0" w:space="0" w:color="auto"/>
        <w:left w:val="none" w:sz="0" w:space="0" w:color="auto"/>
        <w:bottom w:val="none" w:sz="0" w:space="0" w:color="auto"/>
        <w:right w:val="none" w:sz="0" w:space="0" w:color="auto"/>
      </w:divBdr>
    </w:div>
    <w:div w:id="1903060057">
      <w:marLeft w:val="0"/>
      <w:marRight w:val="0"/>
      <w:marTop w:val="0"/>
      <w:marBottom w:val="0"/>
      <w:divBdr>
        <w:top w:val="none" w:sz="0" w:space="0" w:color="auto"/>
        <w:left w:val="none" w:sz="0" w:space="0" w:color="auto"/>
        <w:bottom w:val="none" w:sz="0" w:space="0" w:color="auto"/>
        <w:right w:val="none" w:sz="0" w:space="0" w:color="auto"/>
      </w:divBdr>
    </w:div>
    <w:div w:id="1903060059">
      <w:marLeft w:val="0"/>
      <w:marRight w:val="0"/>
      <w:marTop w:val="0"/>
      <w:marBottom w:val="0"/>
      <w:divBdr>
        <w:top w:val="none" w:sz="0" w:space="0" w:color="auto"/>
        <w:left w:val="none" w:sz="0" w:space="0" w:color="auto"/>
        <w:bottom w:val="none" w:sz="0" w:space="0" w:color="auto"/>
        <w:right w:val="none" w:sz="0" w:space="0" w:color="auto"/>
      </w:divBdr>
    </w:div>
    <w:div w:id="1903060060">
      <w:marLeft w:val="0"/>
      <w:marRight w:val="0"/>
      <w:marTop w:val="0"/>
      <w:marBottom w:val="0"/>
      <w:divBdr>
        <w:top w:val="none" w:sz="0" w:space="0" w:color="auto"/>
        <w:left w:val="none" w:sz="0" w:space="0" w:color="auto"/>
        <w:bottom w:val="none" w:sz="0" w:space="0" w:color="auto"/>
        <w:right w:val="none" w:sz="0" w:space="0" w:color="auto"/>
      </w:divBdr>
    </w:div>
    <w:div w:id="1903060061">
      <w:marLeft w:val="0"/>
      <w:marRight w:val="0"/>
      <w:marTop w:val="0"/>
      <w:marBottom w:val="0"/>
      <w:divBdr>
        <w:top w:val="none" w:sz="0" w:space="0" w:color="auto"/>
        <w:left w:val="none" w:sz="0" w:space="0" w:color="auto"/>
        <w:bottom w:val="none" w:sz="0" w:space="0" w:color="auto"/>
        <w:right w:val="none" w:sz="0" w:space="0" w:color="auto"/>
      </w:divBdr>
    </w:div>
    <w:div w:id="1903060062">
      <w:marLeft w:val="0"/>
      <w:marRight w:val="0"/>
      <w:marTop w:val="0"/>
      <w:marBottom w:val="0"/>
      <w:divBdr>
        <w:top w:val="none" w:sz="0" w:space="0" w:color="auto"/>
        <w:left w:val="none" w:sz="0" w:space="0" w:color="auto"/>
        <w:bottom w:val="none" w:sz="0" w:space="0" w:color="auto"/>
        <w:right w:val="none" w:sz="0" w:space="0" w:color="auto"/>
      </w:divBdr>
    </w:div>
    <w:div w:id="1903060064">
      <w:marLeft w:val="0"/>
      <w:marRight w:val="0"/>
      <w:marTop w:val="0"/>
      <w:marBottom w:val="0"/>
      <w:divBdr>
        <w:top w:val="none" w:sz="0" w:space="0" w:color="auto"/>
        <w:left w:val="none" w:sz="0" w:space="0" w:color="auto"/>
        <w:bottom w:val="none" w:sz="0" w:space="0" w:color="auto"/>
        <w:right w:val="none" w:sz="0" w:space="0" w:color="auto"/>
      </w:divBdr>
    </w:div>
    <w:div w:id="1903060065">
      <w:marLeft w:val="0"/>
      <w:marRight w:val="0"/>
      <w:marTop w:val="0"/>
      <w:marBottom w:val="0"/>
      <w:divBdr>
        <w:top w:val="none" w:sz="0" w:space="0" w:color="auto"/>
        <w:left w:val="none" w:sz="0" w:space="0" w:color="auto"/>
        <w:bottom w:val="none" w:sz="0" w:space="0" w:color="auto"/>
        <w:right w:val="none" w:sz="0" w:space="0" w:color="auto"/>
      </w:divBdr>
      <w:divsChild>
        <w:div w:id="1903060067">
          <w:marLeft w:val="0"/>
          <w:marRight w:val="0"/>
          <w:marTop w:val="0"/>
          <w:marBottom w:val="0"/>
          <w:divBdr>
            <w:top w:val="none" w:sz="0" w:space="0" w:color="auto"/>
            <w:left w:val="none" w:sz="0" w:space="0" w:color="auto"/>
            <w:bottom w:val="none" w:sz="0" w:space="0" w:color="auto"/>
            <w:right w:val="none" w:sz="0" w:space="0" w:color="auto"/>
          </w:divBdr>
          <w:divsChild>
            <w:div w:id="1903060068">
              <w:marLeft w:val="0"/>
              <w:marRight w:val="0"/>
              <w:marTop w:val="0"/>
              <w:marBottom w:val="0"/>
              <w:divBdr>
                <w:top w:val="none" w:sz="0" w:space="0" w:color="auto"/>
                <w:left w:val="none" w:sz="0" w:space="0" w:color="auto"/>
                <w:bottom w:val="none" w:sz="0" w:space="0" w:color="auto"/>
                <w:right w:val="none" w:sz="0" w:space="0" w:color="auto"/>
              </w:divBdr>
              <w:divsChild>
                <w:div w:id="1903060047">
                  <w:marLeft w:val="0"/>
                  <w:marRight w:val="0"/>
                  <w:marTop w:val="0"/>
                  <w:marBottom w:val="15"/>
                  <w:divBdr>
                    <w:top w:val="none" w:sz="0" w:space="0" w:color="auto"/>
                    <w:left w:val="none" w:sz="0" w:space="0" w:color="auto"/>
                    <w:bottom w:val="none" w:sz="0" w:space="0" w:color="auto"/>
                    <w:right w:val="none" w:sz="0" w:space="0" w:color="auto"/>
                  </w:divBdr>
                  <w:divsChild>
                    <w:div w:id="1903060063">
                      <w:marLeft w:val="0"/>
                      <w:marRight w:val="0"/>
                      <w:marTop w:val="0"/>
                      <w:marBottom w:val="0"/>
                      <w:divBdr>
                        <w:top w:val="none" w:sz="0" w:space="0" w:color="auto"/>
                        <w:left w:val="none" w:sz="0" w:space="0" w:color="auto"/>
                        <w:bottom w:val="none" w:sz="0" w:space="0" w:color="auto"/>
                        <w:right w:val="none" w:sz="0" w:space="0" w:color="auto"/>
                      </w:divBdr>
                      <w:divsChild>
                        <w:div w:id="19030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60069">
      <w:marLeft w:val="0"/>
      <w:marRight w:val="0"/>
      <w:marTop w:val="0"/>
      <w:marBottom w:val="0"/>
      <w:divBdr>
        <w:top w:val="none" w:sz="0" w:space="0" w:color="auto"/>
        <w:left w:val="none" w:sz="0" w:space="0" w:color="auto"/>
        <w:bottom w:val="none" w:sz="0" w:space="0" w:color="auto"/>
        <w:right w:val="none" w:sz="0" w:space="0" w:color="auto"/>
      </w:divBdr>
    </w:div>
    <w:div w:id="1903060070">
      <w:marLeft w:val="0"/>
      <w:marRight w:val="0"/>
      <w:marTop w:val="0"/>
      <w:marBottom w:val="0"/>
      <w:divBdr>
        <w:top w:val="none" w:sz="0" w:space="0" w:color="auto"/>
        <w:left w:val="none" w:sz="0" w:space="0" w:color="auto"/>
        <w:bottom w:val="none" w:sz="0" w:space="0" w:color="auto"/>
        <w:right w:val="none" w:sz="0" w:space="0" w:color="auto"/>
      </w:divBdr>
    </w:div>
    <w:div w:id="1903060071">
      <w:marLeft w:val="0"/>
      <w:marRight w:val="0"/>
      <w:marTop w:val="0"/>
      <w:marBottom w:val="0"/>
      <w:divBdr>
        <w:top w:val="none" w:sz="0" w:space="0" w:color="auto"/>
        <w:left w:val="none" w:sz="0" w:space="0" w:color="auto"/>
        <w:bottom w:val="none" w:sz="0" w:space="0" w:color="auto"/>
        <w:right w:val="none" w:sz="0" w:space="0" w:color="auto"/>
      </w:divBdr>
    </w:div>
    <w:div w:id="1903060072">
      <w:marLeft w:val="0"/>
      <w:marRight w:val="0"/>
      <w:marTop w:val="0"/>
      <w:marBottom w:val="0"/>
      <w:divBdr>
        <w:top w:val="none" w:sz="0" w:space="0" w:color="auto"/>
        <w:left w:val="none" w:sz="0" w:space="0" w:color="auto"/>
        <w:bottom w:val="none" w:sz="0" w:space="0" w:color="auto"/>
        <w:right w:val="none" w:sz="0" w:space="0" w:color="auto"/>
      </w:divBdr>
    </w:div>
    <w:div w:id="1903060073">
      <w:marLeft w:val="0"/>
      <w:marRight w:val="0"/>
      <w:marTop w:val="0"/>
      <w:marBottom w:val="0"/>
      <w:divBdr>
        <w:top w:val="none" w:sz="0" w:space="0" w:color="auto"/>
        <w:left w:val="none" w:sz="0" w:space="0" w:color="auto"/>
        <w:bottom w:val="none" w:sz="0" w:space="0" w:color="auto"/>
        <w:right w:val="none" w:sz="0" w:space="0" w:color="auto"/>
      </w:divBdr>
    </w:div>
    <w:div w:id="1903060074">
      <w:marLeft w:val="0"/>
      <w:marRight w:val="0"/>
      <w:marTop w:val="0"/>
      <w:marBottom w:val="0"/>
      <w:divBdr>
        <w:top w:val="none" w:sz="0" w:space="0" w:color="auto"/>
        <w:left w:val="none" w:sz="0" w:space="0" w:color="auto"/>
        <w:bottom w:val="none" w:sz="0" w:space="0" w:color="auto"/>
        <w:right w:val="none" w:sz="0" w:space="0" w:color="auto"/>
      </w:divBdr>
    </w:div>
    <w:div w:id="1903060076">
      <w:marLeft w:val="0"/>
      <w:marRight w:val="0"/>
      <w:marTop w:val="0"/>
      <w:marBottom w:val="0"/>
      <w:divBdr>
        <w:top w:val="none" w:sz="0" w:space="0" w:color="auto"/>
        <w:left w:val="none" w:sz="0" w:space="0" w:color="auto"/>
        <w:bottom w:val="none" w:sz="0" w:space="0" w:color="auto"/>
        <w:right w:val="none" w:sz="0" w:space="0" w:color="auto"/>
      </w:divBdr>
    </w:div>
    <w:div w:id="1903060077">
      <w:marLeft w:val="0"/>
      <w:marRight w:val="0"/>
      <w:marTop w:val="0"/>
      <w:marBottom w:val="0"/>
      <w:divBdr>
        <w:top w:val="none" w:sz="0" w:space="0" w:color="auto"/>
        <w:left w:val="none" w:sz="0" w:space="0" w:color="auto"/>
        <w:bottom w:val="none" w:sz="0" w:space="0" w:color="auto"/>
        <w:right w:val="none" w:sz="0" w:space="0" w:color="auto"/>
      </w:divBdr>
    </w:div>
    <w:div w:id="1903060078">
      <w:marLeft w:val="0"/>
      <w:marRight w:val="0"/>
      <w:marTop w:val="0"/>
      <w:marBottom w:val="0"/>
      <w:divBdr>
        <w:top w:val="none" w:sz="0" w:space="0" w:color="auto"/>
        <w:left w:val="none" w:sz="0" w:space="0" w:color="auto"/>
        <w:bottom w:val="none" w:sz="0" w:space="0" w:color="auto"/>
        <w:right w:val="none" w:sz="0" w:space="0" w:color="auto"/>
      </w:divBdr>
    </w:div>
    <w:div w:id="1903060079">
      <w:marLeft w:val="0"/>
      <w:marRight w:val="0"/>
      <w:marTop w:val="0"/>
      <w:marBottom w:val="0"/>
      <w:divBdr>
        <w:top w:val="none" w:sz="0" w:space="0" w:color="auto"/>
        <w:left w:val="none" w:sz="0" w:space="0" w:color="auto"/>
        <w:bottom w:val="none" w:sz="0" w:space="0" w:color="auto"/>
        <w:right w:val="none" w:sz="0" w:space="0" w:color="auto"/>
      </w:divBdr>
    </w:div>
    <w:div w:id="1903060080">
      <w:marLeft w:val="0"/>
      <w:marRight w:val="0"/>
      <w:marTop w:val="0"/>
      <w:marBottom w:val="0"/>
      <w:divBdr>
        <w:top w:val="none" w:sz="0" w:space="0" w:color="auto"/>
        <w:left w:val="none" w:sz="0" w:space="0" w:color="auto"/>
        <w:bottom w:val="none" w:sz="0" w:space="0" w:color="auto"/>
        <w:right w:val="none" w:sz="0" w:space="0" w:color="auto"/>
      </w:divBdr>
      <w:divsChild>
        <w:div w:id="1903060043">
          <w:marLeft w:val="0"/>
          <w:marRight w:val="0"/>
          <w:marTop w:val="0"/>
          <w:marBottom w:val="0"/>
          <w:divBdr>
            <w:top w:val="none" w:sz="0" w:space="0" w:color="auto"/>
            <w:left w:val="none" w:sz="0" w:space="0" w:color="auto"/>
            <w:bottom w:val="none" w:sz="0" w:space="0" w:color="auto"/>
            <w:right w:val="none" w:sz="0" w:space="0" w:color="auto"/>
          </w:divBdr>
          <w:divsChild>
            <w:div w:id="1903060058">
              <w:marLeft w:val="0"/>
              <w:marRight w:val="0"/>
              <w:marTop w:val="0"/>
              <w:marBottom w:val="0"/>
              <w:divBdr>
                <w:top w:val="none" w:sz="0" w:space="0" w:color="auto"/>
                <w:left w:val="none" w:sz="0" w:space="0" w:color="auto"/>
                <w:bottom w:val="none" w:sz="0" w:space="0" w:color="auto"/>
                <w:right w:val="none" w:sz="0" w:space="0" w:color="auto"/>
              </w:divBdr>
              <w:divsChild>
                <w:div w:id="1903060054">
                  <w:marLeft w:val="0"/>
                  <w:marRight w:val="0"/>
                  <w:marTop w:val="0"/>
                  <w:marBottom w:val="15"/>
                  <w:divBdr>
                    <w:top w:val="none" w:sz="0" w:space="0" w:color="auto"/>
                    <w:left w:val="none" w:sz="0" w:space="0" w:color="auto"/>
                    <w:bottom w:val="none" w:sz="0" w:space="0" w:color="auto"/>
                    <w:right w:val="none" w:sz="0" w:space="0" w:color="auto"/>
                  </w:divBdr>
                  <w:divsChild>
                    <w:div w:id="19030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60081">
      <w:marLeft w:val="0"/>
      <w:marRight w:val="0"/>
      <w:marTop w:val="0"/>
      <w:marBottom w:val="0"/>
      <w:divBdr>
        <w:top w:val="none" w:sz="0" w:space="0" w:color="auto"/>
        <w:left w:val="none" w:sz="0" w:space="0" w:color="auto"/>
        <w:bottom w:val="none" w:sz="0" w:space="0" w:color="auto"/>
        <w:right w:val="none" w:sz="0" w:space="0" w:color="auto"/>
      </w:divBdr>
    </w:div>
    <w:div w:id="1903060082">
      <w:marLeft w:val="0"/>
      <w:marRight w:val="0"/>
      <w:marTop w:val="0"/>
      <w:marBottom w:val="0"/>
      <w:divBdr>
        <w:top w:val="none" w:sz="0" w:space="0" w:color="auto"/>
        <w:left w:val="none" w:sz="0" w:space="0" w:color="auto"/>
        <w:bottom w:val="none" w:sz="0" w:space="0" w:color="auto"/>
        <w:right w:val="none" w:sz="0" w:space="0" w:color="auto"/>
      </w:divBdr>
    </w:div>
    <w:div w:id="1903060084">
      <w:marLeft w:val="0"/>
      <w:marRight w:val="0"/>
      <w:marTop w:val="0"/>
      <w:marBottom w:val="0"/>
      <w:divBdr>
        <w:top w:val="none" w:sz="0" w:space="0" w:color="auto"/>
        <w:left w:val="none" w:sz="0" w:space="0" w:color="auto"/>
        <w:bottom w:val="none" w:sz="0" w:space="0" w:color="auto"/>
        <w:right w:val="none" w:sz="0" w:space="0" w:color="auto"/>
      </w:divBdr>
      <w:divsChild>
        <w:div w:id="190306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term=Baade%20PD%5bAuthor%5d&amp;cauthor=true&amp;cauthor_uid=26808342" TargetMode="External"/><Relationship Id="rId18" Type="http://schemas.openxmlformats.org/officeDocument/2006/relationships/hyperlink" Target="https://www.ncbi.nlm.nih.gov/pubmed/?term=Kempa%20S%5bAuthor%5d&amp;cauthor=true&amp;cauthor_uid=2316037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ubmed/?term=Zheng%20R%5bAuthor%5d&amp;cauthor=true&amp;cauthor_uid=26808342" TargetMode="External"/><Relationship Id="rId17" Type="http://schemas.openxmlformats.org/officeDocument/2006/relationships/hyperlink" Target="https://www.ncbi.nlm.nih.gov/pubmed/?term=Zasada%20C%5bAuthor%5d&amp;cauthor=true&amp;cauthor_uid=23160373" TargetMode="External"/><Relationship Id="rId2" Type="http://schemas.openxmlformats.org/officeDocument/2006/relationships/numbering" Target="numbering.xml"/><Relationship Id="rId16" Type="http://schemas.openxmlformats.org/officeDocument/2006/relationships/hyperlink" Target="http://202.96.26.102/index/detail/id/36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cn.org/store/login/login.aspx?ReturnURL=https://www.nccn.org/professionals/physician_gls/pdf/ovarian.pdf" TargetMode="External"/><Relationship Id="rId10" Type="http://schemas.openxmlformats.org/officeDocument/2006/relationships/header" Target="header2.xml"/><Relationship Id="rId19" Type="http://schemas.openxmlformats.org/officeDocument/2006/relationships/hyperlink" Target="http://ecog-acrin.org/resources/ecog-performance-stat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016/S1470-2045(19)3002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82E5-5B2C-4BC0-B1A2-BC58C571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15687</Words>
  <Characters>92985</Characters>
  <Application>Microsoft Office Word</Application>
  <DocSecurity>0</DocSecurity>
  <Lines>774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He</dc:creator>
  <cp:keywords/>
  <dc:description/>
  <cp:lastModifiedBy>Bo Lyu</cp:lastModifiedBy>
  <cp:revision>15</cp:revision>
  <cp:lastPrinted>2019-08-02T04:49:00Z</cp:lastPrinted>
  <dcterms:created xsi:type="dcterms:W3CDTF">2022-03-18T06:43:00Z</dcterms:created>
  <dcterms:modified xsi:type="dcterms:W3CDTF">2022-07-29T07:34:00Z</dcterms:modified>
</cp:coreProperties>
</file>