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46B1C8" w14:textId="77777777" w:rsidR="00DD1147" w:rsidRDefault="00DD1147" w:rsidP="00DD1147">
      <w:pPr>
        <w:spacing w:line="276" w:lineRule="auto"/>
        <w:jc w:val="both"/>
        <w:rPr>
          <w:rFonts w:ascii="Arial" w:hAnsi="Arial" w:cs="Arial"/>
          <w:b/>
          <w:bCs/>
          <w:sz w:val="24"/>
          <w:szCs w:val="24"/>
          <w:lang w:val="en-US"/>
        </w:rPr>
      </w:pPr>
      <w:r>
        <w:rPr>
          <w:rFonts w:ascii="Arial" w:hAnsi="Arial" w:cs="Arial"/>
          <w:b/>
          <w:bCs/>
          <w:sz w:val="24"/>
          <w:szCs w:val="24"/>
          <w:lang w:val="en-US"/>
        </w:rPr>
        <w:t>Extended data figures</w:t>
      </w:r>
    </w:p>
    <w:p w14:paraId="111F354D" w14:textId="4F42B2DA" w:rsidR="00DD1147" w:rsidRDefault="00DD1147" w:rsidP="00DD1147">
      <w:pPr>
        <w:spacing w:line="276" w:lineRule="auto"/>
        <w:rPr>
          <w:rFonts w:ascii="Arial" w:hAnsi="Arial" w:cs="Arial"/>
          <w:b/>
          <w:bCs/>
          <w:sz w:val="24"/>
          <w:szCs w:val="24"/>
          <w:lang w:val="en-US"/>
        </w:rPr>
      </w:pPr>
      <w:r>
        <w:rPr>
          <w:rFonts w:ascii="Arial" w:hAnsi="Arial" w:cs="Arial"/>
          <w:b/>
          <w:bCs/>
          <w:noProof/>
          <w:sz w:val="24"/>
          <w:szCs w:val="24"/>
          <w:lang w:val="en-US"/>
        </w:rPr>
        <w:drawing>
          <wp:inline distT="0" distB="0" distL="0" distR="0" wp14:anchorId="7EC4C090" wp14:editId="08625B3E">
            <wp:extent cx="5753100" cy="2828925"/>
            <wp:effectExtent l="0" t="0" r="0" b="9525"/>
            <wp:docPr id="46421675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53100" cy="2828925"/>
                    </a:xfrm>
                    <a:prstGeom prst="rect">
                      <a:avLst/>
                    </a:prstGeom>
                    <a:noFill/>
                    <a:ln>
                      <a:noFill/>
                    </a:ln>
                  </pic:spPr>
                </pic:pic>
              </a:graphicData>
            </a:graphic>
          </wp:inline>
        </w:drawing>
      </w:r>
    </w:p>
    <w:p w14:paraId="754C9752" w14:textId="77777777" w:rsidR="00DD1147" w:rsidRPr="00E60399" w:rsidRDefault="00DD1147" w:rsidP="00DD1147">
      <w:pPr>
        <w:spacing w:line="276" w:lineRule="auto"/>
        <w:jc w:val="both"/>
        <w:rPr>
          <w:rFonts w:ascii="Arial" w:hAnsi="Arial" w:cs="Arial"/>
          <w:sz w:val="24"/>
          <w:szCs w:val="24"/>
          <w:lang w:val="en-US"/>
        </w:rPr>
      </w:pPr>
      <w:r w:rsidRPr="00E60399">
        <w:rPr>
          <w:rFonts w:ascii="Arial" w:hAnsi="Arial" w:cs="Arial"/>
          <w:b/>
          <w:sz w:val="24"/>
          <w:szCs w:val="24"/>
          <w:lang w:val="en-US"/>
        </w:rPr>
        <w:t>Extended data Fig. 1 | WGBS quality control and sample relationships</w:t>
      </w:r>
      <w:r w:rsidRPr="00E60399">
        <w:rPr>
          <w:rFonts w:ascii="Arial" w:hAnsi="Arial" w:cs="Arial"/>
          <w:sz w:val="24"/>
          <w:szCs w:val="24"/>
          <w:lang w:val="en-US"/>
        </w:rPr>
        <w:t xml:space="preserve">. </w:t>
      </w:r>
      <w:r w:rsidRPr="00E60399">
        <w:rPr>
          <w:rFonts w:ascii="Arial" w:hAnsi="Arial" w:cs="Arial"/>
          <w:b/>
          <w:sz w:val="24"/>
          <w:szCs w:val="24"/>
          <w:lang w:val="en-US"/>
        </w:rPr>
        <w:t>a</w:t>
      </w:r>
      <w:r w:rsidRPr="00E60399">
        <w:rPr>
          <w:rFonts w:ascii="Arial" w:hAnsi="Arial" w:cs="Arial"/>
          <w:sz w:val="24"/>
          <w:szCs w:val="24"/>
          <w:lang w:val="en-US"/>
        </w:rPr>
        <w:t xml:space="preserve">, histogram showing the number of detected CpG sites in WGBS as a function of sequencing coverage in ccfDNA sample pools (left panel) and in buffy coat pools (right panel). </w:t>
      </w:r>
      <w:r w:rsidRPr="00E60399">
        <w:rPr>
          <w:rFonts w:ascii="Arial" w:hAnsi="Arial" w:cs="Arial"/>
          <w:b/>
          <w:sz w:val="24"/>
          <w:szCs w:val="24"/>
          <w:lang w:val="en-US"/>
        </w:rPr>
        <w:t>b</w:t>
      </w:r>
      <w:r w:rsidRPr="00E60399">
        <w:rPr>
          <w:rFonts w:ascii="Arial" w:hAnsi="Arial" w:cs="Arial"/>
          <w:sz w:val="24"/>
          <w:szCs w:val="24"/>
          <w:lang w:val="en-US"/>
        </w:rPr>
        <w:t>, multidimensional scaling plot presenting the unsupervised clustering of different sample types based on methylation tilling regions.</w:t>
      </w:r>
      <w:r w:rsidRPr="00E60399">
        <w:rPr>
          <w:rFonts w:ascii="Arial" w:hAnsi="Arial" w:cs="Arial"/>
          <w:b/>
          <w:sz w:val="24"/>
          <w:szCs w:val="24"/>
          <w:lang w:val="en-US"/>
        </w:rPr>
        <w:t xml:space="preserve"> c</w:t>
      </w:r>
      <w:r w:rsidRPr="00E60399">
        <w:rPr>
          <w:rFonts w:ascii="Arial" w:hAnsi="Arial" w:cs="Arial"/>
          <w:sz w:val="24"/>
          <w:szCs w:val="24"/>
          <w:lang w:val="en-US"/>
        </w:rPr>
        <w:t>, A correlation heatmap showing the correlation between different samples groups and tissue types.</w:t>
      </w:r>
    </w:p>
    <w:p w14:paraId="16562884" w14:textId="77777777" w:rsidR="00DD1147" w:rsidRDefault="00DD1147" w:rsidP="00DD1147">
      <w:pPr>
        <w:spacing w:line="276" w:lineRule="auto"/>
        <w:rPr>
          <w:rFonts w:ascii="Arial" w:hAnsi="Arial" w:cs="Arial"/>
          <w:b/>
          <w:bCs/>
          <w:sz w:val="24"/>
          <w:szCs w:val="24"/>
          <w:lang w:val="en-US"/>
        </w:rPr>
      </w:pPr>
      <w:r>
        <w:rPr>
          <w:rFonts w:ascii="Arial" w:hAnsi="Arial" w:cs="Arial"/>
          <w:b/>
          <w:bCs/>
          <w:sz w:val="24"/>
          <w:szCs w:val="24"/>
          <w:lang w:val="en-US"/>
        </w:rPr>
        <w:br w:type="page"/>
      </w:r>
    </w:p>
    <w:p w14:paraId="025D1005" w14:textId="6A8BC089" w:rsidR="00DD1147" w:rsidRDefault="00DD1147" w:rsidP="00DD1147">
      <w:pPr>
        <w:spacing w:line="276" w:lineRule="auto"/>
        <w:jc w:val="both"/>
        <w:rPr>
          <w:rFonts w:ascii="Arial" w:hAnsi="Arial" w:cs="Arial"/>
          <w:b/>
          <w:sz w:val="24"/>
          <w:szCs w:val="24"/>
          <w:lang w:val="en-US"/>
        </w:rPr>
      </w:pPr>
      <w:r>
        <w:rPr>
          <w:noProof/>
        </w:rPr>
        <w:lastRenderedPageBreak/>
        <w:drawing>
          <wp:anchor distT="0" distB="0" distL="114300" distR="114300" simplePos="0" relativeHeight="251658240" behindDoc="1" locked="0" layoutInCell="1" allowOverlap="1" wp14:anchorId="1CC50928" wp14:editId="07F62126">
            <wp:simplePos x="0" y="0"/>
            <wp:positionH relativeFrom="column">
              <wp:posOffset>0</wp:posOffset>
            </wp:positionH>
            <wp:positionV relativeFrom="paragraph">
              <wp:posOffset>2540</wp:posOffset>
            </wp:positionV>
            <wp:extent cx="5669280" cy="7227570"/>
            <wp:effectExtent l="0" t="0" r="7620" b="0"/>
            <wp:wrapSquare wrapText="bothSides"/>
            <wp:docPr id="47175492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69280" cy="7227570"/>
                    </a:xfrm>
                    <a:prstGeom prst="rect">
                      <a:avLst/>
                    </a:prstGeom>
                    <a:noFill/>
                  </pic:spPr>
                </pic:pic>
              </a:graphicData>
            </a:graphic>
            <wp14:sizeRelH relativeFrom="page">
              <wp14:pctWidth>0</wp14:pctWidth>
            </wp14:sizeRelH>
            <wp14:sizeRelV relativeFrom="page">
              <wp14:pctHeight>0</wp14:pctHeight>
            </wp14:sizeRelV>
          </wp:anchor>
        </w:drawing>
      </w:r>
      <w:r w:rsidRPr="00E60399">
        <w:rPr>
          <w:rFonts w:ascii="Arial" w:hAnsi="Arial" w:cs="Arial"/>
          <w:b/>
          <w:sz w:val="24"/>
          <w:szCs w:val="24"/>
          <w:lang w:val="en-US"/>
        </w:rPr>
        <w:t xml:space="preserve"> </w:t>
      </w:r>
    </w:p>
    <w:p w14:paraId="473C4EE8" w14:textId="77777777" w:rsidR="00DD1147" w:rsidRDefault="00DD1147" w:rsidP="00DD1147">
      <w:pPr>
        <w:spacing w:line="276" w:lineRule="auto"/>
        <w:jc w:val="both"/>
        <w:rPr>
          <w:rFonts w:ascii="Arial" w:hAnsi="Arial" w:cs="Arial"/>
          <w:sz w:val="24"/>
          <w:szCs w:val="24"/>
          <w:lang w:val="en-US"/>
        </w:rPr>
      </w:pPr>
      <w:r w:rsidRPr="00C1056F">
        <w:rPr>
          <w:rFonts w:ascii="Arial" w:hAnsi="Arial" w:cs="Arial"/>
          <w:b/>
          <w:sz w:val="24"/>
          <w:szCs w:val="24"/>
          <w:lang w:val="en-US"/>
        </w:rPr>
        <w:t xml:space="preserve">Extended data Fig. 2 | </w:t>
      </w:r>
      <w:r>
        <w:rPr>
          <w:rFonts w:ascii="Arial" w:hAnsi="Arial" w:cs="Arial"/>
          <w:b/>
          <w:sz w:val="24"/>
          <w:szCs w:val="24"/>
          <w:lang w:val="en-US"/>
        </w:rPr>
        <w:t>ccfDNA</w:t>
      </w:r>
      <w:r w:rsidRPr="00C1056F">
        <w:rPr>
          <w:rFonts w:ascii="Arial" w:hAnsi="Arial" w:cs="Arial"/>
          <w:b/>
          <w:sz w:val="24"/>
          <w:szCs w:val="24"/>
          <w:lang w:val="en-US"/>
        </w:rPr>
        <w:t xml:space="preserve"> methylation patterns are reflected in independent patient cohor</w:t>
      </w:r>
      <w:r>
        <w:rPr>
          <w:rFonts w:ascii="Arial" w:hAnsi="Arial" w:cs="Arial"/>
          <w:b/>
          <w:sz w:val="24"/>
          <w:szCs w:val="24"/>
          <w:lang w:val="en-US"/>
        </w:rPr>
        <w:t>ts</w:t>
      </w:r>
      <w:r w:rsidRPr="00C1056F">
        <w:rPr>
          <w:rFonts w:ascii="Arial" w:hAnsi="Arial" w:cs="Arial"/>
          <w:b/>
          <w:sz w:val="24"/>
          <w:szCs w:val="24"/>
          <w:lang w:val="en-US"/>
        </w:rPr>
        <w:t xml:space="preserve"> from the gene expression omnibus (GEO).</w:t>
      </w:r>
      <w:r>
        <w:rPr>
          <w:rFonts w:ascii="Arial" w:hAnsi="Arial" w:cs="Arial"/>
          <w:sz w:val="24"/>
          <w:szCs w:val="24"/>
          <w:lang w:val="en-US"/>
        </w:rPr>
        <w:t xml:space="preserve"> </w:t>
      </w:r>
      <w:r w:rsidRPr="00C1056F">
        <w:rPr>
          <w:rFonts w:ascii="Arial" w:hAnsi="Arial" w:cs="Arial"/>
          <w:b/>
          <w:sz w:val="24"/>
          <w:szCs w:val="24"/>
          <w:lang w:val="en-US"/>
        </w:rPr>
        <w:t>a</w:t>
      </w:r>
      <w:r>
        <w:rPr>
          <w:rFonts w:ascii="Arial" w:hAnsi="Arial" w:cs="Arial"/>
          <w:sz w:val="24"/>
          <w:szCs w:val="24"/>
          <w:lang w:val="en-US"/>
        </w:rPr>
        <w:t xml:space="preserve">, </w:t>
      </w:r>
      <w:r w:rsidRPr="00C1056F">
        <w:rPr>
          <w:rFonts w:ascii="Arial" w:hAnsi="Arial" w:cs="Arial"/>
          <w:sz w:val="24"/>
          <w:szCs w:val="24"/>
          <w:lang w:val="en-US"/>
        </w:rPr>
        <w:t xml:space="preserve">boxplot showing the methylation pattern of the </w:t>
      </w:r>
      <w:r>
        <w:rPr>
          <w:rFonts w:ascii="Arial" w:hAnsi="Arial" w:cs="Arial"/>
          <w:sz w:val="24"/>
          <w:szCs w:val="24"/>
          <w:lang w:val="en-US"/>
        </w:rPr>
        <w:t>pan-cancer</w:t>
      </w:r>
      <w:r w:rsidRPr="00C1056F">
        <w:rPr>
          <w:rFonts w:ascii="Arial" w:hAnsi="Arial" w:cs="Arial"/>
          <w:sz w:val="24"/>
          <w:szCs w:val="24"/>
          <w:lang w:val="en-US"/>
        </w:rPr>
        <w:t xml:space="preserve"> hypermethylated site cg</w:t>
      </w:r>
      <w:r>
        <w:rPr>
          <w:rFonts w:ascii="Arial" w:hAnsi="Arial" w:cs="Arial"/>
          <w:sz w:val="24"/>
          <w:szCs w:val="24"/>
          <w:lang w:val="en-US"/>
        </w:rPr>
        <w:t>19489494</w:t>
      </w:r>
      <w:r w:rsidRPr="00C1056F">
        <w:rPr>
          <w:rFonts w:ascii="Arial" w:hAnsi="Arial" w:cs="Arial"/>
          <w:sz w:val="24"/>
          <w:szCs w:val="24"/>
          <w:lang w:val="en-US"/>
        </w:rPr>
        <w:t xml:space="preserve"> in tumor vs non-</w:t>
      </w:r>
      <w:r w:rsidRPr="00C1056F">
        <w:rPr>
          <w:rFonts w:ascii="Arial" w:hAnsi="Arial" w:cs="Arial"/>
          <w:sz w:val="24"/>
          <w:szCs w:val="24"/>
          <w:lang w:val="en-US"/>
        </w:rPr>
        <w:lastRenderedPageBreak/>
        <w:t>tumor tissue in fifteen cancer entities from the TCGA.</w:t>
      </w:r>
      <w:r>
        <w:rPr>
          <w:rFonts w:ascii="Arial" w:hAnsi="Arial" w:cs="Arial"/>
          <w:sz w:val="24"/>
          <w:szCs w:val="24"/>
          <w:lang w:val="en-US"/>
        </w:rPr>
        <w:t xml:space="preserve"> </w:t>
      </w:r>
      <w:r w:rsidRPr="00C1056F">
        <w:rPr>
          <w:rFonts w:ascii="Arial" w:hAnsi="Arial" w:cs="Arial"/>
          <w:b/>
          <w:sz w:val="24"/>
          <w:szCs w:val="24"/>
          <w:lang w:val="en-US"/>
        </w:rPr>
        <w:t>b</w:t>
      </w:r>
      <w:r>
        <w:rPr>
          <w:rFonts w:ascii="Arial" w:hAnsi="Arial" w:cs="Arial"/>
          <w:sz w:val="24"/>
          <w:szCs w:val="24"/>
          <w:lang w:val="en-US"/>
        </w:rPr>
        <w:t xml:space="preserve">, boxplot showing the methylation pattern of the pan-cancer hypermethylated site cg05049448 in tumor vs non-tumor tissue in fifteen cancer entities from the TCGA. </w:t>
      </w:r>
      <w:r w:rsidRPr="00C1056F">
        <w:rPr>
          <w:rFonts w:ascii="Arial" w:hAnsi="Arial" w:cs="Arial"/>
          <w:b/>
          <w:sz w:val="24"/>
          <w:szCs w:val="24"/>
          <w:lang w:val="en-US"/>
        </w:rPr>
        <w:t>c</w:t>
      </w:r>
      <w:r>
        <w:rPr>
          <w:rFonts w:ascii="Arial" w:hAnsi="Arial" w:cs="Arial"/>
          <w:sz w:val="24"/>
          <w:szCs w:val="24"/>
          <w:lang w:val="en-US"/>
        </w:rPr>
        <w:t>, violin plots presenting the methylation patterns of the three best-performing CpGs (</w:t>
      </w:r>
      <w:r w:rsidRPr="00C1056F">
        <w:rPr>
          <w:rFonts w:ascii="Arial" w:hAnsi="Arial" w:cs="Arial"/>
          <w:sz w:val="24"/>
          <w:szCs w:val="24"/>
          <w:lang w:val="en-US"/>
        </w:rPr>
        <w:t>cg</w:t>
      </w:r>
      <w:r>
        <w:rPr>
          <w:rFonts w:ascii="Arial" w:hAnsi="Arial" w:cs="Arial"/>
          <w:sz w:val="24"/>
          <w:szCs w:val="24"/>
          <w:lang w:val="en-US"/>
        </w:rPr>
        <w:t xml:space="preserve">19489494, cg05049448 &amp; cg19416570) in independent validation PAAD (left panel) and </w:t>
      </w:r>
      <w:r w:rsidRPr="00A72E49">
        <w:rPr>
          <w:rFonts w:ascii="Arial" w:hAnsi="Arial" w:cs="Arial"/>
          <w:sz w:val="24"/>
          <w:szCs w:val="24"/>
          <w:lang w:val="en-US"/>
        </w:rPr>
        <w:t>LUAD (right panel). The methylation data for PAAD was obtained from the study (ref 32, GSE49149), meanwhile the data for LUAD was obtained from the study (ref 31</w:t>
      </w:r>
      <w:r>
        <w:rPr>
          <w:rFonts w:ascii="Arial" w:hAnsi="Arial" w:cs="Arial"/>
          <w:sz w:val="24"/>
          <w:szCs w:val="24"/>
          <w:lang w:val="en-US"/>
        </w:rPr>
        <w:t>, GSE66836).</w:t>
      </w:r>
    </w:p>
    <w:p w14:paraId="6FABF1DF" w14:textId="77777777" w:rsidR="00DD1147" w:rsidRDefault="00DD1147" w:rsidP="00DD1147">
      <w:pPr>
        <w:spacing w:line="276" w:lineRule="auto"/>
        <w:rPr>
          <w:rFonts w:ascii="Arial" w:hAnsi="Arial" w:cs="Arial"/>
          <w:b/>
          <w:bCs/>
          <w:sz w:val="24"/>
          <w:szCs w:val="24"/>
          <w:lang w:val="en-US"/>
        </w:rPr>
      </w:pPr>
    </w:p>
    <w:p w14:paraId="326AF5D1" w14:textId="77777777" w:rsidR="00DD1147" w:rsidRDefault="00DD1147" w:rsidP="00DD1147">
      <w:pPr>
        <w:spacing w:line="276" w:lineRule="auto"/>
        <w:rPr>
          <w:rFonts w:ascii="Arial" w:hAnsi="Arial" w:cs="Arial"/>
          <w:b/>
          <w:bCs/>
          <w:sz w:val="24"/>
          <w:szCs w:val="24"/>
          <w:lang w:val="en-US"/>
        </w:rPr>
      </w:pPr>
    </w:p>
    <w:p w14:paraId="4C652BDD" w14:textId="38C71259" w:rsidR="00DD1147" w:rsidRDefault="00DD1147" w:rsidP="00DD1147">
      <w:pPr>
        <w:spacing w:line="276" w:lineRule="auto"/>
        <w:rPr>
          <w:rFonts w:ascii="Arial" w:hAnsi="Arial" w:cs="Arial"/>
          <w:b/>
          <w:bCs/>
          <w:sz w:val="24"/>
          <w:szCs w:val="24"/>
          <w:lang w:val="en-US"/>
        </w:rPr>
      </w:pPr>
      <w:r>
        <w:rPr>
          <w:rFonts w:ascii="Arial" w:hAnsi="Arial" w:cs="Arial"/>
          <w:b/>
          <w:bCs/>
          <w:noProof/>
          <w:sz w:val="24"/>
          <w:szCs w:val="24"/>
          <w:lang w:val="en-US"/>
        </w:rPr>
        <w:drawing>
          <wp:inline distT="0" distB="0" distL="0" distR="0" wp14:anchorId="5D1C6273" wp14:editId="22D2B1A7">
            <wp:extent cx="5762625" cy="2724150"/>
            <wp:effectExtent l="0" t="0" r="9525" b="0"/>
            <wp:docPr id="12075095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2625" cy="2724150"/>
                    </a:xfrm>
                    <a:prstGeom prst="rect">
                      <a:avLst/>
                    </a:prstGeom>
                    <a:noFill/>
                    <a:ln>
                      <a:noFill/>
                    </a:ln>
                  </pic:spPr>
                </pic:pic>
              </a:graphicData>
            </a:graphic>
          </wp:inline>
        </w:drawing>
      </w:r>
    </w:p>
    <w:p w14:paraId="6050AE6D" w14:textId="77777777" w:rsidR="00DD1147" w:rsidRDefault="00DD1147" w:rsidP="00DD1147">
      <w:pPr>
        <w:spacing w:line="276" w:lineRule="auto"/>
        <w:jc w:val="both"/>
        <w:rPr>
          <w:rFonts w:ascii="Arial" w:hAnsi="Arial" w:cs="Arial"/>
          <w:sz w:val="24"/>
          <w:szCs w:val="24"/>
          <w:lang w:val="en-US"/>
        </w:rPr>
      </w:pPr>
      <w:r w:rsidRPr="00C1056F">
        <w:rPr>
          <w:rFonts w:ascii="Arial" w:hAnsi="Arial" w:cs="Arial"/>
          <w:b/>
          <w:sz w:val="24"/>
          <w:szCs w:val="24"/>
          <w:lang w:val="en-US"/>
        </w:rPr>
        <w:t xml:space="preserve">Extended data Fig. 3 | </w:t>
      </w:r>
      <w:r>
        <w:rPr>
          <w:rFonts w:ascii="Arial" w:hAnsi="Arial" w:cs="Arial"/>
          <w:b/>
          <w:sz w:val="24"/>
          <w:szCs w:val="24"/>
          <w:lang w:val="en-US"/>
        </w:rPr>
        <w:t>ccfDNA</w:t>
      </w:r>
      <w:r w:rsidRPr="00C1056F">
        <w:rPr>
          <w:rFonts w:ascii="Arial" w:hAnsi="Arial" w:cs="Arial"/>
          <w:b/>
          <w:sz w:val="24"/>
          <w:szCs w:val="24"/>
          <w:lang w:val="en-US"/>
        </w:rPr>
        <w:t xml:space="preserve"> methylation patterns are similar in plasma and tumor tissue from the same entity</w:t>
      </w:r>
      <w:r>
        <w:rPr>
          <w:rFonts w:ascii="Arial" w:hAnsi="Arial" w:cs="Arial"/>
          <w:sz w:val="24"/>
          <w:szCs w:val="24"/>
          <w:lang w:val="en-US"/>
        </w:rPr>
        <w:t xml:space="preserve">. </w:t>
      </w:r>
      <w:r w:rsidRPr="00C1056F">
        <w:rPr>
          <w:rFonts w:ascii="Arial" w:hAnsi="Arial" w:cs="Arial"/>
          <w:b/>
          <w:sz w:val="24"/>
          <w:szCs w:val="24"/>
          <w:lang w:val="en-US"/>
        </w:rPr>
        <w:t>a</w:t>
      </w:r>
      <w:r>
        <w:rPr>
          <w:rFonts w:ascii="Arial" w:hAnsi="Arial" w:cs="Arial"/>
          <w:sz w:val="24"/>
          <w:szCs w:val="24"/>
          <w:lang w:val="en-US"/>
        </w:rPr>
        <w:t xml:space="preserve">, heatmap showing differentially methylated CpG sites (mean coverage ≥ 10, mean methylation difference ≥ 0.1, and p value &lt; 0.05) in ccfDNA from BRCA patients vs healthy blood donors as well as BRCA tumor tissue vs non tumor samples(left panel) and differentially methylated CpG sites in ccfDNA from PRAD vs healthy blood donor and PRAD tumor tissue. For both BRCA and PRAD, differentially methylated sites were obtained by comparing ccfDNA from patients and healthy donors. The sites were then projected on data from tumor tissue without any further differential analysis. </w:t>
      </w:r>
      <w:r w:rsidRPr="003B59A2">
        <w:rPr>
          <w:rFonts w:ascii="Arial" w:hAnsi="Arial" w:cs="Arial"/>
          <w:b/>
          <w:sz w:val="24"/>
          <w:szCs w:val="24"/>
          <w:lang w:val="en-US"/>
        </w:rPr>
        <w:t>b</w:t>
      </w:r>
      <w:r>
        <w:rPr>
          <w:rFonts w:ascii="Arial" w:hAnsi="Arial" w:cs="Arial"/>
          <w:sz w:val="24"/>
          <w:szCs w:val="24"/>
          <w:lang w:val="en-US"/>
        </w:rPr>
        <w:t>, heatmaps showing differentially methylated ccfDNA sites in responders and non-responders to immune checkpoint blockage for COAD (left panel), NSCLC (middle panel) and SKCM (right panel).</w:t>
      </w:r>
    </w:p>
    <w:p w14:paraId="12407014" w14:textId="77777777" w:rsidR="00DD1147" w:rsidRDefault="00DD1147" w:rsidP="00DD1147">
      <w:pPr>
        <w:spacing w:line="276" w:lineRule="auto"/>
        <w:rPr>
          <w:rFonts w:ascii="Arial" w:hAnsi="Arial" w:cs="Arial"/>
          <w:b/>
          <w:bCs/>
          <w:sz w:val="24"/>
          <w:szCs w:val="24"/>
          <w:lang w:val="en-US"/>
        </w:rPr>
      </w:pPr>
      <w:r>
        <w:rPr>
          <w:rFonts w:ascii="Arial" w:hAnsi="Arial" w:cs="Arial"/>
          <w:b/>
          <w:bCs/>
          <w:sz w:val="24"/>
          <w:szCs w:val="24"/>
          <w:lang w:val="en-US"/>
        </w:rPr>
        <w:br w:type="page"/>
      </w:r>
    </w:p>
    <w:p w14:paraId="4D1878FF" w14:textId="2D1FE6CE" w:rsidR="00DD1147" w:rsidRDefault="00DD1147" w:rsidP="00DD1147">
      <w:pPr>
        <w:spacing w:line="276" w:lineRule="auto"/>
        <w:rPr>
          <w:rFonts w:ascii="Arial" w:hAnsi="Arial" w:cs="Arial"/>
          <w:b/>
          <w:bCs/>
          <w:sz w:val="24"/>
          <w:szCs w:val="24"/>
          <w:lang w:val="en-US"/>
        </w:rPr>
      </w:pPr>
      <w:r>
        <w:rPr>
          <w:rFonts w:ascii="Arial" w:hAnsi="Arial" w:cs="Arial"/>
          <w:b/>
          <w:bCs/>
          <w:noProof/>
          <w:sz w:val="24"/>
          <w:szCs w:val="24"/>
          <w:lang w:val="en-US"/>
        </w:rPr>
        <w:lastRenderedPageBreak/>
        <w:drawing>
          <wp:inline distT="0" distB="0" distL="0" distR="0" wp14:anchorId="24F9C5A6" wp14:editId="284965CA">
            <wp:extent cx="4829175" cy="2133600"/>
            <wp:effectExtent l="0" t="0" r="9525" b="0"/>
            <wp:docPr id="13259267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29175" cy="2133600"/>
                    </a:xfrm>
                    <a:prstGeom prst="rect">
                      <a:avLst/>
                    </a:prstGeom>
                    <a:noFill/>
                    <a:ln>
                      <a:noFill/>
                    </a:ln>
                  </pic:spPr>
                </pic:pic>
              </a:graphicData>
            </a:graphic>
          </wp:inline>
        </w:drawing>
      </w:r>
    </w:p>
    <w:p w14:paraId="3EE69E49" w14:textId="77777777" w:rsidR="00DD1147" w:rsidRDefault="00DD1147" w:rsidP="00DD1147">
      <w:pPr>
        <w:spacing w:line="276" w:lineRule="auto"/>
        <w:jc w:val="both"/>
        <w:rPr>
          <w:rFonts w:ascii="Arial" w:hAnsi="Arial" w:cs="Arial"/>
          <w:sz w:val="24"/>
          <w:szCs w:val="24"/>
          <w:lang w:val="en-US"/>
        </w:rPr>
      </w:pPr>
      <w:r w:rsidRPr="000F7D97">
        <w:rPr>
          <w:rFonts w:ascii="Arial" w:hAnsi="Arial" w:cs="Arial"/>
          <w:b/>
          <w:sz w:val="24"/>
          <w:szCs w:val="24"/>
          <w:lang w:val="en-US"/>
        </w:rPr>
        <w:t xml:space="preserve">Extended data Fig. 4 | Genes associated with </w:t>
      </w:r>
      <w:r>
        <w:rPr>
          <w:rFonts w:ascii="Arial" w:hAnsi="Arial" w:cs="Arial"/>
          <w:b/>
          <w:sz w:val="24"/>
          <w:szCs w:val="24"/>
          <w:lang w:val="en-US"/>
        </w:rPr>
        <w:t>ccfDNA</w:t>
      </w:r>
      <w:r w:rsidRPr="000F7D97">
        <w:rPr>
          <w:rFonts w:ascii="Arial" w:hAnsi="Arial" w:cs="Arial"/>
          <w:b/>
          <w:sz w:val="24"/>
          <w:szCs w:val="24"/>
          <w:lang w:val="en-US"/>
        </w:rPr>
        <w:t xml:space="preserve"> methylation show aberrant expression in tumor samples</w:t>
      </w:r>
      <w:r>
        <w:rPr>
          <w:rFonts w:ascii="Arial" w:hAnsi="Arial" w:cs="Arial"/>
          <w:sz w:val="24"/>
          <w:szCs w:val="24"/>
          <w:lang w:val="en-US"/>
        </w:rPr>
        <w:t xml:space="preserve">. </w:t>
      </w:r>
      <w:r w:rsidRPr="000F7D97">
        <w:rPr>
          <w:rFonts w:ascii="Arial" w:hAnsi="Arial" w:cs="Arial"/>
          <w:b/>
          <w:sz w:val="24"/>
          <w:szCs w:val="24"/>
          <w:lang w:val="en-US"/>
        </w:rPr>
        <w:t>a</w:t>
      </w:r>
      <w:r>
        <w:rPr>
          <w:rFonts w:ascii="Arial" w:hAnsi="Arial" w:cs="Arial"/>
          <w:sz w:val="24"/>
          <w:szCs w:val="24"/>
          <w:lang w:val="en-US"/>
        </w:rPr>
        <w:t xml:space="preserve">, boxplot presenting the expression of genes associated with cancer overarching hypermethylated sites in tumor vs normal samples across 15 TCGA cancer entities. </w:t>
      </w:r>
      <w:r w:rsidRPr="000F7D97">
        <w:rPr>
          <w:rFonts w:ascii="Arial" w:hAnsi="Arial" w:cs="Arial"/>
          <w:b/>
          <w:sz w:val="24"/>
          <w:szCs w:val="24"/>
          <w:lang w:val="en-US"/>
        </w:rPr>
        <w:t>b</w:t>
      </w:r>
      <w:r>
        <w:rPr>
          <w:rFonts w:ascii="Arial" w:hAnsi="Arial" w:cs="Arial"/>
          <w:sz w:val="24"/>
          <w:szCs w:val="24"/>
          <w:lang w:val="en-US"/>
        </w:rPr>
        <w:t xml:space="preserve">, </w:t>
      </w:r>
      <w:r w:rsidRPr="00377C07">
        <w:rPr>
          <w:rFonts w:ascii="Arial" w:hAnsi="Arial" w:cs="Arial"/>
          <w:sz w:val="24"/>
          <w:szCs w:val="24"/>
          <w:lang w:val="en-US"/>
        </w:rPr>
        <w:t xml:space="preserve"> boxplot showing the methylation profile between tumor and normal tissue across 15 cancer entities within the TCGA for </w:t>
      </w:r>
      <w:r>
        <w:rPr>
          <w:rFonts w:ascii="Arial" w:hAnsi="Arial" w:cs="Arial"/>
          <w:sz w:val="24"/>
          <w:szCs w:val="24"/>
          <w:lang w:val="en-US"/>
        </w:rPr>
        <w:t>the cancer overarching hypermethylated</w:t>
      </w:r>
      <w:r w:rsidRPr="00377C07">
        <w:rPr>
          <w:rFonts w:ascii="Arial" w:hAnsi="Arial" w:cs="Arial"/>
          <w:sz w:val="24"/>
          <w:szCs w:val="24"/>
          <w:lang w:val="en-US"/>
        </w:rPr>
        <w:t xml:space="preserve"> CpG sites (cg12018098) with mean methylation difference ≥ 0.3 and which is associated with </w:t>
      </w:r>
      <w:r>
        <w:rPr>
          <w:rFonts w:ascii="Arial" w:hAnsi="Arial" w:cs="Arial"/>
          <w:sz w:val="24"/>
          <w:szCs w:val="24"/>
          <w:lang w:val="en-US"/>
        </w:rPr>
        <w:t xml:space="preserve">the protein coding gene </w:t>
      </w:r>
      <w:r w:rsidRPr="00377C07">
        <w:rPr>
          <w:rFonts w:ascii="Arial" w:hAnsi="Arial" w:cs="Arial"/>
          <w:i/>
          <w:sz w:val="24"/>
          <w:szCs w:val="24"/>
          <w:lang w:val="en-US"/>
        </w:rPr>
        <w:t>SPRED3</w:t>
      </w:r>
      <w:r>
        <w:rPr>
          <w:rFonts w:ascii="Arial" w:hAnsi="Arial" w:cs="Arial"/>
          <w:sz w:val="24"/>
          <w:szCs w:val="24"/>
          <w:lang w:val="en-US"/>
        </w:rPr>
        <w:t xml:space="preserve">. </w:t>
      </w:r>
      <w:r w:rsidRPr="00377C07">
        <w:rPr>
          <w:rFonts w:ascii="Arial" w:hAnsi="Arial" w:cs="Arial"/>
          <w:b/>
          <w:sz w:val="24"/>
          <w:szCs w:val="24"/>
          <w:lang w:val="en-US"/>
        </w:rPr>
        <w:t>c</w:t>
      </w:r>
      <w:r>
        <w:rPr>
          <w:rFonts w:ascii="Arial" w:hAnsi="Arial" w:cs="Arial"/>
          <w:sz w:val="24"/>
          <w:szCs w:val="24"/>
          <w:lang w:val="en-US"/>
        </w:rPr>
        <w:t>,</w:t>
      </w:r>
      <w:r w:rsidRPr="00377C07">
        <w:rPr>
          <w:rFonts w:ascii="Arial" w:hAnsi="Arial" w:cs="Arial"/>
          <w:sz w:val="24"/>
          <w:szCs w:val="24"/>
          <w:lang w:val="en-US"/>
        </w:rPr>
        <w:t xml:space="preserve"> boxplot showing the gene expression profile between tumor and normal tissue across 15 cancer entities within the TCGA for the gene </w:t>
      </w:r>
      <w:r w:rsidRPr="00377C07">
        <w:rPr>
          <w:rFonts w:ascii="Arial" w:hAnsi="Arial" w:cs="Arial"/>
          <w:i/>
          <w:sz w:val="24"/>
          <w:szCs w:val="24"/>
          <w:lang w:val="en-US"/>
        </w:rPr>
        <w:t>SPRED3</w:t>
      </w:r>
      <w:r w:rsidRPr="00377C07">
        <w:rPr>
          <w:rFonts w:ascii="Arial" w:hAnsi="Arial" w:cs="Arial"/>
          <w:sz w:val="24"/>
          <w:szCs w:val="24"/>
          <w:lang w:val="en-US"/>
        </w:rPr>
        <w:t>, which is associated with the DMP cg12018098.</w:t>
      </w:r>
    </w:p>
    <w:p w14:paraId="30533395" w14:textId="77777777" w:rsidR="00DD1147" w:rsidRDefault="00DD1147" w:rsidP="00DD1147">
      <w:pPr>
        <w:spacing w:line="276" w:lineRule="auto"/>
        <w:rPr>
          <w:rFonts w:ascii="Arial" w:hAnsi="Arial" w:cs="Arial"/>
          <w:b/>
          <w:bCs/>
          <w:sz w:val="24"/>
          <w:szCs w:val="24"/>
          <w:lang w:val="en-US"/>
        </w:rPr>
      </w:pPr>
      <w:r>
        <w:rPr>
          <w:rFonts w:ascii="Arial" w:hAnsi="Arial" w:cs="Arial"/>
          <w:b/>
          <w:bCs/>
          <w:sz w:val="24"/>
          <w:szCs w:val="24"/>
          <w:lang w:val="en-US"/>
        </w:rPr>
        <w:br w:type="page"/>
      </w:r>
    </w:p>
    <w:p w14:paraId="02EEA589" w14:textId="77777777" w:rsidR="00DD1147" w:rsidRDefault="00DD1147" w:rsidP="00DD1147">
      <w:pPr>
        <w:spacing w:line="276" w:lineRule="auto"/>
        <w:rPr>
          <w:rFonts w:ascii="Arial" w:hAnsi="Arial" w:cs="Arial"/>
          <w:b/>
          <w:bCs/>
          <w:sz w:val="24"/>
          <w:szCs w:val="24"/>
          <w:lang w:val="en-US"/>
        </w:rPr>
      </w:pPr>
      <w:r>
        <w:rPr>
          <w:rFonts w:ascii="Arial" w:hAnsi="Arial" w:cs="Arial"/>
          <w:b/>
          <w:bCs/>
          <w:noProof/>
          <w:sz w:val="24"/>
          <w:szCs w:val="24"/>
          <w:lang w:val="en-US"/>
        </w:rPr>
        <w:lastRenderedPageBreak/>
        <w:drawing>
          <wp:inline distT="0" distB="0" distL="0" distR="0" wp14:anchorId="1E06FA1F" wp14:editId="27594F71">
            <wp:extent cx="5391302" cy="5632304"/>
            <wp:effectExtent l="0" t="0" r="0" b="6985"/>
            <wp:docPr id="1" name="Grafik 1" descr="C:\Users\smilueong\AppData\Local\Microsoft\Windows\INetCache\Content.Word\Figure S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smilueong\AppData\Local\Microsoft\Windows\INetCache\Content.Word\Figure S7.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0904" cy="5642335"/>
                    </a:xfrm>
                    <a:prstGeom prst="rect">
                      <a:avLst/>
                    </a:prstGeom>
                    <a:noFill/>
                    <a:ln>
                      <a:noFill/>
                    </a:ln>
                  </pic:spPr>
                </pic:pic>
              </a:graphicData>
            </a:graphic>
          </wp:inline>
        </w:drawing>
      </w:r>
    </w:p>
    <w:p w14:paraId="18513A69" w14:textId="77777777" w:rsidR="00DD1147" w:rsidRDefault="00DD1147" w:rsidP="00DD1147">
      <w:pPr>
        <w:spacing w:line="276" w:lineRule="auto"/>
        <w:jc w:val="both"/>
        <w:rPr>
          <w:rFonts w:ascii="Arial" w:hAnsi="Arial" w:cs="Arial"/>
          <w:sz w:val="24"/>
          <w:szCs w:val="24"/>
          <w:lang w:val="en-US"/>
        </w:rPr>
      </w:pPr>
      <w:r w:rsidRPr="004D6AC6">
        <w:rPr>
          <w:rFonts w:ascii="Arial" w:hAnsi="Arial" w:cs="Arial"/>
          <w:b/>
          <w:sz w:val="24"/>
          <w:szCs w:val="24"/>
          <w:lang w:val="en-US"/>
        </w:rPr>
        <w:t xml:space="preserve">Extended data Fig. </w:t>
      </w:r>
      <w:r>
        <w:rPr>
          <w:rFonts w:ascii="Arial" w:hAnsi="Arial" w:cs="Arial"/>
          <w:b/>
          <w:sz w:val="24"/>
          <w:szCs w:val="24"/>
          <w:lang w:val="en-US"/>
        </w:rPr>
        <w:t>5</w:t>
      </w:r>
      <w:r w:rsidRPr="004D6AC6">
        <w:rPr>
          <w:rFonts w:ascii="Arial" w:hAnsi="Arial" w:cs="Arial"/>
          <w:b/>
          <w:sz w:val="24"/>
          <w:szCs w:val="24"/>
          <w:lang w:val="en-US"/>
        </w:rPr>
        <w:t xml:space="preserve"> | Tissue-specific expression patterns of repressor and activator transcription factors with methylated-CpG-binding activity might explain aberrant epigenetic gene expression control. a</w:t>
      </w:r>
      <w:r>
        <w:rPr>
          <w:rFonts w:ascii="Arial" w:hAnsi="Arial" w:cs="Arial"/>
          <w:sz w:val="24"/>
          <w:szCs w:val="24"/>
          <w:lang w:val="en-US"/>
        </w:rPr>
        <w:t xml:space="preserve">, scatter plot showing the correlation between DNA methylation at cg26509691 and the expression of its associated gene </w:t>
      </w:r>
      <w:r w:rsidRPr="004D6AC6">
        <w:rPr>
          <w:rFonts w:ascii="Arial" w:hAnsi="Arial" w:cs="Arial"/>
          <w:i/>
          <w:sz w:val="24"/>
          <w:szCs w:val="24"/>
          <w:lang w:val="en-US"/>
        </w:rPr>
        <w:t>PITX1</w:t>
      </w:r>
      <w:r>
        <w:rPr>
          <w:rFonts w:ascii="Arial" w:hAnsi="Arial" w:cs="Arial"/>
          <w:sz w:val="24"/>
          <w:szCs w:val="24"/>
          <w:lang w:val="en-US"/>
        </w:rPr>
        <w:t xml:space="preserve"> in cervical cancer (left panel), in pancreatic ductal adenocarcinoma (middle panel) and a violin plot presenting the expression of the repressive E2F transcription factor family member </w:t>
      </w:r>
      <w:r w:rsidRPr="00F90F33">
        <w:rPr>
          <w:rFonts w:ascii="Arial" w:hAnsi="Arial" w:cs="Arial"/>
          <w:i/>
          <w:sz w:val="24"/>
          <w:szCs w:val="24"/>
          <w:lang w:val="en-US"/>
        </w:rPr>
        <w:t>E2F7</w:t>
      </w:r>
      <w:r>
        <w:rPr>
          <w:rFonts w:ascii="Arial" w:hAnsi="Arial" w:cs="Arial"/>
          <w:sz w:val="24"/>
          <w:szCs w:val="24"/>
          <w:lang w:val="en-US"/>
        </w:rPr>
        <w:t xml:space="preserve">, which has two DP1 sites for DNA binding (right panel). </w:t>
      </w:r>
      <w:r w:rsidRPr="004D6AC6">
        <w:rPr>
          <w:rFonts w:ascii="Arial" w:hAnsi="Arial" w:cs="Arial"/>
          <w:b/>
          <w:sz w:val="24"/>
          <w:szCs w:val="24"/>
          <w:lang w:val="en-US"/>
        </w:rPr>
        <w:t>b</w:t>
      </w:r>
      <w:r>
        <w:rPr>
          <w:rFonts w:ascii="Arial" w:hAnsi="Arial" w:cs="Arial"/>
          <w:sz w:val="24"/>
          <w:szCs w:val="24"/>
          <w:lang w:val="en-US"/>
        </w:rPr>
        <w:t xml:space="preserve">, </w:t>
      </w:r>
      <w:r w:rsidRPr="004D6AC6">
        <w:rPr>
          <w:rFonts w:ascii="Arial" w:hAnsi="Arial" w:cs="Arial"/>
          <w:sz w:val="24"/>
          <w:szCs w:val="24"/>
          <w:lang w:val="en-US"/>
        </w:rPr>
        <w:t xml:space="preserve">scatter plot showing the correlation between DNA methylation at cg26509691 and the expression of its associated gene </w:t>
      </w:r>
      <w:r w:rsidRPr="004D6AC6">
        <w:rPr>
          <w:rFonts w:ascii="Arial" w:hAnsi="Arial" w:cs="Arial"/>
          <w:i/>
          <w:sz w:val="24"/>
          <w:szCs w:val="24"/>
          <w:lang w:val="en-US"/>
        </w:rPr>
        <w:t>PITX1</w:t>
      </w:r>
      <w:r w:rsidRPr="004D6AC6">
        <w:rPr>
          <w:rFonts w:ascii="Arial" w:hAnsi="Arial" w:cs="Arial"/>
          <w:sz w:val="24"/>
          <w:szCs w:val="24"/>
          <w:lang w:val="en-US"/>
        </w:rPr>
        <w:t xml:space="preserve"> in </w:t>
      </w:r>
      <w:r>
        <w:rPr>
          <w:rFonts w:ascii="Arial" w:hAnsi="Arial" w:cs="Arial"/>
          <w:sz w:val="24"/>
          <w:szCs w:val="24"/>
          <w:lang w:val="en-US"/>
        </w:rPr>
        <w:t xml:space="preserve">thirteen independent cancer entities from within the TCGA. </w:t>
      </w:r>
      <w:r w:rsidRPr="004D6AC6">
        <w:rPr>
          <w:rFonts w:ascii="Arial" w:hAnsi="Arial" w:cs="Arial"/>
          <w:b/>
          <w:sz w:val="24"/>
          <w:szCs w:val="24"/>
          <w:lang w:val="en-US"/>
        </w:rPr>
        <w:t>c</w:t>
      </w:r>
      <w:r>
        <w:rPr>
          <w:rFonts w:ascii="Arial" w:hAnsi="Arial" w:cs="Arial"/>
          <w:sz w:val="24"/>
          <w:szCs w:val="24"/>
          <w:lang w:val="en-US"/>
        </w:rPr>
        <w:t xml:space="preserve">, violin plot showing gene the expression of the repressive E2F transcription factor family member </w:t>
      </w:r>
      <w:r w:rsidRPr="00F90F33">
        <w:rPr>
          <w:rFonts w:ascii="Arial" w:hAnsi="Arial" w:cs="Arial"/>
          <w:i/>
          <w:sz w:val="24"/>
          <w:szCs w:val="24"/>
          <w:lang w:val="en-US"/>
        </w:rPr>
        <w:t>E2F7</w:t>
      </w:r>
      <w:r>
        <w:rPr>
          <w:rFonts w:ascii="Arial" w:hAnsi="Arial" w:cs="Arial"/>
          <w:sz w:val="24"/>
          <w:szCs w:val="24"/>
          <w:lang w:val="en-US"/>
        </w:rPr>
        <w:t xml:space="preserve">, which has two DP1 sites for DNA binding in the cancer entities presented in fig. b above. </w:t>
      </w:r>
      <w:r w:rsidRPr="004D6AC6">
        <w:rPr>
          <w:rFonts w:ascii="Arial" w:hAnsi="Arial" w:cs="Arial"/>
          <w:b/>
          <w:sz w:val="24"/>
          <w:szCs w:val="24"/>
          <w:lang w:val="en-US"/>
        </w:rPr>
        <w:t>d</w:t>
      </w:r>
      <w:r>
        <w:rPr>
          <w:rFonts w:ascii="Arial" w:hAnsi="Arial" w:cs="Arial"/>
          <w:sz w:val="24"/>
          <w:szCs w:val="24"/>
          <w:lang w:val="en-US"/>
        </w:rPr>
        <w:t xml:space="preserve">, bar plot presenting the expression of the repressive E2F transcription </w:t>
      </w:r>
      <w:r>
        <w:rPr>
          <w:rFonts w:ascii="Arial" w:hAnsi="Arial" w:cs="Arial"/>
          <w:sz w:val="24"/>
          <w:szCs w:val="24"/>
          <w:lang w:val="en-US"/>
        </w:rPr>
        <w:lastRenderedPageBreak/>
        <w:t xml:space="preserve">factor family member </w:t>
      </w:r>
      <w:r w:rsidRPr="004D6AC6">
        <w:rPr>
          <w:rFonts w:ascii="Arial" w:hAnsi="Arial" w:cs="Arial"/>
          <w:i/>
          <w:sz w:val="24"/>
          <w:szCs w:val="24"/>
          <w:lang w:val="en-US"/>
        </w:rPr>
        <w:t>E2F7</w:t>
      </w:r>
      <w:r>
        <w:rPr>
          <w:rFonts w:ascii="Arial" w:hAnsi="Arial" w:cs="Arial"/>
          <w:sz w:val="24"/>
          <w:szCs w:val="24"/>
          <w:lang w:val="en-US"/>
        </w:rPr>
        <w:t>, which has two DP1 sites for DNA binding in TCGA cancer entities not analyzed due in this study due to lack of paired tumor and normal samples with DNA methylation and gene expression data.</w:t>
      </w:r>
    </w:p>
    <w:p w14:paraId="7F3A861D" w14:textId="5D5B242D" w:rsidR="00DD1147" w:rsidRDefault="00DD1147" w:rsidP="00DD1147">
      <w:pPr>
        <w:spacing w:line="276" w:lineRule="auto"/>
        <w:rPr>
          <w:rFonts w:ascii="Arial" w:hAnsi="Arial" w:cs="Arial"/>
          <w:b/>
          <w:bCs/>
          <w:sz w:val="24"/>
          <w:szCs w:val="24"/>
          <w:lang w:val="en-US"/>
        </w:rPr>
      </w:pPr>
      <w:r>
        <w:rPr>
          <w:noProof/>
        </w:rPr>
        <w:lastRenderedPageBreak/>
        <w:drawing>
          <wp:anchor distT="0" distB="0" distL="114300" distR="114300" simplePos="0" relativeHeight="251659264" behindDoc="0" locked="0" layoutInCell="1" allowOverlap="1" wp14:anchorId="4DFD0565" wp14:editId="049370C1">
            <wp:simplePos x="0" y="0"/>
            <wp:positionH relativeFrom="column">
              <wp:posOffset>-4445</wp:posOffset>
            </wp:positionH>
            <wp:positionV relativeFrom="paragraph">
              <wp:posOffset>-24130</wp:posOffset>
            </wp:positionV>
            <wp:extent cx="3613785" cy="8229600"/>
            <wp:effectExtent l="0" t="0" r="5715" b="0"/>
            <wp:wrapSquare wrapText="bothSides"/>
            <wp:docPr id="89331559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13785" cy="822960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bCs/>
          <w:sz w:val="24"/>
          <w:szCs w:val="24"/>
          <w:lang w:val="en-US"/>
        </w:rPr>
        <w:br w:type="page"/>
      </w:r>
    </w:p>
    <w:p w14:paraId="033811AE" w14:textId="77777777" w:rsidR="00DD1147" w:rsidRDefault="00DD1147" w:rsidP="00DD1147">
      <w:pPr>
        <w:spacing w:line="276" w:lineRule="auto"/>
        <w:jc w:val="both"/>
        <w:rPr>
          <w:rFonts w:ascii="Arial" w:hAnsi="Arial" w:cs="Arial"/>
          <w:sz w:val="24"/>
          <w:szCs w:val="24"/>
          <w:lang w:val="en-US"/>
        </w:rPr>
      </w:pPr>
      <w:r w:rsidRPr="00D10F0F">
        <w:rPr>
          <w:rFonts w:ascii="Arial" w:hAnsi="Arial" w:cs="Arial"/>
          <w:b/>
          <w:sz w:val="24"/>
          <w:szCs w:val="24"/>
          <w:lang w:val="en-US"/>
        </w:rPr>
        <w:lastRenderedPageBreak/>
        <w:t xml:space="preserve">Extended data Fig. </w:t>
      </w:r>
      <w:r>
        <w:rPr>
          <w:rFonts w:ascii="Arial" w:hAnsi="Arial" w:cs="Arial"/>
          <w:b/>
          <w:sz w:val="24"/>
          <w:szCs w:val="24"/>
          <w:lang w:val="en-US"/>
        </w:rPr>
        <w:t>6</w:t>
      </w:r>
      <w:r w:rsidRPr="00D10F0F">
        <w:rPr>
          <w:rFonts w:ascii="Arial" w:hAnsi="Arial" w:cs="Arial"/>
          <w:b/>
          <w:sz w:val="24"/>
          <w:szCs w:val="24"/>
          <w:lang w:val="en-US"/>
        </w:rPr>
        <w:t xml:space="preserve"> | Methylated CpG-binding transcription factor modulate gene expression in a tissue- and context-dependent manner. a</w:t>
      </w:r>
      <w:r>
        <w:rPr>
          <w:rFonts w:ascii="Arial" w:hAnsi="Arial" w:cs="Arial"/>
          <w:sz w:val="24"/>
          <w:szCs w:val="24"/>
          <w:lang w:val="en-US"/>
        </w:rPr>
        <w:t xml:space="preserve">,  correlation matrix showing the correlation coefficient between all cg26509691-nearby genes and all candidate transcription factors associated with probe-gene pairs in tumor samples. </w:t>
      </w:r>
      <w:r w:rsidRPr="00AD5391">
        <w:rPr>
          <w:rFonts w:ascii="Arial" w:hAnsi="Arial" w:cs="Arial"/>
          <w:b/>
          <w:sz w:val="24"/>
          <w:szCs w:val="24"/>
          <w:lang w:val="en-US"/>
        </w:rPr>
        <w:t>b</w:t>
      </w:r>
      <w:r>
        <w:rPr>
          <w:rFonts w:ascii="Arial" w:hAnsi="Arial" w:cs="Arial"/>
          <w:sz w:val="24"/>
          <w:szCs w:val="24"/>
          <w:lang w:val="en-US"/>
        </w:rPr>
        <w:t xml:space="preserve">, correlation matrix showing the correlation coefficient between all cg26509691-nearby genes and all candidate transcription factors associated with probe-gene pairs in non-tumor samples. Some transcription factors are unmatched between tumor and normal because of low or no expression. </w:t>
      </w:r>
      <w:r w:rsidRPr="00AD5391">
        <w:rPr>
          <w:rFonts w:ascii="Arial" w:hAnsi="Arial" w:cs="Arial"/>
          <w:b/>
          <w:sz w:val="24"/>
          <w:szCs w:val="24"/>
          <w:lang w:val="en-US"/>
        </w:rPr>
        <w:t>c</w:t>
      </w:r>
      <w:r>
        <w:rPr>
          <w:rFonts w:ascii="Arial" w:hAnsi="Arial" w:cs="Arial"/>
          <w:sz w:val="24"/>
          <w:szCs w:val="24"/>
          <w:lang w:val="en-US"/>
        </w:rPr>
        <w:t>, correlation matrix showing the correlation coefficient between selected cg26509691-nearby genes and all candidate transcription factors associated with probe-gene pairs in head and neck squamous cell carcinoma (HNSC), upper panel and in pancreatic ductal adenocarcinoma (PAAD), lower panel.</w:t>
      </w:r>
    </w:p>
    <w:p w14:paraId="190AFF87" w14:textId="77777777" w:rsidR="00DD1147" w:rsidRDefault="00DD1147" w:rsidP="00DD1147">
      <w:pPr>
        <w:spacing w:line="276" w:lineRule="auto"/>
        <w:rPr>
          <w:rFonts w:ascii="Arial" w:hAnsi="Arial" w:cs="Arial"/>
          <w:b/>
          <w:bCs/>
          <w:sz w:val="24"/>
          <w:szCs w:val="24"/>
          <w:lang w:val="en-US"/>
        </w:rPr>
      </w:pPr>
    </w:p>
    <w:p w14:paraId="55F9A42D" w14:textId="77777777" w:rsidR="00DD1147" w:rsidRDefault="00DD1147" w:rsidP="00DD1147">
      <w:pPr>
        <w:spacing w:line="276" w:lineRule="auto"/>
        <w:rPr>
          <w:rFonts w:ascii="Arial" w:hAnsi="Arial" w:cs="Arial"/>
          <w:b/>
          <w:bCs/>
          <w:sz w:val="24"/>
          <w:szCs w:val="24"/>
          <w:lang w:val="en-US"/>
        </w:rPr>
      </w:pPr>
    </w:p>
    <w:p w14:paraId="651C43CA" w14:textId="7109D0ED" w:rsidR="00DD1147" w:rsidRDefault="00DD1147" w:rsidP="00DD1147">
      <w:pPr>
        <w:spacing w:line="276" w:lineRule="auto"/>
        <w:rPr>
          <w:rFonts w:ascii="Arial" w:hAnsi="Arial" w:cs="Arial"/>
          <w:b/>
          <w:bCs/>
          <w:sz w:val="24"/>
          <w:szCs w:val="24"/>
          <w:lang w:val="en-US"/>
        </w:rPr>
      </w:pPr>
      <w:r>
        <w:rPr>
          <w:rFonts w:ascii="Arial" w:hAnsi="Arial" w:cs="Arial"/>
          <w:b/>
          <w:bCs/>
          <w:noProof/>
          <w:sz w:val="24"/>
          <w:szCs w:val="24"/>
          <w:lang w:val="en-US"/>
        </w:rPr>
        <w:drawing>
          <wp:inline distT="0" distB="0" distL="0" distR="0" wp14:anchorId="1D202C0D" wp14:editId="0E6645E1">
            <wp:extent cx="4886325" cy="1724025"/>
            <wp:effectExtent l="0" t="0" r="9525" b="9525"/>
            <wp:docPr id="14818181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86325" cy="1724025"/>
                    </a:xfrm>
                    <a:prstGeom prst="rect">
                      <a:avLst/>
                    </a:prstGeom>
                    <a:noFill/>
                    <a:ln>
                      <a:noFill/>
                    </a:ln>
                  </pic:spPr>
                </pic:pic>
              </a:graphicData>
            </a:graphic>
          </wp:inline>
        </w:drawing>
      </w:r>
    </w:p>
    <w:p w14:paraId="08617660" w14:textId="77777777" w:rsidR="00DD1147" w:rsidRDefault="00DD1147" w:rsidP="00DD1147">
      <w:pPr>
        <w:spacing w:line="276" w:lineRule="auto"/>
        <w:jc w:val="both"/>
        <w:rPr>
          <w:rFonts w:ascii="Arial" w:hAnsi="Arial" w:cs="Arial"/>
          <w:b/>
          <w:bCs/>
          <w:sz w:val="24"/>
          <w:szCs w:val="24"/>
          <w:lang w:val="en-US"/>
        </w:rPr>
      </w:pPr>
      <w:r w:rsidRPr="00AD5391">
        <w:rPr>
          <w:rFonts w:ascii="Arial" w:hAnsi="Arial" w:cs="Arial"/>
          <w:b/>
          <w:sz w:val="24"/>
          <w:szCs w:val="24"/>
          <w:lang w:val="en-US"/>
        </w:rPr>
        <w:t xml:space="preserve">Extended data Fig. </w:t>
      </w:r>
      <w:r>
        <w:rPr>
          <w:rFonts w:ascii="Arial" w:hAnsi="Arial" w:cs="Arial"/>
          <w:b/>
          <w:sz w:val="24"/>
          <w:szCs w:val="24"/>
          <w:lang w:val="en-US"/>
        </w:rPr>
        <w:t>7</w:t>
      </w:r>
      <w:r w:rsidRPr="00AD5391">
        <w:rPr>
          <w:rFonts w:ascii="Arial" w:hAnsi="Arial" w:cs="Arial"/>
          <w:b/>
          <w:sz w:val="24"/>
          <w:szCs w:val="24"/>
          <w:lang w:val="en-US"/>
        </w:rPr>
        <w:t xml:space="preserve"> | cancer overarching DNA methylation sites are prognostic</w:t>
      </w:r>
      <w:r>
        <w:rPr>
          <w:rFonts w:ascii="Arial" w:hAnsi="Arial" w:cs="Arial"/>
          <w:sz w:val="24"/>
          <w:szCs w:val="24"/>
          <w:lang w:val="en-US"/>
        </w:rPr>
        <w:t xml:space="preserve">. </w:t>
      </w:r>
      <w:r w:rsidRPr="00AD5391">
        <w:rPr>
          <w:rFonts w:ascii="Arial" w:hAnsi="Arial" w:cs="Arial"/>
          <w:b/>
          <w:sz w:val="24"/>
          <w:szCs w:val="24"/>
          <w:lang w:val="en-US"/>
        </w:rPr>
        <w:t>a</w:t>
      </w:r>
      <w:r>
        <w:rPr>
          <w:rFonts w:ascii="Arial" w:hAnsi="Arial" w:cs="Arial"/>
          <w:sz w:val="24"/>
          <w:szCs w:val="24"/>
          <w:lang w:val="en-US"/>
        </w:rPr>
        <w:t xml:space="preserve">, pan-cancer Kaplan-Meier overall survival curve showing the survival pattern of patients with high and low methylation profiles  for the differentially methylated CpG cg26104752 (left panel) and cg26509691 (right panel). Patient dichotomization was achieved by means of the survminer package for each methylation event. </w:t>
      </w:r>
      <w:r w:rsidRPr="00E82CD7">
        <w:rPr>
          <w:rFonts w:ascii="Arial" w:hAnsi="Arial" w:cs="Arial"/>
          <w:b/>
          <w:sz w:val="24"/>
          <w:szCs w:val="24"/>
          <w:lang w:val="en-US"/>
        </w:rPr>
        <w:t>b</w:t>
      </w:r>
      <w:r>
        <w:rPr>
          <w:rFonts w:ascii="Arial" w:hAnsi="Arial" w:cs="Arial"/>
          <w:sz w:val="24"/>
          <w:szCs w:val="24"/>
          <w:lang w:val="en-US"/>
        </w:rPr>
        <w:t xml:space="preserve">, heatmap showing the expression of protein-coding genes associated with the pan-cancer hypermethylated Cpg sites </w:t>
      </w:r>
      <w:r w:rsidRPr="00AD5391">
        <w:rPr>
          <w:rFonts w:ascii="Arial" w:hAnsi="Arial" w:cs="Arial"/>
          <w:sz w:val="24"/>
          <w:szCs w:val="24"/>
          <w:lang w:val="en-US"/>
        </w:rPr>
        <w:t>cg12018098</w:t>
      </w:r>
      <w:r>
        <w:rPr>
          <w:rFonts w:ascii="Arial" w:hAnsi="Arial" w:cs="Arial"/>
          <w:sz w:val="24"/>
          <w:szCs w:val="24"/>
          <w:lang w:val="en-US"/>
        </w:rPr>
        <w:t xml:space="preserve">, </w:t>
      </w:r>
      <w:r w:rsidRPr="00AD5391">
        <w:rPr>
          <w:rFonts w:ascii="Arial" w:hAnsi="Arial" w:cs="Arial"/>
          <w:sz w:val="24"/>
          <w:szCs w:val="24"/>
          <w:lang w:val="en-US"/>
        </w:rPr>
        <w:t>cg26104752</w:t>
      </w:r>
      <w:r>
        <w:rPr>
          <w:rFonts w:ascii="Arial" w:hAnsi="Arial" w:cs="Arial"/>
          <w:sz w:val="24"/>
          <w:szCs w:val="24"/>
          <w:lang w:val="en-US"/>
        </w:rPr>
        <w:t xml:space="preserve"> and cg26509691 in an independent pan-cancer gene expression cohort from GEPIA2 (</w:t>
      </w:r>
      <w:hyperlink r:id="rId11" w:anchor="index" w:history="1">
        <w:r w:rsidRPr="004D4586">
          <w:rPr>
            <w:rStyle w:val="Hyperlink"/>
            <w:rFonts w:ascii="Arial" w:hAnsi="Arial" w:cs="Arial"/>
            <w:sz w:val="24"/>
            <w:szCs w:val="24"/>
            <w:lang w:val="en-US"/>
          </w:rPr>
          <w:t>http://gepia2.cancer-pku.cn/#index</w:t>
        </w:r>
      </w:hyperlink>
      <w:r>
        <w:rPr>
          <w:rFonts w:ascii="Arial" w:hAnsi="Arial" w:cs="Arial"/>
          <w:sz w:val="24"/>
          <w:szCs w:val="24"/>
          <w:lang w:val="en-US"/>
        </w:rPr>
        <w:t>).</w:t>
      </w:r>
    </w:p>
    <w:p w14:paraId="0B080E81" w14:textId="77777777" w:rsidR="00755780" w:rsidRDefault="00755780"/>
    <w:sectPr w:rsidR="007557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147"/>
    <w:rsid w:val="00755780"/>
    <w:rsid w:val="00857596"/>
    <w:rsid w:val="00DD11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D557C"/>
  <w15:chartTrackingRefBased/>
  <w15:docId w15:val="{230A1C14-D640-4354-B682-B4969030C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147"/>
    <w:rPr>
      <w:kern w:val="0"/>
      <w:lang w:val="de-D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D114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hyperlink" Target="http://gepia2.cancer-pku.cn/" TargetMode="Externa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868</Words>
  <Characters>4953</Characters>
  <Application>Microsoft Office Word</Application>
  <DocSecurity>0</DocSecurity>
  <Lines>41</Lines>
  <Paragraphs>11</Paragraphs>
  <ScaleCrop>false</ScaleCrop>
  <Company>Springer Nature</Company>
  <LinksUpToDate>false</LinksUpToDate>
  <CharactersWithSpaces>5810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2023-12-15T04:35:00Z</dcterms:created>
  <dcterms:modified xsi:type="dcterms:W3CDTF">2023-12-15T04:36:00Z</dcterms:modified>
</cp:coreProperties>
</file>