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FA2FC" w14:textId="77777777" w:rsidR="005E7447" w:rsidRDefault="005E7447" w:rsidP="002B7317">
      <w:pPr>
        <w:spacing w:line="480" w:lineRule="auto"/>
        <w:rPr>
          <w:rFonts w:cstheme="minorHAnsi"/>
          <w:b/>
          <w:lang w:val="en-US"/>
        </w:rPr>
      </w:pPr>
      <w:r>
        <w:rPr>
          <w:rFonts w:cstheme="minorHAnsi"/>
          <w:b/>
          <w:lang w:val="en-US"/>
        </w:rPr>
        <w:t>SUPPLEMENTARY INFORMATION</w:t>
      </w:r>
    </w:p>
    <w:p w14:paraId="380FC814" w14:textId="6E76C9FB" w:rsidR="004B4EC1" w:rsidRDefault="009473DD" w:rsidP="002B7317">
      <w:pPr>
        <w:spacing w:line="480" w:lineRule="auto"/>
        <w:rPr>
          <w:rFonts w:cstheme="minorHAnsi"/>
          <w:b/>
          <w:lang w:val="en-US"/>
        </w:rPr>
      </w:pPr>
      <w:r>
        <w:rPr>
          <w:rFonts w:cstheme="minorHAnsi"/>
          <w:b/>
          <w:lang w:val="en-US"/>
        </w:rPr>
        <w:t>SUPPLEMENTARY METHODS</w:t>
      </w:r>
    </w:p>
    <w:p w14:paraId="6BBF81FF" w14:textId="77777777" w:rsidR="000F6784" w:rsidRPr="0052416F" w:rsidRDefault="000F6784" w:rsidP="000F6784">
      <w:pPr>
        <w:spacing w:line="480" w:lineRule="auto"/>
        <w:rPr>
          <w:rFonts w:cstheme="minorHAnsi"/>
          <w:b/>
        </w:rPr>
      </w:pPr>
      <w:r w:rsidRPr="0052416F">
        <w:rPr>
          <w:rFonts w:cstheme="minorHAnsi"/>
          <w:b/>
          <w:lang w:val="en-US"/>
        </w:rPr>
        <w:t xml:space="preserve">Gene expression microarray analysis of FFPE breast </w:t>
      </w:r>
      <w:r>
        <w:rPr>
          <w:rFonts w:cstheme="minorHAnsi"/>
          <w:b/>
          <w:lang w:val="en-US"/>
        </w:rPr>
        <w:t>tumor</w:t>
      </w:r>
      <w:r w:rsidRPr="0052416F">
        <w:rPr>
          <w:rFonts w:cstheme="minorHAnsi"/>
          <w:b/>
        </w:rPr>
        <w:t xml:space="preserve"> </w:t>
      </w:r>
      <w:proofErr w:type="spellStart"/>
      <w:r>
        <w:rPr>
          <w:rFonts w:cstheme="minorHAnsi"/>
          <w:b/>
        </w:rPr>
        <w:t>biopsies</w:t>
      </w:r>
      <w:proofErr w:type="spellEnd"/>
      <w:r w:rsidRPr="0052416F">
        <w:rPr>
          <w:rFonts w:cstheme="minorHAnsi"/>
          <w:b/>
        </w:rPr>
        <w:t xml:space="preserve">. </w:t>
      </w:r>
    </w:p>
    <w:p w14:paraId="2CEB0561" w14:textId="051A431A" w:rsidR="000F6784" w:rsidRDefault="000F6784" w:rsidP="000F6784">
      <w:pPr>
        <w:spacing w:line="480" w:lineRule="auto"/>
        <w:rPr>
          <w:rFonts w:eastAsia="Times New Roman" w:cstheme="minorHAnsi"/>
          <w:color w:val="000000" w:themeColor="text1"/>
          <w:lang w:val="en-US" w:eastAsia="es-ES"/>
        </w:rPr>
      </w:pPr>
      <w:r w:rsidRPr="0052416F">
        <w:rPr>
          <w:rFonts w:eastAsia="Times New Roman" w:cstheme="minorHAnsi"/>
          <w:color w:val="000000" w:themeColor="text1"/>
          <w:lang w:val="en-US" w:eastAsia="es-ES"/>
        </w:rPr>
        <w:t xml:space="preserve">Total RNA was isolated (RNeasy® Micro Kit, Qiagen) from 3 sequential, 10 µm thick, FFPE breast </w:t>
      </w:r>
      <w:r>
        <w:rPr>
          <w:rFonts w:eastAsia="Times New Roman" w:cstheme="minorHAnsi"/>
          <w:color w:val="000000" w:themeColor="text1"/>
          <w:lang w:val="en-US" w:eastAsia="es-ES"/>
        </w:rPr>
        <w:t>tumor</w:t>
      </w:r>
      <w:r w:rsidRPr="0052416F">
        <w:rPr>
          <w:rFonts w:eastAsia="Times New Roman" w:cstheme="minorHAnsi"/>
          <w:color w:val="000000" w:themeColor="text1"/>
          <w:lang w:val="en-US" w:eastAsia="es-ES"/>
        </w:rPr>
        <w:t xml:space="preserve"> sections from </w:t>
      </w:r>
      <w:r>
        <w:rPr>
          <w:rFonts w:eastAsia="Times New Roman" w:cstheme="minorHAnsi"/>
          <w:color w:val="000000" w:themeColor="text1"/>
          <w:lang w:val="en-US" w:eastAsia="es-ES"/>
        </w:rPr>
        <w:t>six</w:t>
      </w:r>
      <w:r w:rsidRPr="0052416F">
        <w:rPr>
          <w:rFonts w:eastAsia="Times New Roman" w:cstheme="minorHAnsi"/>
          <w:color w:val="000000" w:themeColor="text1"/>
          <w:lang w:val="en-US" w:eastAsia="es-ES"/>
        </w:rPr>
        <w:t xml:space="preserve"> TI-NK cell positive and </w:t>
      </w:r>
      <w:r>
        <w:rPr>
          <w:rFonts w:eastAsia="Times New Roman" w:cstheme="minorHAnsi"/>
          <w:color w:val="000000" w:themeColor="text1"/>
          <w:lang w:val="en-US" w:eastAsia="es-ES"/>
        </w:rPr>
        <w:t>six</w:t>
      </w:r>
      <w:r w:rsidRPr="0052416F">
        <w:rPr>
          <w:rFonts w:eastAsia="Times New Roman" w:cstheme="minorHAnsi"/>
          <w:color w:val="000000" w:themeColor="text1"/>
          <w:lang w:val="en-US" w:eastAsia="es-ES"/>
        </w:rPr>
        <w:t xml:space="preserve"> TI-NK cell negative biopsies. Amplification, labelling, and hybridization </w:t>
      </w:r>
      <w:r>
        <w:rPr>
          <w:rFonts w:eastAsia="Times New Roman" w:cstheme="minorHAnsi"/>
          <w:color w:val="000000" w:themeColor="text1"/>
          <w:lang w:val="en-US" w:eastAsia="es-ES"/>
        </w:rPr>
        <w:t>were</w:t>
      </w:r>
      <w:r w:rsidRPr="0052416F">
        <w:rPr>
          <w:rFonts w:eastAsia="Times New Roman" w:cstheme="minorHAnsi"/>
          <w:color w:val="000000" w:themeColor="text1"/>
          <w:lang w:val="en-US" w:eastAsia="es-ES"/>
        </w:rPr>
        <w:t xml:space="preserve"> performed according to</w:t>
      </w:r>
      <w:r>
        <w:rPr>
          <w:rFonts w:eastAsia="Times New Roman" w:cstheme="minorHAnsi"/>
          <w:color w:val="000000" w:themeColor="text1"/>
          <w:lang w:val="en-US" w:eastAsia="es-ES"/>
        </w:rPr>
        <w:t xml:space="preserve"> the</w:t>
      </w:r>
      <w:r w:rsidRPr="0052416F">
        <w:rPr>
          <w:rFonts w:eastAsia="Times New Roman" w:cstheme="minorHAnsi"/>
          <w:color w:val="000000" w:themeColor="text1"/>
          <w:lang w:val="en-US" w:eastAsia="es-ES"/>
        </w:rPr>
        <w:t xml:space="preserve"> protocol </w:t>
      </w:r>
      <w:proofErr w:type="spellStart"/>
      <w:r w:rsidRPr="0052416F">
        <w:rPr>
          <w:rFonts w:eastAsia="Times New Roman" w:cstheme="minorHAnsi"/>
          <w:color w:val="000000" w:themeColor="text1"/>
          <w:lang w:val="en-US" w:eastAsia="es-ES"/>
        </w:rPr>
        <w:t>GeneChip</w:t>
      </w:r>
      <w:proofErr w:type="spellEnd"/>
      <w:r w:rsidRPr="0052416F">
        <w:rPr>
          <w:rFonts w:eastAsia="Times New Roman" w:cstheme="minorHAnsi"/>
          <w:color w:val="000000" w:themeColor="text1"/>
          <w:lang w:val="en-US" w:eastAsia="es-ES"/>
        </w:rPr>
        <w:t xml:space="preserve"> WT PLUS Reagent kit (P/N 703174 2017) and hybridized to </w:t>
      </w:r>
      <w:r>
        <w:rPr>
          <w:rFonts w:eastAsia="Times New Roman" w:cstheme="minorHAnsi"/>
          <w:color w:val="000000" w:themeColor="text1"/>
          <w:lang w:val="en-US" w:eastAsia="es-ES"/>
        </w:rPr>
        <w:t xml:space="preserve">the </w:t>
      </w:r>
      <w:r w:rsidRPr="0052416F">
        <w:rPr>
          <w:rFonts w:eastAsia="Times New Roman" w:cstheme="minorHAnsi"/>
          <w:color w:val="000000" w:themeColor="text1"/>
          <w:lang w:val="en-US" w:eastAsia="es-ES"/>
        </w:rPr>
        <w:t xml:space="preserve">Human </w:t>
      </w:r>
      <w:proofErr w:type="spellStart"/>
      <w:r w:rsidRPr="0052416F">
        <w:rPr>
          <w:rFonts w:eastAsia="Times New Roman" w:cstheme="minorHAnsi"/>
          <w:color w:val="000000" w:themeColor="text1"/>
          <w:lang w:val="en-US" w:eastAsia="es-ES"/>
        </w:rPr>
        <w:t>Clariom</w:t>
      </w:r>
      <w:proofErr w:type="spellEnd"/>
      <w:r w:rsidRPr="0052416F">
        <w:rPr>
          <w:rFonts w:eastAsia="Times New Roman" w:cstheme="minorHAnsi"/>
          <w:color w:val="000000" w:themeColor="text1"/>
          <w:lang w:val="en-US" w:eastAsia="es-ES"/>
        </w:rPr>
        <w:t xml:space="preserve"> S Array (Thermo Fisher Scientific)</w:t>
      </w:r>
      <w:r>
        <w:rPr>
          <w:rFonts w:eastAsia="Times New Roman" w:cstheme="minorHAnsi"/>
          <w:color w:val="000000" w:themeColor="text1"/>
          <w:lang w:val="en-US" w:eastAsia="es-ES"/>
        </w:rPr>
        <w:t xml:space="preserve">. </w:t>
      </w:r>
      <w:r w:rsidRPr="0052416F">
        <w:rPr>
          <w:rFonts w:eastAsia="Times New Roman" w:cstheme="minorHAnsi"/>
          <w:color w:val="000000" w:themeColor="text1"/>
          <w:lang w:val="en-US" w:eastAsia="es-ES"/>
        </w:rPr>
        <w:t xml:space="preserve">For analysis, R programming (Version 3.4.3) Bioconductor and the Comprehensive R Archive Network (CRAN 2017) packages were used. Samples were background corrected, quantile-normalized and summarized to a gene-level using the robust multi-chip average (RMA). An empirical Bayes moderated t-statistics model (LIMMA) </w:t>
      </w:r>
      <w:r>
        <w:rPr>
          <w:rFonts w:eastAsia="Times New Roman" w:cstheme="minorHAnsi"/>
          <w:color w:val="000000" w:themeColor="text1"/>
          <w:lang w:val="en-US" w:eastAsia="es-ES"/>
        </w:rPr>
        <w:t xml:space="preserve">adjusted by Estrogen Receptor status </w:t>
      </w:r>
      <w:r w:rsidRPr="0052416F">
        <w:rPr>
          <w:rFonts w:eastAsia="Times New Roman" w:cstheme="minorHAnsi"/>
          <w:color w:val="000000" w:themeColor="text1"/>
          <w:lang w:val="en-US" w:eastAsia="es-ES"/>
        </w:rPr>
        <w:t>was built to detect differentially expressed genes with a p-value&lt;0.05 and a fold-change&gt;1.</w:t>
      </w:r>
      <w:r>
        <w:rPr>
          <w:rFonts w:eastAsia="Times New Roman" w:cstheme="minorHAnsi"/>
          <w:color w:val="000000" w:themeColor="text1"/>
          <w:lang w:val="en-US" w:eastAsia="es-ES"/>
        </w:rPr>
        <w:t>5</w:t>
      </w:r>
      <w:r w:rsidRPr="0052416F">
        <w:rPr>
          <w:rFonts w:eastAsia="Times New Roman" w:cstheme="minorHAnsi"/>
          <w:color w:val="000000" w:themeColor="text1"/>
          <w:lang w:val="en-US" w:eastAsia="es-ES"/>
        </w:rPr>
        <w:t xml:space="preserve">. Data represented in heatmaps was </w:t>
      </w:r>
      <w:r>
        <w:rPr>
          <w:rFonts w:eastAsia="Times New Roman" w:cstheme="minorHAnsi"/>
          <w:color w:val="000000" w:themeColor="text1"/>
          <w:lang w:val="en-US" w:eastAsia="es-ES"/>
        </w:rPr>
        <w:t>scaled by genes</w:t>
      </w:r>
      <w:r w:rsidRPr="0052416F">
        <w:rPr>
          <w:rFonts w:eastAsia="Times New Roman" w:cstheme="minorHAnsi"/>
          <w:color w:val="000000" w:themeColor="text1"/>
          <w:lang w:val="en-US" w:eastAsia="es-ES"/>
        </w:rPr>
        <w:t xml:space="preserve"> using the z-score normalization. </w:t>
      </w:r>
      <w:r>
        <w:rPr>
          <w:rFonts w:eastAsia="Times New Roman" w:cstheme="minorHAnsi"/>
          <w:color w:val="000000" w:themeColor="text1"/>
          <w:lang w:val="en-US" w:eastAsia="es-ES"/>
        </w:rPr>
        <w:t>Genes differentially expressed between</w:t>
      </w:r>
      <w:r w:rsidRPr="0052416F">
        <w:rPr>
          <w:rFonts w:eastAsia="Times New Roman" w:cstheme="minorHAnsi"/>
          <w:color w:val="000000" w:themeColor="text1"/>
          <w:lang w:val="en-US" w:eastAsia="es-ES"/>
        </w:rPr>
        <w:t xml:space="preserve"> TI-NK cell positive</w:t>
      </w:r>
      <w:r>
        <w:rPr>
          <w:rFonts w:eastAsia="Times New Roman" w:cstheme="minorHAnsi"/>
          <w:color w:val="000000" w:themeColor="text1"/>
          <w:lang w:val="en-US" w:eastAsia="es-ES"/>
        </w:rPr>
        <w:t xml:space="preserve"> and negative</w:t>
      </w:r>
      <w:r w:rsidRPr="0052416F">
        <w:rPr>
          <w:rFonts w:eastAsia="Times New Roman" w:cstheme="minorHAnsi"/>
          <w:color w:val="000000" w:themeColor="text1"/>
          <w:lang w:val="en-US" w:eastAsia="es-ES"/>
        </w:rPr>
        <w:t xml:space="preserve"> biopsies</w:t>
      </w:r>
      <w:r>
        <w:rPr>
          <w:rFonts w:eastAsia="Times New Roman" w:cstheme="minorHAnsi"/>
          <w:color w:val="000000" w:themeColor="text1"/>
          <w:lang w:val="en-US" w:eastAsia="es-ES"/>
        </w:rPr>
        <w:t xml:space="preserve"> were loaded into the Ingenuity Pathway Analysis (IPA) software to </w:t>
      </w:r>
      <w:proofErr w:type="spellStart"/>
      <w:r>
        <w:rPr>
          <w:rFonts w:eastAsia="Times New Roman" w:cstheme="minorHAnsi"/>
          <w:color w:val="000000" w:themeColor="text1"/>
          <w:lang w:val="en-US" w:eastAsia="es-ES"/>
        </w:rPr>
        <w:t>analyse</w:t>
      </w:r>
      <w:proofErr w:type="spellEnd"/>
      <w:r w:rsidRPr="0052416F">
        <w:rPr>
          <w:rFonts w:eastAsia="Times New Roman" w:cstheme="minorHAnsi"/>
          <w:color w:val="000000" w:themeColor="text1"/>
          <w:lang w:val="en-US" w:eastAsia="es-ES"/>
        </w:rPr>
        <w:t xml:space="preserve"> </w:t>
      </w:r>
      <w:r>
        <w:rPr>
          <w:rFonts w:eastAsia="Times New Roman" w:cstheme="minorHAnsi"/>
          <w:color w:val="000000" w:themeColor="text1"/>
          <w:lang w:val="en-US" w:eastAsia="es-ES"/>
        </w:rPr>
        <w:t xml:space="preserve">the </w:t>
      </w:r>
      <w:r w:rsidRPr="0052416F">
        <w:rPr>
          <w:rFonts w:eastAsia="Times New Roman" w:cstheme="minorHAnsi"/>
          <w:color w:val="000000" w:themeColor="text1"/>
          <w:lang w:val="en-US" w:eastAsia="es-ES"/>
        </w:rPr>
        <w:t>biological pathways</w:t>
      </w:r>
      <w:r>
        <w:rPr>
          <w:rFonts w:eastAsia="Times New Roman" w:cstheme="minorHAnsi"/>
          <w:color w:val="000000" w:themeColor="text1"/>
          <w:lang w:val="en-US" w:eastAsia="es-ES"/>
        </w:rPr>
        <w:t xml:space="preserve"> and networks</w:t>
      </w:r>
      <w:r w:rsidRPr="0052416F">
        <w:rPr>
          <w:rFonts w:eastAsia="Times New Roman" w:cstheme="minorHAnsi"/>
          <w:color w:val="000000" w:themeColor="text1"/>
          <w:lang w:val="en-US" w:eastAsia="es-ES"/>
        </w:rPr>
        <w:t xml:space="preserve"> </w:t>
      </w:r>
      <w:r>
        <w:rPr>
          <w:rFonts w:eastAsia="Times New Roman" w:cstheme="minorHAnsi"/>
          <w:color w:val="000000" w:themeColor="text1"/>
          <w:lang w:val="en-US" w:eastAsia="es-ES"/>
        </w:rPr>
        <w:t>modulated in</w:t>
      </w:r>
      <w:r w:rsidRPr="0052416F">
        <w:rPr>
          <w:rFonts w:eastAsia="Times New Roman" w:cstheme="minorHAnsi"/>
          <w:color w:val="000000" w:themeColor="text1"/>
          <w:lang w:val="en-US" w:eastAsia="es-ES"/>
        </w:rPr>
        <w:t xml:space="preserve"> </w:t>
      </w:r>
      <w:r>
        <w:rPr>
          <w:rFonts w:eastAsia="Times New Roman" w:cstheme="minorHAnsi"/>
          <w:color w:val="000000" w:themeColor="text1"/>
          <w:lang w:val="en-US" w:eastAsia="es-ES"/>
        </w:rPr>
        <w:t>TI-NK cell positive versus TI-NK cell negative tumors.</w:t>
      </w:r>
    </w:p>
    <w:p w14:paraId="492A9EEA" w14:textId="77777777" w:rsidR="00F04AF4" w:rsidRPr="0052416F" w:rsidRDefault="00F04AF4" w:rsidP="00F04AF4">
      <w:pPr>
        <w:spacing w:line="480" w:lineRule="auto"/>
        <w:rPr>
          <w:rFonts w:cstheme="minorHAnsi"/>
          <w:b/>
        </w:rPr>
      </w:pPr>
      <w:r w:rsidRPr="0052416F">
        <w:rPr>
          <w:rFonts w:cstheme="minorHAnsi"/>
          <w:b/>
        </w:rPr>
        <w:t xml:space="preserve">Cell </w:t>
      </w:r>
      <w:proofErr w:type="spellStart"/>
      <w:r w:rsidRPr="0052416F">
        <w:rPr>
          <w:rFonts w:cstheme="minorHAnsi"/>
          <w:b/>
        </w:rPr>
        <w:t>lines</w:t>
      </w:r>
      <w:proofErr w:type="spellEnd"/>
      <w:r w:rsidRPr="0052416F">
        <w:rPr>
          <w:rFonts w:cstheme="minorHAnsi"/>
          <w:b/>
        </w:rPr>
        <w:t xml:space="preserve"> </w:t>
      </w:r>
      <w:proofErr w:type="spellStart"/>
      <w:r w:rsidRPr="0052416F">
        <w:rPr>
          <w:rFonts w:cstheme="minorHAnsi"/>
          <w:b/>
        </w:rPr>
        <w:t>and</w:t>
      </w:r>
      <w:proofErr w:type="spellEnd"/>
      <w:r w:rsidRPr="0052416F">
        <w:rPr>
          <w:rFonts w:cstheme="minorHAnsi"/>
          <w:b/>
        </w:rPr>
        <w:t xml:space="preserve"> </w:t>
      </w:r>
      <w:r w:rsidRPr="00E3255A">
        <w:rPr>
          <w:rFonts w:cstheme="minorHAnsi"/>
          <w:b/>
          <w:i/>
        </w:rPr>
        <w:t>in vitro</w:t>
      </w:r>
      <w:r w:rsidRPr="0052416F">
        <w:rPr>
          <w:rFonts w:cstheme="minorHAnsi"/>
          <w:b/>
        </w:rPr>
        <w:t xml:space="preserve"> ADCC </w:t>
      </w:r>
      <w:proofErr w:type="spellStart"/>
      <w:r w:rsidRPr="0052416F">
        <w:rPr>
          <w:rFonts w:cstheme="minorHAnsi"/>
          <w:b/>
        </w:rPr>
        <w:t>assays</w:t>
      </w:r>
      <w:proofErr w:type="spellEnd"/>
      <w:r w:rsidRPr="0052416F">
        <w:rPr>
          <w:rFonts w:cstheme="minorHAnsi"/>
          <w:b/>
        </w:rPr>
        <w:t xml:space="preserve"> </w:t>
      </w:r>
      <w:proofErr w:type="spellStart"/>
      <w:r>
        <w:rPr>
          <w:rFonts w:cstheme="minorHAnsi"/>
          <w:b/>
        </w:rPr>
        <w:t>with</w:t>
      </w:r>
      <w:proofErr w:type="spellEnd"/>
      <w:r>
        <w:rPr>
          <w:rFonts w:cstheme="minorHAnsi"/>
          <w:b/>
        </w:rPr>
        <w:t xml:space="preserve"> </w:t>
      </w:r>
      <w:proofErr w:type="spellStart"/>
      <w:r>
        <w:rPr>
          <w:rFonts w:cstheme="minorHAnsi"/>
          <w:b/>
        </w:rPr>
        <w:t>purified</w:t>
      </w:r>
      <w:proofErr w:type="spellEnd"/>
      <w:r>
        <w:rPr>
          <w:rFonts w:cstheme="minorHAnsi"/>
          <w:b/>
        </w:rPr>
        <w:t xml:space="preserve"> NK cells.</w:t>
      </w:r>
    </w:p>
    <w:p w14:paraId="63EEC0AF" w14:textId="77777777" w:rsidR="00F04AF4" w:rsidRDefault="00F04AF4" w:rsidP="00F04AF4">
      <w:pPr>
        <w:spacing w:line="480" w:lineRule="auto"/>
        <w:rPr>
          <w:rFonts w:eastAsia="Times New Roman" w:cstheme="minorHAnsi"/>
          <w:color w:val="222222"/>
          <w:lang w:val="en-US" w:eastAsia="es-ES"/>
        </w:rPr>
      </w:pPr>
      <w:r w:rsidRPr="0052416F">
        <w:rPr>
          <w:rFonts w:eastAsia="Times New Roman" w:cstheme="minorHAnsi"/>
          <w:color w:val="222222"/>
          <w:lang w:val="en-US" w:eastAsia="es-ES"/>
        </w:rPr>
        <w:t>Human HER2</w:t>
      </w:r>
      <w:r>
        <w:rPr>
          <w:rFonts w:eastAsia="Times New Roman" w:cstheme="minorHAnsi"/>
          <w:color w:val="222222"/>
          <w:lang w:val="en-US" w:eastAsia="es-ES"/>
        </w:rPr>
        <w:t>-positive</w:t>
      </w:r>
      <w:r w:rsidRPr="0052416F">
        <w:rPr>
          <w:rFonts w:eastAsia="Times New Roman" w:cstheme="minorHAnsi"/>
          <w:color w:val="222222"/>
          <w:lang w:val="en-US" w:eastAsia="es-ES"/>
        </w:rPr>
        <w:t xml:space="preserve"> breast cancer cell lines SKBR3</w:t>
      </w:r>
      <w:r>
        <w:rPr>
          <w:rFonts w:eastAsia="Times New Roman" w:cstheme="minorHAnsi"/>
          <w:color w:val="222222"/>
          <w:lang w:val="en-US" w:eastAsia="es-ES"/>
        </w:rPr>
        <w:t xml:space="preserve"> and BT474 </w:t>
      </w:r>
      <w:r w:rsidRPr="0052416F">
        <w:rPr>
          <w:rFonts w:eastAsia="Times New Roman" w:cstheme="minorHAnsi"/>
          <w:color w:val="222222"/>
          <w:lang w:val="en-US" w:eastAsia="es-ES"/>
        </w:rPr>
        <w:t>were grown in complete DMEM/F-12 medium (</w:t>
      </w:r>
      <w:r>
        <w:rPr>
          <w:rFonts w:eastAsia="Times New Roman" w:cstheme="minorHAnsi"/>
          <w:color w:val="222222"/>
          <w:lang w:val="en-US" w:eastAsia="es-ES"/>
        </w:rPr>
        <w:t xml:space="preserve">D6421, </w:t>
      </w:r>
      <w:r w:rsidRPr="0052416F">
        <w:rPr>
          <w:rFonts w:eastAsia="Times New Roman" w:cstheme="minorHAnsi"/>
          <w:color w:val="222222"/>
          <w:lang w:val="en-US" w:eastAsia="es-ES"/>
        </w:rPr>
        <w:t>Sigma-Aldrich) supplemented with L-glutamine (0.5 mM,</w:t>
      </w:r>
      <w:r>
        <w:rPr>
          <w:rFonts w:eastAsia="Times New Roman" w:cstheme="minorHAnsi"/>
          <w:color w:val="222222"/>
          <w:lang w:val="en-US" w:eastAsia="es-ES"/>
        </w:rPr>
        <w:t xml:space="preserve"> 25030-081,</w:t>
      </w:r>
      <w:r w:rsidRPr="0052416F">
        <w:rPr>
          <w:rFonts w:eastAsia="Times New Roman" w:cstheme="minorHAnsi"/>
          <w:color w:val="222222"/>
          <w:lang w:val="en-US" w:eastAsia="es-ES"/>
        </w:rPr>
        <w:t xml:space="preserve"> Gibco)</w:t>
      </w:r>
      <w:r>
        <w:rPr>
          <w:rFonts w:eastAsia="Times New Roman" w:cstheme="minorHAnsi"/>
          <w:color w:val="222222"/>
          <w:lang w:val="en-US" w:eastAsia="es-ES"/>
        </w:rPr>
        <w:t xml:space="preserve">, </w:t>
      </w:r>
      <w:r w:rsidRPr="000562A5">
        <w:rPr>
          <w:rFonts w:eastAsia="Times New Roman" w:cstheme="minorHAnsi"/>
          <w:color w:val="222222"/>
          <w:lang w:val="en-US" w:eastAsia="es-ES"/>
        </w:rPr>
        <w:t xml:space="preserve">penicillin/streptomycin (100 U/ml and 100 </w:t>
      </w:r>
      <w:proofErr w:type="spellStart"/>
      <w:r w:rsidRPr="000562A5">
        <w:rPr>
          <w:rFonts w:eastAsia="Times New Roman" w:cstheme="minorHAnsi"/>
          <w:color w:val="222222"/>
          <w:lang w:val="en-US" w:eastAsia="es-ES"/>
        </w:rPr>
        <w:t>μg</w:t>
      </w:r>
      <w:proofErr w:type="spellEnd"/>
      <w:r w:rsidRPr="000562A5">
        <w:rPr>
          <w:rFonts w:eastAsia="Times New Roman" w:cstheme="minorHAnsi"/>
          <w:color w:val="222222"/>
          <w:lang w:val="en-US" w:eastAsia="es-ES"/>
        </w:rPr>
        <w:t xml:space="preserve">/ml, respectively, </w:t>
      </w:r>
      <w:r>
        <w:rPr>
          <w:rFonts w:eastAsia="Times New Roman" w:cstheme="minorHAnsi"/>
          <w:color w:val="222222"/>
          <w:lang w:val="en-US" w:eastAsia="es-ES"/>
        </w:rPr>
        <w:t>Gibco</w:t>
      </w:r>
      <w:r w:rsidRPr="000562A5">
        <w:rPr>
          <w:rFonts w:eastAsia="Times New Roman" w:cstheme="minorHAnsi"/>
          <w:color w:val="222222"/>
          <w:lang w:val="en-US" w:eastAsia="es-ES"/>
        </w:rPr>
        <w:t>), sodium pyruvate (1 mM, Gibco), 10% FBS (</w:t>
      </w:r>
      <w:r>
        <w:rPr>
          <w:rFonts w:ascii="Calibri" w:hAnsi="Calibri" w:cs="Calibri"/>
          <w:color w:val="000000"/>
          <w:shd w:val="clear" w:color="auto" w:fill="FFFFFF"/>
        </w:rPr>
        <w:t xml:space="preserve">10270106, </w:t>
      </w:r>
      <w:r w:rsidRPr="000562A5">
        <w:rPr>
          <w:rFonts w:eastAsia="Times New Roman" w:cstheme="minorHAnsi"/>
          <w:color w:val="222222"/>
          <w:lang w:val="en-US" w:eastAsia="es-ES"/>
        </w:rPr>
        <w:t>Gibco)</w:t>
      </w:r>
      <w:r w:rsidRPr="0052416F">
        <w:rPr>
          <w:rFonts w:eastAsia="Times New Roman" w:cstheme="minorHAnsi"/>
          <w:color w:val="222222"/>
          <w:lang w:val="en-US" w:eastAsia="es-ES"/>
        </w:rPr>
        <w:t xml:space="preserve"> and HC</w:t>
      </w:r>
      <w:r>
        <w:rPr>
          <w:rFonts w:eastAsia="Times New Roman" w:cstheme="minorHAnsi"/>
          <w:color w:val="222222"/>
          <w:lang w:val="en-US" w:eastAsia="es-ES"/>
        </w:rPr>
        <w:t>C</w:t>
      </w:r>
      <w:r w:rsidRPr="0052416F">
        <w:rPr>
          <w:rFonts w:eastAsia="Times New Roman" w:cstheme="minorHAnsi"/>
          <w:color w:val="222222"/>
          <w:lang w:val="en-US" w:eastAsia="es-ES"/>
        </w:rPr>
        <w:t xml:space="preserve">1954 </w:t>
      </w:r>
      <w:r>
        <w:rPr>
          <w:rFonts w:eastAsia="Times New Roman" w:cstheme="minorHAnsi"/>
          <w:color w:val="222222"/>
          <w:lang w:val="en-US" w:eastAsia="es-ES"/>
        </w:rPr>
        <w:t>cells were</w:t>
      </w:r>
      <w:r w:rsidRPr="0052416F">
        <w:rPr>
          <w:rFonts w:eastAsia="Times New Roman" w:cstheme="minorHAnsi"/>
          <w:color w:val="222222"/>
          <w:lang w:val="en-US" w:eastAsia="es-ES"/>
        </w:rPr>
        <w:t xml:space="preserve"> grown in complete </w:t>
      </w:r>
      <w:r>
        <w:rPr>
          <w:rFonts w:eastAsia="Times New Roman" w:cstheme="minorHAnsi"/>
          <w:color w:val="222222"/>
          <w:lang w:val="en-US" w:eastAsia="es-ES"/>
        </w:rPr>
        <w:t xml:space="preserve">RPMI 1640 </w:t>
      </w:r>
      <w:proofErr w:type="spellStart"/>
      <w:r>
        <w:rPr>
          <w:rFonts w:eastAsia="Times New Roman" w:cstheme="minorHAnsi"/>
          <w:color w:val="222222"/>
          <w:lang w:val="en-US" w:eastAsia="es-ES"/>
        </w:rPr>
        <w:t>Glutamax</w:t>
      </w:r>
      <w:proofErr w:type="spellEnd"/>
      <w:r w:rsidRPr="0052416F">
        <w:rPr>
          <w:rFonts w:eastAsia="Times New Roman" w:cstheme="minorHAnsi"/>
          <w:color w:val="222222"/>
          <w:lang w:val="en-US" w:eastAsia="es-ES"/>
        </w:rPr>
        <w:t xml:space="preserve"> medium (</w:t>
      </w:r>
      <w:r w:rsidRPr="007C129B">
        <w:rPr>
          <w:rFonts w:eastAsia="Times New Roman" w:cstheme="minorHAnsi"/>
          <w:color w:val="222222"/>
          <w:lang w:eastAsia="es-ES"/>
        </w:rPr>
        <w:t>72400-021</w:t>
      </w:r>
      <w:r>
        <w:rPr>
          <w:rFonts w:eastAsia="Times New Roman" w:cstheme="minorHAnsi"/>
          <w:color w:val="222222"/>
          <w:lang w:eastAsia="es-ES"/>
        </w:rPr>
        <w:t xml:space="preserve">, </w:t>
      </w:r>
      <w:r>
        <w:rPr>
          <w:rFonts w:eastAsia="Times New Roman" w:cstheme="minorHAnsi"/>
          <w:color w:val="222222"/>
          <w:lang w:val="en-US" w:eastAsia="es-ES"/>
        </w:rPr>
        <w:t>Gibco</w:t>
      </w:r>
      <w:r w:rsidRPr="0052416F">
        <w:rPr>
          <w:rFonts w:eastAsia="Times New Roman" w:cstheme="minorHAnsi"/>
          <w:color w:val="222222"/>
          <w:lang w:val="en-US" w:eastAsia="es-ES"/>
        </w:rPr>
        <w:t>)</w:t>
      </w:r>
      <w:r>
        <w:rPr>
          <w:rFonts w:eastAsia="Times New Roman" w:cstheme="minorHAnsi"/>
          <w:color w:val="222222"/>
          <w:lang w:val="en-US" w:eastAsia="es-ES"/>
        </w:rPr>
        <w:t>.</w:t>
      </w:r>
      <w:r w:rsidRPr="0052416F">
        <w:rPr>
          <w:rFonts w:eastAsia="Times New Roman" w:cstheme="minorHAnsi"/>
          <w:color w:val="222222"/>
          <w:lang w:val="en-US" w:eastAsia="es-ES"/>
        </w:rPr>
        <w:t xml:space="preserve"> </w:t>
      </w:r>
      <w:r>
        <w:rPr>
          <w:rFonts w:eastAsia="Times New Roman" w:cstheme="minorHAnsi"/>
          <w:color w:val="222222"/>
          <w:lang w:val="en-US" w:eastAsia="es-ES"/>
        </w:rPr>
        <w:t>Purified</w:t>
      </w:r>
      <w:r w:rsidRPr="0052416F">
        <w:rPr>
          <w:rFonts w:eastAsia="Times New Roman" w:cstheme="minorHAnsi"/>
          <w:color w:val="222222"/>
          <w:lang w:val="en-US" w:eastAsia="es-ES"/>
        </w:rPr>
        <w:t xml:space="preserve"> NK cells were cultured in the presence of </w:t>
      </w:r>
      <w:r>
        <w:rPr>
          <w:rFonts w:eastAsia="Times New Roman" w:cstheme="minorHAnsi"/>
          <w:color w:val="222222"/>
          <w:lang w:val="en-US" w:eastAsia="es-ES"/>
        </w:rPr>
        <w:t>breast cancer</w:t>
      </w:r>
      <w:r w:rsidRPr="0052416F">
        <w:rPr>
          <w:rFonts w:eastAsia="Times New Roman" w:cstheme="minorHAnsi"/>
          <w:color w:val="222222"/>
          <w:lang w:val="en-US" w:eastAsia="es-ES"/>
        </w:rPr>
        <w:t xml:space="preserve"> cells at </w:t>
      </w:r>
      <w:r>
        <w:rPr>
          <w:rFonts w:eastAsia="Times New Roman" w:cstheme="minorHAnsi"/>
          <w:color w:val="222222"/>
          <w:lang w:val="en-US" w:eastAsia="es-ES"/>
        </w:rPr>
        <w:t>1</w:t>
      </w:r>
      <w:r w:rsidRPr="0052416F">
        <w:rPr>
          <w:rFonts w:eastAsia="Times New Roman" w:cstheme="minorHAnsi"/>
          <w:color w:val="222222"/>
          <w:lang w:val="en-US" w:eastAsia="es-ES"/>
        </w:rPr>
        <w:t xml:space="preserve">:1 </w:t>
      </w:r>
      <w:proofErr w:type="spellStart"/>
      <w:proofErr w:type="gramStart"/>
      <w:r w:rsidRPr="0052416F">
        <w:rPr>
          <w:rFonts w:eastAsia="Times New Roman" w:cstheme="minorHAnsi"/>
          <w:color w:val="222222"/>
          <w:lang w:val="en-US" w:eastAsia="es-ES"/>
        </w:rPr>
        <w:t>effector:target</w:t>
      </w:r>
      <w:proofErr w:type="spellEnd"/>
      <w:proofErr w:type="gramEnd"/>
      <w:r w:rsidRPr="0052416F">
        <w:rPr>
          <w:rFonts w:eastAsia="Times New Roman" w:cstheme="minorHAnsi"/>
          <w:color w:val="222222"/>
          <w:lang w:val="en-US" w:eastAsia="es-ES"/>
        </w:rPr>
        <w:t xml:space="preserve"> (E:T) ratio and  trastuzumab (210ng/ml) for 24</w:t>
      </w:r>
      <w:r>
        <w:rPr>
          <w:rFonts w:eastAsia="Times New Roman" w:cstheme="minorHAnsi"/>
          <w:color w:val="222222"/>
          <w:lang w:val="en-US" w:eastAsia="es-ES"/>
        </w:rPr>
        <w:t xml:space="preserve"> hours</w:t>
      </w:r>
      <w:r w:rsidRPr="0052416F">
        <w:rPr>
          <w:rFonts w:eastAsia="Times New Roman" w:cstheme="minorHAnsi"/>
          <w:color w:val="222222"/>
          <w:lang w:val="en-US" w:eastAsia="es-ES"/>
        </w:rPr>
        <w:t xml:space="preserve">. At the end of culture, cell-free culture supernatants were collected </w:t>
      </w:r>
      <w:r w:rsidRPr="0052416F">
        <w:rPr>
          <w:rFonts w:eastAsia="Times New Roman" w:cstheme="minorHAnsi"/>
          <w:color w:val="222222"/>
          <w:lang w:val="en-US" w:eastAsia="es-ES"/>
        </w:rPr>
        <w:lastRenderedPageBreak/>
        <w:t>for cytokine/chemokine determination</w:t>
      </w:r>
      <w:r>
        <w:rPr>
          <w:rFonts w:eastAsia="Times New Roman" w:cstheme="minorHAnsi"/>
          <w:color w:val="222222"/>
          <w:lang w:val="en-US" w:eastAsia="es-ES"/>
        </w:rPr>
        <w:t xml:space="preserve">. </w:t>
      </w:r>
      <w:r w:rsidRPr="0052416F">
        <w:rPr>
          <w:rFonts w:eastAsia="Times New Roman" w:cstheme="minorHAnsi"/>
          <w:color w:val="222222"/>
          <w:lang w:val="en-US" w:eastAsia="es-ES"/>
        </w:rPr>
        <w:t xml:space="preserve">Anti-IFNAR </w:t>
      </w:r>
      <w:proofErr w:type="spellStart"/>
      <w:r w:rsidRPr="0052416F">
        <w:rPr>
          <w:rFonts w:eastAsia="Times New Roman" w:cstheme="minorHAnsi"/>
          <w:color w:val="222222"/>
          <w:lang w:val="en-US" w:eastAsia="es-ES"/>
        </w:rPr>
        <w:t>mAb</w:t>
      </w:r>
      <w:proofErr w:type="spellEnd"/>
      <w:r w:rsidRPr="0052416F">
        <w:rPr>
          <w:rFonts w:eastAsia="Times New Roman" w:cstheme="minorHAnsi"/>
          <w:color w:val="222222"/>
          <w:lang w:val="en-US" w:eastAsia="es-ES"/>
        </w:rPr>
        <w:t xml:space="preserve"> (</w:t>
      </w:r>
      <w:r>
        <w:rPr>
          <w:rFonts w:eastAsia="Times New Roman" w:cstheme="minorHAnsi"/>
          <w:color w:val="222222"/>
          <w:lang w:val="en-US" w:eastAsia="es-ES"/>
        </w:rPr>
        <w:t xml:space="preserve">5 µg/ml, 407296, </w:t>
      </w:r>
      <w:proofErr w:type="spellStart"/>
      <w:r>
        <w:rPr>
          <w:rFonts w:eastAsia="Times New Roman" w:cstheme="minorHAnsi"/>
          <w:color w:val="222222"/>
          <w:lang w:val="en-US" w:eastAsia="es-ES"/>
        </w:rPr>
        <w:t>Calbiochem</w:t>
      </w:r>
      <w:proofErr w:type="spellEnd"/>
      <w:r w:rsidRPr="0052416F">
        <w:rPr>
          <w:rFonts w:eastAsia="Times New Roman" w:cstheme="minorHAnsi"/>
          <w:color w:val="222222"/>
          <w:lang w:val="en-US" w:eastAsia="es-ES"/>
        </w:rPr>
        <w:t>), anti-</w:t>
      </w:r>
      <w:proofErr w:type="spellStart"/>
      <w:r w:rsidRPr="0052416F">
        <w:rPr>
          <w:rFonts w:eastAsia="Times New Roman" w:cstheme="minorHAnsi"/>
          <w:color w:val="222222"/>
          <w:lang w:val="en-US" w:eastAsia="es-ES"/>
        </w:rPr>
        <w:t>IFN</w:t>
      </w:r>
      <w:r>
        <w:rPr>
          <w:rFonts w:eastAsia="Times New Roman" w:cstheme="minorHAnsi"/>
          <w:color w:val="222222"/>
          <w:lang w:val="en-US" w:eastAsia="es-ES"/>
        </w:rPr>
        <w:t>ɣ</w:t>
      </w:r>
      <w:proofErr w:type="spellEnd"/>
      <w:r w:rsidRPr="0052416F">
        <w:rPr>
          <w:rFonts w:eastAsia="Times New Roman" w:cstheme="minorHAnsi"/>
          <w:color w:val="222222"/>
          <w:lang w:val="en-US" w:eastAsia="es-ES"/>
        </w:rPr>
        <w:t xml:space="preserve"> </w:t>
      </w:r>
      <w:proofErr w:type="spellStart"/>
      <w:r w:rsidRPr="0052416F">
        <w:rPr>
          <w:rFonts w:eastAsia="Times New Roman" w:cstheme="minorHAnsi"/>
          <w:color w:val="222222"/>
          <w:lang w:val="en-US" w:eastAsia="es-ES"/>
        </w:rPr>
        <w:t>mAb</w:t>
      </w:r>
      <w:proofErr w:type="spellEnd"/>
      <w:r w:rsidRPr="004E2D1F">
        <w:rPr>
          <w:rFonts w:eastAsia="Times New Roman" w:cstheme="minorHAnsi"/>
          <w:lang w:val="en-US" w:eastAsia="es-ES"/>
        </w:rPr>
        <w:t xml:space="preserve"> (</w:t>
      </w:r>
      <w:r>
        <w:rPr>
          <w:rFonts w:eastAsia="Times New Roman" w:cstheme="minorHAnsi"/>
          <w:color w:val="222222"/>
          <w:lang w:val="en-US" w:eastAsia="es-ES"/>
        </w:rPr>
        <w:t>5 µg/ml, 14-7318-81, Invitrogen</w:t>
      </w:r>
      <w:r w:rsidRPr="0052416F">
        <w:rPr>
          <w:rFonts w:eastAsia="Times New Roman" w:cstheme="minorHAnsi"/>
          <w:color w:val="222222"/>
          <w:lang w:val="en-US" w:eastAsia="es-ES"/>
        </w:rPr>
        <w:t>), anti-TNF</w:t>
      </w:r>
      <w:r>
        <w:rPr>
          <w:rFonts w:eastAsia="Times New Roman" w:cstheme="minorHAnsi"/>
          <w:color w:val="222222"/>
          <w:lang w:val="en-US" w:eastAsia="es-ES"/>
        </w:rPr>
        <w:t>-α</w:t>
      </w:r>
      <w:r w:rsidRPr="0052416F">
        <w:rPr>
          <w:rFonts w:eastAsia="Times New Roman" w:cstheme="minorHAnsi"/>
          <w:color w:val="222222"/>
          <w:lang w:val="en-US" w:eastAsia="es-ES"/>
        </w:rPr>
        <w:t xml:space="preserve"> </w:t>
      </w:r>
      <w:proofErr w:type="spellStart"/>
      <w:r w:rsidRPr="0052416F">
        <w:rPr>
          <w:rFonts w:eastAsia="Times New Roman" w:cstheme="minorHAnsi"/>
          <w:color w:val="222222"/>
          <w:lang w:val="en-US" w:eastAsia="es-ES"/>
        </w:rPr>
        <w:t>mAb</w:t>
      </w:r>
      <w:proofErr w:type="spellEnd"/>
      <w:r w:rsidRPr="0052416F">
        <w:rPr>
          <w:rFonts w:eastAsia="Times New Roman" w:cstheme="minorHAnsi"/>
          <w:color w:val="222222"/>
          <w:lang w:val="en-US" w:eastAsia="es-ES"/>
        </w:rPr>
        <w:t xml:space="preserve"> (infliximab, </w:t>
      </w:r>
      <w:r w:rsidRPr="00E3255A">
        <w:rPr>
          <w:rFonts w:eastAsia="Times New Roman" w:cstheme="minorHAnsi"/>
          <w:color w:val="222222"/>
          <w:lang w:val="en-US" w:eastAsia="es-ES"/>
        </w:rPr>
        <w:t xml:space="preserve">50 </w:t>
      </w:r>
      <w:proofErr w:type="spellStart"/>
      <w:r w:rsidRPr="00E3255A">
        <w:rPr>
          <w:rFonts w:eastAsia="Times New Roman" w:cstheme="minorHAnsi"/>
          <w:color w:val="222222"/>
          <w:lang w:val="en-US" w:eastAsia="es-ES"/>
        </w:rPr>
        <w:t>μg</w:t>
      </w:r>
      <w:proofErr w:type="spellEnd"/>
      <w:r w:rsidRPr="00E3255A">
        <w:rPr>
          <w:rFonts w:eastAsia="Times New Roman" w:cstheme="minorHAnsi"/>
          <w:color w:val="222222"/>
          <w:lang w:val="en-US" w:eastAsia="es-ES"/>
        </w:rPr>
        <w:t>/ml, Remicade®, Janssen</w:t>
      </w:r>
      <w:r w:rsidRPr="0052416F">
        <w:rPr>
          <w:rFonts w:eastAsia="Times New Roman" w:cstheme="minorHAnsi"/>
          <w:color w:val="222222"/>
          <w:lang w:val="en-US" w:eastAsia="es-ES"/>
        </w:rPr>
        <w:t>) and their combinations were added along ADCC assays in blocking/neutralization experiments.</w:t>
      </w:r>
    </w:p>
    <w:p w14:paraId="1349539F" w14:textId="77777777" w:rsidR="000F6784" w:rsidRPr="00670CD4" w:rsidRDefault="000F6784" w:rsidP="000F6784">
      <w:pPr>
        <w:spacing w:line="480" w:lineRule="auto"/>
        <w:rPr>
          <w:rFonts w:eastAsia="Times New Roman" w:cstheme="minorHAnsi"/>
          <w:b/>
          <w:color w:val="222222"/>
          <w:lang w:val="en-US" w:eastAsia="es-ES"/>
        </w:rPr>
      </w:pPr>
      <w:r w:rsidRPr="00670CD4">
        <w:rPr>
          <w:rFonts w:eastAsia="Times New Roman" w:cstheme="minorHAnsi"/>
          <w:b/>
          <w:color w:val="222222"/>
          <w:lang w:val="en-US" w:eastAsia="es-ES"/>
        </w:rPr>
        <w:t xml:space="preserve">Human NK cell expansion for </w:t>
      </w:r>
      <w:r w:rsidRPr="00670CD4">
        <w:rPr>
          <w:rFonts w:eastAsia="Times New Roman" w:cstheme="minorHAnsi"/>
          <w:b/>
          <w:i/>
          <w:color w:val="222222"/>
          <w:lang w:val="en-US" w:eastAsia="es-ES"/>
        </w:rPr>
        <w:t>in vivo</w:t>
      </w:r>
      <w:r w:rsidRPr="00670CD4">
        <w:rPr>
          <w:rFonts w:eastAsia="Times New Roman" w:cstheme="minorHAnsi"/>
          <w:b/>
          <w:color w:val="222222"/>
          <w:lang w:val="en-US" w:eastAsia="es-ES"/>
        </w:rPr>
        <w:t xml:space="preserve"> ADCC model</w:t>
      </w:r>
    </w:p>
    <w:p w14:paraId="036C45D4" w14:textId="7E5E9CE4" w:rsidR="000F6784" w:rsidRPr="00670CD4" w:rsidRDefault="000F6784" w:rsidP="002B7317">
      <w:pPr>
        <w:spacing w:line="480" w:lineRule="auto"/>
        <w:rPr>
          <w:rFonts w:eastAsia="Times New Roman" w:cstheme="minorHAnsi"/>
          <w:color w:val="222222"/>
          <w:lang w:val="en-US" w:eastAsia="es-ES"/>
        </w:rPr>
      </w:pPr>
      <w:r w:rsidRPr="00670CD4">
        <w:rPr>
          <w:rFonts w:eastAsia="Times New Roman" w:cstheme="minorHAnsi"/>
          <w:color w:val="222222"/>
          <w:lang w:val="en-US" w:eastAsia="es-ES"/>
        </w:rPr>
        <w:t>PBMC were cocultured with irradiated (40Gy) 8866 B-LCL</w:t>
      </w:r>
      <w:r>
        <w:rPr>
          <w:rFonts w:eastAsia="Times New Roman" w:cstheme="minorHAnsi"/>
          <w:color w:val="222222"/>
          <w:lang w:val="en-US" w:eastAsia="es-ES"/>
        </w:rPr>
        <w:t xml:space="preserve"> feeder cells</w:t>
      </w:r>
      <w:r w:rsidRPr="00670CD4">
        <w:rPr>
          <w:rFonts w:eastAsia="Times New Roman" w:cstheme="minorHAnsi"/>
          <w:color w:val="222222"/>
          <w:lang w:val="en-US" w:eastAsia="es-ES"/>
        </w:rPr>
        <w:t xml:space="preserve"> at 3:1 ratio for 10-12 days. </w:t>
      </w:r>
      <w:r>
        <w:rPr>
          <w:rFonts w:eastAsia="Times New Roman" w:cstheme="minorHAnsi"/>
          <w:color w:val="222222"/>
          <w:lang w:val="en-US" w:eastAsia="es-ES"/>
        </w:rPr>
        <w:t>On</w:t>
      </w:r>
      <w:r w:rsidRPr="00670CD4">
        <w:rPr>
          <w:rFonts w:eastAsia="Times New Roman" w:cstheme="minorHAnsi"/>
          <w:color w:val="222222"/>
          <w:lang w:val="en-US" w:eastAsia="es-ES"/>
        </w:rPr>
        <w:t xml:space="preserve"> day 12 cells were cryopreserved until use. </w:t>
      </w:r>
      <w:r>
        <w:rPr>
          <w:rFonts w:eastAsia="Times New Roman" w:cstheme="minorHAnsi"/>
          <w:color w:val="222222"/>
          <w:lang w:val="en-US" w:eastAsia="es-ES"/>
        </w:rPr>
        <w:t xml:space="preserve">Prior to </w:t>
      </w:r>
      <w:proofErr w:type="spellStart"/>
      <w:r w:rsidRPr="00FC02E5">
        <w:rPr>
          <w:rFonts w:eastAsia="Times New Roman" w:cstheme="minorHAnsi"/>
          <w:color w:val="222222"/>
          <w:lang w:val="en-US" w:eastAsia="es-ES"/>
        </w:rPr>
        <w:t>intratumoral</w:t>
      </w:r>
      <w:proofErr w:type="spellEnd"/>
      <w:r w:rsidRPr="00FC02E5">
        <w:rPr>
          <w:rFonts w:eastAsia="Times New Roman" w:cstheme="minorHAnsi"/>
          <w:color w:val="222222"/>
          <w:lang w:val="en-US" w:eastAsia="es-ES"/>
        </w:rPr>
        <w:t xml:space="preserve"> injection.</w:t>
      </w:r>
      <w:r w:rsidRPr="00670CD4">
        <w:rPr>
          <w:rFonts w:eastAsia="Times New Roman" w:cstheme="minorHAnsi"/>
          <w:color w:val="222222"/>
          <w:lang w:val="en-US" w:eastAsia="es-ES"/>
        </w:rPr>
        <w:t xml:space="preserve">, expanded cells were </w:t>
      </w:r>
      <w:r>
        <w:rPr>
          <w:rFonts w:eastAsia="Times New Roman" w:cstheme="minorHAnsi"/>
          <w:color w:val="222222"/>
          <w:lang w:val="en-US" w:eastAsia="es-ES"/>
        </w:rPr>
        <w:t xml:space="preserve">thawed and </w:t>
      </w:r>
      <w:r w:rsidRPr="00670CD4">
        <w:rPr>
          <w:rFonts w:eastAsia="Times New Roman" w:cstheme="minorHAnsi"/>
          <w:color w:val="222222"/>
          <w:lang w:val="en-US" w:eastAsia="es-ES"/>
        </w:rPr>
        <w:t xml:space="preserve">cultured overnight </w:t>
      </w:r>
      <w:r>
        <w:rPr>
          <w:rFonts w:eastAsia="Times New Roman" w:cstheme="minorHAnsi"/>
          <w:color w:val="222222"/>
          <w:lang w:val="en-US" w:eastAsia="es-ES"/>
        </w:rPr>
        <w:t>in</w:t>
      </w:r>
      <w:r w:rsidRPr="00670CD4">
        <w:rPr>
          <w:rFonts w:eastAsia="Times New Roman" w:cstheme="minorHAnsi"/>
          <w:color w:val="222222"/>
          <w:lang w:val="en-US" w:eastAsia="es-ES"/>
        </w:rPr>
        <w:t xml:space="preserve"> complete RPMI supplemented with recombinant IL-2 (200 U/ml) prior to NK cell isolation by negative selection</w:t>
      </w:r>
      <w:r>
        <w:rPr>
          <w:rFonts w:eastAsia="Times New Roman" w:cstheme="minorHAnsi"/>
          <w:color w:val="222222"/>
          <w:lang w:val="en-US" w:eastAsia="es-ES"/>
        </w:rPr>
        <w:t>.</w:t>
      </w:r>
    </w:p>
    <w:p w14:paraId="27E817DE" w14:textId="57972B77" w:rsidR="002B7317" w:rsidRDefault="00BC0060" w:rsidP="002B7317">
      <w:pPr>
        <w:spacing w:line="480" w:lineRule="auto"/>
        <w:rPr>
          <w:rFonts w:eastAsia="Times New Roman" w:cstheme="minorHAnsi"/>
          <w:b/>
          <w:color w:val="222222"/>
          <w:lang w:val="en-US" w:eastAsia="es-ES"/>
        </w:rPr>
      </w:pPr>
      <w:r>
        <w:rPr>
          <w:rFonts w:eastAsia="Times New Roman" w:cstheme="minorHAnsi"/>
          <w:b/>
          <w:color w:val="222222"/>
          <w:lang w:val="en-US" w:eastAsia="es-ES"/>
        </w:rPr>
        <w:t xml:space="preserve">RT-qPCR and flow cytometry analysis from </w:t>
      </w:r>
      <w:r w:rsidRPr="00BC0060">
        <w:rPr>
          <w:rFonts w:eastAsia="Times New Roman" w:cstheme="minorHAnsi"/>
          <w:b/>
          <w:i/>
          <w:color w:val="222222"/>
          <w:lang w:val="en-US" w:eastAsia="es-ES"/>
        </w:rPr>
        <w:t>in vivo</w:t>
      </w:r>
      <w:r>
        <w:rPr>
          <w:rFonts w:eastAsia="Times New Roman" w:cstheme="minorHAnsi"/>
          <w:b/>
          <w:color w:val="222222"/>
          <w:lang w:val="en-US" w:eastAsia="es-ES"/>
        </w:rPr>
        <w:t xml:space="preserve"> treated xenografted tumors </w:t>
      </w:r>
    </w:p>
    <w:p w14:paraId="0EEF7225" w14:textId="0EA1137F" w:rsidR="000F0594" w:rsidRDefault="00BC0060" w:rsidP="002B7317">
      <w:pPr>
        <w:spacing w:line="480" w:lineRule="auto"/>
        <w:rPr>
          <w:rFonts w:eastAsia="Times New Roman" w:cstheme="minorHAnsi"/>
          <w:color w:val="222222"/>
          <w:lang w:val="en-US" w:eastAsia="es-ES"/>
        </w:rPr>
      </w:pPr>
      <w:r w:rsidRPr="00BC0060">
        <w:rPr>
          <w:rFonts w:eastAsia="Times New Roman" w:cstheme="minorHAnsi"/>
          <w:color w:val="222222"/>
          <w:lang w:val="en-US" w:eastAsia="es-ES"/>
        </w:rPr>
        <w:t xml:space="preserve">After completing three treatment cycles mice were sacrificed and the remaining tumors were collected and digested. </w:t>
      </w:r>
      <w:r w:rsidR="00BD1776">
        <w:rPr>
          <w:rFonts w:eastAsia="Times New Roman" w:cstheme="minorHAnsi"/>
          <w:color w:val="222222"/>
          <w:lang w:val="en-US" w:eastAsia="es-ES"/>
        </w:rPr>
        <w:t>H</w:t>
      </w:r>
      <w:r w:rsidR="007E1AF2">
        <w:rPr>
          <w:rFonts w:eastAsia="Times New Roman" w:cstheme="minorHAnsi"/>
          <w:color w:val="222222"/>
          <w:lang w:val="en-US" w:eastAsia="es-ES"/>
        </w:rPr>
        <w:t>alf of the</w:t>
      </w:r>
      <w:r w:rsidR="00BD1776">
        <w:rPr>
          <w:rFonts w:eastAsia="Times New Roman" w:cstheme="minorHAnsi"/>
          <w:color w:val="222222"/>
          <w:lang w:val="en-US" w:eastAsia="es-ES"/>
        </w:rPr>
        <w:t xml:space="preserve"> obtained</w:t>
      </w:r>
      <w:r w:rsidR="00E630B9">
        <w:rPr>
          <w:rFonts w:eastAsia="Times New Roman" w:cstheme="minorHAnsi"/>
          <w:color w:val="222222"/>
          <w:lang w:val="en-US" w:eastAsia="es-ES"/>
        </w:rPr>
        <w:t xml:space="preserve"> </w:t>
      </w:r>
      <w:r w:rsidR="000F0594">
        <w:rPr>
          <w:rFonts w:eastAsia="Times New Roman" w:cstheme="minorHAnsi"/>
          <w:color w:val="222222"/>
          <w:lang w:val="en-US" w:eastAsia="es-ES"/>
        </w:rPr>
        <w:t xml:space="preserve">cell suspensions </w:t>
      </w:r>
      <w:r w:rsidR="00E630B9">
        <w:rPr>
          <w:rFonts w:eastAsia="Times New Roman" w:cstheme="minorHAnsi"/>
          <w:color w:val="222222"/>
          <w:lang w:val="en-US" w:eastAsia="es-ES"/>
        </w:rPr>
        <w:t>were used for RNA extraction</w:t>
      </w:r>
      <w:r w:rsidR="006807EF">
        <w:rPr>
          <w:rFonts w:eastAsia="Times New Roman" w:cstheme="minorHAnsi"/>
          <w:color w:val="222222"/>
          <w:lang w:val="en-US" w:eastAsia="es-ES"/>
        </w:rPr>
        <w:t xml:space="preserve"> </w:t>
      </w:r>
      <w:r w:rsidR="000F0594" w:rsidRPr="0012291F">
        <w:rPr>
          <w:rFonts w:eastAsia="Times New Roman" w:cstheme="minorHAnsi"/>
          <w:color w:val="222222"/>
          <w:lang w:val="en-US" w:eastAsia="es-ES"/>
        </w:rPr>
        <w:t xml:space="preserve">using the </w:t>
      </w:r>
      <w:proofErr w:type="spellStart"/>
      <w:r w:rsidR="000F0594" w:rsidRPr="0012291F">
        <w:rPr>
          <w:rFonts w:eastAsia="Times New Roman" w:cstheme="minorHAnsi"/>
          <w:color w:val="222222"/>
          <w:lang w:val="en-US" w:eastAsia="es-ES"/>
        </w:rPr>
        <w:t>RNAeasy</w:t>
      </w:r>
      <w:proofErr w:type="spellEnd"/>
      <w:r w:rsidR="000F0594" w:rsidRPr="0012291F">
        <w:rPr>
          <w:rFonts w:eastAsia="Times New Roman" w:cstheme="minorHAnsi"/>
          <w:color w:val="222222"/>
          <w:lang w:val="en-US" w:eastAsia="es-ES"/>
        </w:rPr>
        <w:t xml:space="preserve"> kit (</w:t>
      </w:r>
      <w:proofErr w:type="spellStart"/>
      <w:r w:rsidR="000F0594" w:rsidRPr="0012291F">
        <w:rPr>
          <w:rFonts w:eastAsia="Times New Roman" w:cstheme="minorHAnsi"/>
          <w:color w:val="222222"/>
          <w:lang w:val="en-US" w:eastAsia="es-ES"/>
        </w:rPr>
        <w:t>Quiagen</w:t>
      </w:r>
      <w:proofErr w:type="spellEnd"/>
      <w:r w:rsidR="000F0594" w:rsidRPr="0012291F">
        <w:rPr>
          <w:rFonts w:eastAsia="Times New Roman" w:cstheme="minorHAnsi"/>
          <w:color w:val="222222"/>
          <w:lang w:val="en-US" w:eastAsia="es-ES"/>
        </w:rPr>
        <w:t>)</w:t>
      </w:r>
      <w:r w:rsidR="00777907">
        <w:rPr>
          <w:rFonts w:eastAsia="Times New Roman" w:cstheme="minorHAnsi"/>
          <w:color w:val="222222"/>
          <w:lang w:val="en-US" w:eastAsia="es-ES"/>
        </w:rPr>
        <w:t xml:space="preserve">. </w:t>
      </w:r>
      <w:r w:rsidR="00777907" w:rsidRPr="00A2562C">
        <w:rPr>
          <w:rFonts w:eastAsia="Times New Roman" w:cstheme="minorHAnsi"/>
          <w:color w:val="222222"/>
          <w:lang w:val="en-US" w:eastAsia="es-ES"/>
        </w:rPr>
        <w:t>5</w:t>
      </w:r>
      <w:r w:rsidR="0061305F" w:rsidRPr="00A2562C">
        <w:rPr>
          <w:rFonts w:eastAsia="Times New Roman" w:cstheme="minorHAnsi"/>
          <w:color w:val="222222"/>
          <w:lang w:val="en-US" w:eastAsia="es-ES"/>
        </w:rPr>
        <w:t>00</w:t>
      </w:r>
      <w:r w:rsidR="00777907" w:rsidRPr="00A2562C">
        <w:rPr>
          <w:rFonts w:eastAsia="Times New Roman" w:cstheme="minorHAnsi"/>
          <w:color w:val="222222"/>
          <w:lang w:val="en-US" w:eastAsia="es-ES"/>
        </w:rPr>
        <w:t>ng</w:t>
      </w:r>
      <w:r w:rsidR="00777907">
        <w:rPr>
          <w:rFonts w:eastAsia="Times New Roman" w:cstheme="minorHAnsi"/>
          <w:color w:val="222222"/>
          <w:lang w:val="en-US" w:eastAsia="es-ES"/>
        </w:rPr>
        <w:t xml:space="preserve"> of RNA was retrotranscribed</w:t>
      </w:r>
      <w:r w:rsidR="000F0594" w:rsidRPr="0012291F">
        <w:rPr>
          <w:rFonts w:eastAsia="Times New Roman" w:cstheme="minorHAnsi"/>
          <w:color w:val="222222"/>
          <w:lang w:val="en-US" w:eastAsia="es-ES"/>
        </w:rPr>
        <w:t xml:space="preserve"> using </w:t>
      </w:r>
      <w:proofErr w:type="spellStart"/>
      <w:r w:rsidR="000F0594">
        <w:rPr>
          <w:rFonts w:eastAsia="Times New Roman" w:cstheme="minorHAnsi"/>
          <w:color w:val="222222"/>
          <w:lang w:val="en-US" w:eastAsia="es-ES"/>
        </w:rPr>
        <w:t>SuperscriptIII</w:t>
      </w:r>
      <w:proofErr w:type="spellEnd"/>
      <w:r w:rsidR="000F0594">
        <w:rPr>
          <w:rFonts w:eastAsia="Times New Roman" w:cstheme="minorHAnsi"/>
          <w:color w:val="222222"/>
          <w:lang w:val="en-US" w:eastAsia="es-ES"/>
        </w:rPr>
        <w:t xml:space="preserve"> (18080044, Invitrogen), according to the manufacturer</w:t>
      </w:r>
      <w:r w:rsidR="00BD1776">
        <w:rPr>
          <w:rFonts w:eastAsia="Times New Roman" w:cstheme="minorHAnsi"/>
          <w:color w:val="222222"/>
          <w:lang w:val="en-US" w:eastAsia="es-ES"/>
        </w:rPr>
        <w:t>’s</w:t>
      </w:r>
      <w:r w:rsidR="000F0594">
        <w:rPr>
          <w:rFonts w:eastAsia="Times New Roman" w:cstheme="minorHAnsi"/>
          <w:color w:val="222222"/>
          <w:lang w:val="en-US" w:eastAsia="es-ES"/>
        </w:rPr>
        <w:t xml:space="preserve"> </w:t>
      </w:r>
      <w:r w:rsidR="000F0594" w:rsidRPr="004E2D1F">
        <w:rPr>
          <w:rFonts w:eastAsia="Times New Roman" w:cstheme="minorHAnsi"/>
          <w:color w:val="222222"/>
          <w:lang w:val="en-US" w:eastAsia="es-ES"/>
        </w:rPr>
        <w:t xml:space="preserve">instructions. Gene expression was </w:t>
      </w:r>
      <w:proofErr w:type="spellStart"/>
      <w:r w:rsidR="000F0594" w:rsidRPr="004E2D1F">
        <w:rPr>
          <w:rFonts w:eastAsia="Times New Roman" w:cstheme="minorHAnsi"/>
          <w:color w:val="222222"/>
          <w:lang w:val="en-US" w:eastAsia="es-ES"/>
        </w:rPr>
        <w:t>analysed</w:t>
      </w:r>
      <w:proofErr w:type="spellEnd"/>
      <w:r w:rsidR="000F0594" w:rsidRPr="004E2D1F">
        <w:rPr>
          <w:rFonts w:eastAsia="Times New Roman" w:cstheme="minorHAnsi"/>
          <w:color w:val="222222"/>
          <w:lang w:val="en-US" w:eastAsia="es-ES"/>
        </w:rPr>
        <w:t xml:space="preserve"> using </w:t>
      </w:r>
      <w:r w:rsidR="00BD1776">
        <w:rPr>
          <w:rFonts w:eastAsia="Times New Roman" w:cstheme="minorHAnsi"/>
          <w:color w:val="222222"/>
          <w:lang w:val="en-US" w:eastAsia="es-ES"/>
        </w:rPr>
        <w:t xml:space="preserve">the </w:t>
      </w:r>
      <w:r w:rsidR="000F0594" w:rsidRPr="004E2D1F">
        <w:rPr>
          <w:rFonts w:eastAsia="Times New Roman" w:cstheme="minorHAnsi"/>
          <w:color w:val="222222"/>
          <w:lang w:val="en-US" w:eastAsia="es-ES"/>
        </w:rPr>
        <w:t>SYBR green gene expression assay (</w:t>
      </w:r>
      <w:proofErr w:type="spellStart"/>
      <w:r w:rsidR="000F0594" w:rsidRPr="004E2D1F">
        <w:rPr>
          <w:rFonts w:cstheme="minorHAnsi"/>
          <w:color w:val="333333"/>
          <w:shd w:val="clear" w:color="auto" w:fill="FFFFFF"/>
        </w:rPr>
        <w:t>LightCycler</w:t>
      </w:r>
      <w:proofErr w:type="spellEnd"/>
      <w:r w:rsidR="000F0594" w:rsidRPr="004E2D1F">
        <w:rPr>
          <w:rFonts w:cstheme="minorHAnsi"/>
          <w:color w:val="333333"/>
          <w:shd w:val="clear" w:color="auto" w:fill="FFFFFF"/>
        </w:rPr>
        <w:t xml:space="preserve"> 480 SYBR Green I </w:t>
      </w:r>
      <w:proofErr w:type="spellStart"/>
      <w:r w:rsidR="000F0594" w:rsidRPr="004E2D1F">
        <w:rPr>
          <w:rFonts w:cstheme="minorHAnsi"/>
          <w:color w:val="333333"/>
          <w:shd w:val="clear" w:color="auto" w:fill="FFFFFF"/>
        </w:rPr>
        <w:t>Master</w:t>
      </w:r>
      <w:proofErr w:type="spellEnd"/>
      <w:r w:rsidR="000F0594" w:rsidRPr="004E2D1F">
        <w:rPr>
          <w:rFonts w:eastAsia="Times New Roman" w:cstheme="minorHAnsi"/>
          <w:color w:val="222222"/>
          <w:lang w:val="en-US" w:eastAsia="es-ES"/>
        </w:rPr>
        <w:t xml:space="preserve">, </w:t>
      </w:r>
      <w:r w:rsidR="000F0594" w:rsidRPr="004E2D1F">
        <w:rPr>
          <w:rFonts w:cstheme="minorHAnsi"/>
          <w:color w:val="333333"/>
          <w:shd w:val="clear" w:color="auto" w:fill="FFFFFF"/>
        </w:rPr>
        <w:t>04887352001, Roche</w:t>
      </w:r>
      <w:r w:rsidR="000F0594" w:rsidRPr="004E2D1F">
        <w:rPr>
          <w:rFonts w:eastAsia="Times New Roman" w:cstheme="minorHAnsi"/>
          <w:color w:val="222222"/>
          <w:lang w:val="en-US" w:eastAsia="es-ES"/>
        </w:rPr>
        <w:t>).</w:t>
      </w:r>
      <w:r w:rsidR="000F0594" w:rsidRPr="0012291F">
        <w:rPr>
          <w:rFonts w:eastAsia="Times New Roman" w:cstheme="minorHAnsi"/>
          <w:color w:val="222222"/>
          <w:lang w:val="en-US" w:eastAsia="es-ES"/>
        </w:rPr>
        <w:t xml:space="preserve"> The following primers were used for human genes (5’ to 3’, forward; reverse): </w:t>
      </w:r>
      <w:r w:rsidR="000F0594" w:rsidRPr="004E2D1F">
        <w:rPr>
          <w:rFonts w:eastAsia="Times New Roman" w:cstheme="minorHAnsi"/>
          <w:i/>
          <w:color w:val="222222"/>
          <w:lang w:val="en-US" w:eastAsia="es-ES"/>
        </w:rPr>
        <w:t>IFNG</w:t>
      </w:r>
      <w:r w:rsidR="000F0594" w:rsidRPr="004E2D1F">
        <w:rPr>
          <w:rFonts w:eastAsia="Times New Roman" w:cstheme="minorHAnsi"/>
          <w:color w:val="222222"/>
          <w:lang w:val="en-US" w:eastAsia="es-ES"/>
        </w:rPr>
        <w:t xml:space="preserve"> (TGTCCACGCAAAGCAATACA, ACTCCTTTTTCGCTTCCCTGT); </w:t>
      </w:r>
      <w:r w:rsidR="000F0594" w:rsidRPr="004E2D1F">
        <w:rPr>
          <w:rFonts w:eastAsia="Times New Roman" w:cstheme="minorHAnsi"/>
          <w:i/>
          <w:color w:val="222222"/>
          <w:lang w:val="en-US" w:eastAsia="es-ES"/>
        </w:rPr>
        <w:t>CCL5</w:t>
      </w:r>
      <w:r w:rsidR="000F0594" w:rsidRPr="004E2D1F">
        <w:rPr>
          <w:rFonts w:eastAsia="Times New Roman" w:cstheme="minorHAnsi"/>
          <w:color w:val="222222"/>
          <w:lang w:val="en-US" w:eastAsia="es-ES"/>
        </w:rPr>
        <w:t xml:space="preserve"> (GCCTGTTTCTGCTTGCTCTT, AACTGCTGCTGTGTGGTAGA); </w:t>
      </w:r>
      <w:r w:rsidR="000F0594" w:rsidRPr="004E2D1F">
        <w:rPr>
          <w:rFonts w:eastAsia="Times New Roman" w:cstheme="minorHAnsi"/>
          <w:i/>
          <w:color w:val="222222"/>
          <w:lang w:val="en-US" w:eastAsia="es-ES"/>
        </w:rPr>
        <w:t>CXCL9</w:t>
      </w:r>
      <w:r w:rsidR="000F0594" w:rsidRPr="004E2D1F">
        <w:rPr>
          <w:rFonts w:eastAsia="Times New Roman" w:cstheme="minorHAnsi"/>
          <w:color w:val="222222"/>
          <w:lang w:val="en-US" w:eastAsia="es-ES"/>
        </w:rPr>
        <w:t xml:space="preserve"> (TTCCTGCATCAGCACCAACC, TTTCTCGCAGGAAGGGCTTC); </w:t>
      </w:r>
      <w:r w:rsidR="000F0594" w:rsidRPr="004E2D1F">
        <w:rPr>
          <w:rFonts w:eastAsia="Times New Roman" w:cstheme="minorHAnsi"/>
          <w:i/>
          <w:color w:val="222222"/>
          <w:lang w:val="en-US" w:eastAsia="es-ES"/>
        </w:rPr>
        <w:t>CXCL10</w:t>
      </w:r>
      <w:r w:rsidR="000F0594" w:rsidRPr="004E2D1F">
        <w:rPr>
          <w:rFonts w:eastAsia="Times New Roman" w:cstheme="minorHAnsi"/>
          <w:color w:val="222222"/>
          <w:lang w:val="en-US" w:eastAsia="es-ES"/>
        </w:rPr>
        <w:t xml:space="preserve"> (AACCTCCAGTCTCAGCACCA, TGCAGGTACAGCGTA). The relative gene expression was normalized to </w:t>
      </w:r>
      <w:r w:rsidR="000F0594" w:rsidRPr="004E2D1F">
        <w:rPr>
          <w:rFonts w:eastAsia="Times New Roman" w:cstheme="minorHAnsi"/>
          <w:i/>
          <w:color w:val="222222"/>
          <w:lang w:val="en-US" w:eastAsia="es-ES"/>
        </w:rPr>
        <w:t>B2M</w:t>
      </w:r>
      <w:r w:rsidR="000F0594" w:rsidRPr="004E2D1F">
        <w:rPr>
          <w:rFonts w:eastAsia="Times New Roman" w:cstheme="minorHAnsi"/>
          <w:color w:val="222222"/>
          <w:lang w:val="en-US" w:eastAsia="es-ES"/>
        </w:rPr>
        <w:t xml:space="preserve"> (TTAGCTGTGCTCGCGCTACTCT, TGGTTCACACGGCAGGCATACT</w:t>
      </w:r>
      <w:r w:rsidR="000F0594" w:rsidRPr="0012291F">
        <w:rPr>
          <w:rFonts w:eastAsia="Times New Roman" w:cstheme="minorHAnsi"/>
          <w:color w:val="222222"/>
          <w:lang w:val="en-US" w:eastAsia="es-ES"/>
        </w:rPr>
        <w:t>). qPCR reaction</w:t>
      </w:r>
      <w:r w:rsidR="00BD1776">
        <w:rPr>
          <w:rFonts w:eastAsia="Times New Roman" w:cstheme="minorHAnsi"/>
          <w:color w:val="222222"/>
          <w:lang w:val="en-US" w:eastAsia="es-ES"/>
        </w:rPr>
        <w:t>s</w:t>
      </w:r>
      <w:r w:rsidR="000F0594" w:rsidRPr="0012291F">
        <w:rPr>
          <w:rFonts w:eastAsia="Times New Roman" w:cstheme="minorHAnsi"/>
          <w:color w:val="222222"/>
          <w:lang w:val="en-US" w:eastAsia="es-ES"/>
        </w:rPr>
        <w:t xml:space="preserve"> </w:t>
      </w:r>
      <w:r w:rsidR="00BD1776">
        <w:rPr>
          <w:rFonts w:eastAsia="Times New Roman" w:cstheme="minorHAnsi"/>
          <w:color w:val="222222"/>
          <w:lang w:val="en-US" w:eastAsia="es-ES"/>
        </w:rPr>
        <w:t>were</w:t>
      </w:r>
      <w:r w:rsidR="000F0594" w:rsidRPr="0012291F">
        <w:rPr>
          <w:rFonts w:eastAsia="Times New Roman" w:cstheme="minorHAnsi"/>
          <w:color w:val="222222"/>
          <w:lang w:val="en-US" w:eastAsia="es-ES"/>
        </w:rPr>
        <w:t xml:space="preserve"> performed on</w:t>
      </w:r>
      <w:r w:rsidR="00BD1776">
        <w:rPr>
          <w:rFonts w:eastAsia="Times New Roman" w:cstheme="minorHAnsi"/>
          <w:color w:val="222222"/>
          <w:lang w:val="en-US" w:eastAsia="es-ES"/>
        </w:rPr>
        <w:t xml:space="preserve"> the </w:t>
      </w:r>
      <w:proofErr w:type="spellStart"/>
      <w:r w:rsidR="000F0594">
        <w:rPr>
          <w:rFonts w:eastAsia="Times New Roman" w:cstheme="minorHAnsi"/>
          <w:color w:val="222222"/>
          <w:lang w:val="en-US" w:eastAsia="es-ES"/>
        </w:rPr>
        <w:t>Lightcycler</w:t>
      </w:r>
      <w:proofErr w:type="spellEnd"/>
      <w:r w:rsidR="000F0594">
        <w:rPr>
          <w:rFonts w:eastAsia="Times New Roman" w:cstheme="minorHAnsi"/>
          <w:color w:val="222222"/>
          <w:lang w:val="en-US" w:eastAsia="es-ES"/>
        </w:rPr>
        <w:t xml:space="preserve"> 480 </w:t>
      </w:r>
      <w:r w:rsidR="000F0594" w:rsidRPr="0012291F">
        <w:rPr>
          <w:rFonts w:eastAsia="Times New Roman" w:cstheme="minorHAnsi"/>
          <w:color w:val="222222"/>
          <w:lang w:val="en-US" w:eastAsia="es-ES"/>
        </w:rPr>
        <w:t>Real-Time PCR System (</w:t>
      </w:r>
      <w:r w:rsidR="000F0594">
        <w:rPr>
          <w:rFonts w:eastAsia="Times New Roman" w:cstheme="minorHAnsi"/>
          <w:color w:val="222222"/>
          <w:lang w:val="en-US" w:eastAsia="es-ES"/>
        </w:rPr>
        <w:t>Roche Diagnostics</w:t>
      </w:r>
      <w:r w:rsidR="000F0594" w:rsidRPr="0012291F">
        <w:rPr>
          <w:rFonts w:eastAsia="Times New Roman" w:cstheme="minorHAnsi"/>
          <w:color w:val="222222"/>
          <w:lang w:val="en-US" w:eastAsia="es-ES"/>
        </w:rPr>
        <w:t xml:space="preserve">) and </w:t>
      </w:r>
      <w:proofErr w:type="spellStart"/>
      <w:r w:rsidR="000F0594" w:rsidRPr="0012291F">
        <w:rPr>
          <w:rFonts w:eastAsia="Times New Roman" w:cstheme="minorHAnsi"/>
          <w:color w:val="222222"/>
          <w:lang w:val="en-US" w:eastAsia="es-ES"/>
        </w:rPr>
        <w:t>analysed</w:t>
      </w:r>
      <w:proofErr w:type="spellEnd"/>
      <w:r w:rsidR="000F0594" w:rsidRPr="0012291F">
        <w:rPr>
          <w:rFonts w:eastAsia="Times New Roman" w:cstheme="minorHAnsi"/>
          <w:color w:val="222222"/>
          <w:lang w:val="en-US" w:eastAsia="es-ES"/>
        </w:rPr>
        <w:t xml:space="preserve"> using </w:t>
      </w:r>
      <w:proofErr w:type="spellStart"/>
      <w:r w:rsidR="000F0594">
        <w:rPr>
          <w:rFonts w:eastAsia="Times New Roman" w:cstheme="minorHAnsi"/>
          <w:color w:val="222222"/>
          <w:lang w:val="en-US" w:eastAsia="es-ES"/>
        </w:rPr>
        <w:t>Lightcycler</w:t>
      </w:r>
      <w:proofErr w:type="spellEnd"/>
      <w:r w:rsidR="000F0594">
        <w:rPr>
          <w:rFonts w:eastAsia="Times New Roman" w:cstheme="minorHAnsi"/>
          <w:color w:val="222222"/>
          <w:lang w:val="en-US" w:eastAsia="es-ES"/>
        </w:rPr>
        <w:t xml:space="preserve"> 480 SW 1.5.1</w:t>
      </w:r>
      <w:r w:rsidR="00EE4B29">
        <w:rPr>
          <w:rFonts w:eastAsia="Times New Roman" w:cstheme="minorHAnsi"/>
          <w:color w:val="222222"/>
          <w:lang w:val="en-US" w:eastAsia="es-ES"/>
        </w:rPr>
        <w:t xml:space="preserve"> at </w:t>
      </w:r>
      <w:r w:rsidR="00EE4B29" w:rsidRPr="00C3652C">
        <w:rPr>
          <w:rFonts w:eastAsia="Times New Roman" w:cstheme="minorHAnsi"/>
          <w:color w:val="222222"/>
          <w:lang w:val="en-US" w:eastAsia="es-ES"/>
        </w:rPr>
        <w:t xml:space="preserve">the Genomics Core Facility, </w:t>
      </w:r>
      <w:proofErr w:type="spellStart"/>
      <w:r w:rsidR="00EE4B29" w:rsidRPr="00C3652C">
        <w:rPr>
          <w:rFonts w:eastAsia="Times New Roman" w:cstheme="minorHAnsi"/>
          <w:color w:val="222222"/>
          <w:lang w:val="en-US" w:eastAsia="es-ES"/>
        </w:rPr>
        <w:t>Universitat</w:t>
      </w:r>
      <w:proofErr w:type="spellEnd"/>
      <w:r w:rsidR="00EE4B29" w:rsidRPr="00C3652C">
        <w:rPr>
          <w:rFonts w:eastAsia="Times New Roman" w:cstheme="minorHAnsi"/>
          <w:color w:val="222222"/>
          <w:lang w:val="en-US" w:eastAsia="es-ES"/>
        </w:rPr>
        <w:t xml:space="preserve"> </w:t>
      </w:r>
      <w:proofErr w:type="spellStart"/>
      <w:r w:rsidR="00EE4B29" w:rsidRPr="00C3652C">
        <w:rPr>
          <w:rFonts w:eastAsia="Times New Roman" w:cstheme="minorHAnsi"/>
          <w:color w:val="222222"/>
          <w:lang w:val="en-US" w:eastAsia="es-ES"/>
        </w:rPr>
        <w:t>P</w:t>
      </w:r>
      <w:r w:rsidR="0039395F" w:rsidRPr="00C3652C">
        <w:rPr>
          <w:rFonts w:eastAsia="Times New Roman" w:cstheme="minorHAnsi"/>
          <w:color w:val="222222"/>
          <w:lang w:val="en-US" w:eastAsia="es-ES"/>
        </w:rPr>
        <w:t>o</w:t>
      </w:r>
      <w:r w:rsidR="00EE4B29" w:rsidRPr="00C3652C">
        <w:rPr>
          <w:rFonts w:eastAsia="Times New Roman" w:cstheme="minorHAnsi"/>
          <w:color w:val="222222"/>
          <w:lang w:val="en-US" w:eastAsia="es-ES"/>
        </w:rPr>
        <w:t>mpeu</w:t>
      </w:r>
      <w:proofErr w:type="spellEnd"/>
      <w:r w:rsidR="00EE4B29" w:rsidRPr="00C3652C">
        <w:rPr>
          <w:rFonts w:eastAsia="Times New Roman" w:cstheme="minorHAnsi"/>
          <w:color w:val="222222"/>
          <w:lang w:val="en-US" w:eastAsia="es-ES"/>
        </w:rPr>
        <w:t xml:space="preserve"> </w:t>
      </w:r>
      <w:proofErr w:type="spellStart"/>
      <w:r w:rsidR="00EE4B29" w:rsidRPr="00C3652C">
        <w:rPr>
          <w:rFonts w:eastAsia="Times New Roman" w:cstheme="minorHAnsi"/>
          <w:color w:val="222222"/>
          <w:lang w:val="en-US" w:eastAsia="es-ES"/>
        </w:rPr>
        <w:t>Fabra</w:t>
      </w:r>
      <w:proofErr w:type="spellEnd"/>
      <w:r w:rsidR="0039395F" w:rsidRPr="00C3652C">
        <w:rPr>
          <w:rFonts w:eastAsia="Times New Roman" w:cstheme="minorHAnsi"/>
          <w:color w:val="222222"/>
          <w:lang w:val="en-US" w:eastAsia="es-ES"/>
        </w:rPr>
        <w:t>, Barcelona</w:t>
      </w:r>
      <w:r w:rsidR="000F0594" w:rsidRPr="00C3652C">
        <w:rPr>
          <w:rFonts w:eastAsia="Times New Roman" w:cstheme="minorHAnsi"/>
          <w:color w:val="222222"/>
          <w:lang w:val="en-US" w:eastAsia="es-ES"/>
        </w:rPr>
        <w:t>.</w:t>
      </w:r>
      <w:r w:rsidR="000F0594">
        <w:rPr>
          <w:rFonts w:eastAsia="Times New Roman" w:cstheme="minorHAnsi"/>
          <w:color w:val="222222"/>
          <w:lang w:val="en-US" w:eastAsia="es-ES"/>
        </w:rPr>
        <w:t xml:space="preserve"> </w:t>
      </w:r>
      <w:r w:rsidR="00BD1776">
        <w:rPr>
          <w:rFonts w:eastAsia="Times New Roman" w:cstheme="minorHAnsi"/>
          <w:color w:val="222222"/>
          <w:lang w:val="en-US" w:eastAsia="es-ES"/>
        </w:rPr>
        <w:t xml:space="preserve">The reaction included a </w:t>
      </w:r>
      <w:r w:rsidR="000F0594">
        <w:rPr>
          <w:rFonts w:eastAsia="Times New Roman" w:cstheme="minorHAnsi"/>
          <w:color w:val="222222"/>
          <w:lang w:val="en-US" w:eastAsia="es-ES"/>
        </w:rPr>
        <w:t>30 seconds</w:t>
      </w:r>
      <w:r w:rsidR="00BD1776">
        <w:rPr>
          <w:rFonts w:eastAsia="Times New Roman" w:cstheme="minorHAnsi"/>
          <w:color w:val="222222"/>
          <w:lang w:val="en-US" w:eastAsia="es-ES"/>
        </w:rPr>
        <w:t xml:space="preserve"> (sec)</w:t>
      </w:r>
      <w:r w:rsidR="000F0594">
        <w:rPr>
          <w:rFonts w:eastAsia="Times New Roman" w:cstheme="minorHAnsi"/>
          <w:color w:val="222222"/>
          <w:lang w:val="en-US" w:eastAsia="es-ES"/>
        </w:rPr>
        <w:t xml:space="preserve"> preincubation at 40ºC,</w:t>
      </w:r>
      <w:r w:rsidR="00BD1776">
        <w:rPr>
          <w:rFonts w:eastAsia="Times New Roman" w:cstheme="minorHAnsi"/>
          <w:color w:val="222222"/>
          <w:lang w:val="en-US" w:eastAsia="es-ES"/>
        </w:rPr>
        <w:t xml:space="preserve"> followed by</w:t>
      </w:r>
      <w:r w:rsidR="000F0594">
        <w:rPr>
          <w:rFonts w:eastAsia="Times New Roman" w:cstheme="minorHAnsi"/>
          <w:color w:val="222222"/>
          <w:lang w:val="en-US" w:eastAsia="es-ES"/>
        </w:rPr>
        <w:t xml:space="preserve"> 40 amplification cycles (10 sec at 95ºC, 20 sec at 60ºC and 10 sec at 72ºC).  </w:t>
      </w:r>
      <w:r>
        <w:rPr>
          <w:rFonts w:eastAsia="Times New Roman" w:cstheme="minorHAnsi"/>
          <w:color w:val="222222"/>
          <w:lang w:val="en-US" w:eastAsia="es-ES"/>
        </w:rPr>
        <w:t xml:space="preserve">The second half of the obtained cells were stained with directly </w:t>
      </w:r>
      <w:r>
        <w:rPr>
          <w:rFonts w:eastAsia="Times New Roman" w:cstheme="minorHAnsi"/>
          <w:color w:val="222222"/>
          <w:lang w:val="en-US" w:eastAsia="es-ES"/>
        </w:rPr>
        <w:lastRenderedPageBreak/>
        <w:t xml:space="preserve">labeled anti-hCD45, anti-hCD56, anti-hCD3, anti-hCD16 and anti-hCD103 antibodies and </w:t>
      </w:r>
      <w:proofErr w:type="spellStart"/>
      <w:r>
        <w:rPr>
          <w:rFonts w:eastAsia="Times New Roman" w:cstheme="minorHAnsi"/>
          <w:color w:val="222222"/>
          <w:lang w:val="en-US" w:eastAsia="es-ES"/>
        </w:rPr>
        <w:t>analysed</w:t>
      </w:r>
      <w:proofErr w:type="spellEnd"/>
      <w:r>
        <w:rPr>
          <w:rFonts w:eastAsia="Times New Roman" w:cstheme="minorHAnsi"/>
          <w:color w:val="222222"/>
          <w:lang w:val="en-US" w:eastAsia="es-ES"/>
        </w:rPr>
        <w:t xml:space="preserve"> by flow cytometry </w:t>
      </w:r>
      <w:r w:rsidRPr="0012291F">
        <w:rPr>
          <w:rFonts w:eastAsia="Times New Roman" w:cstheme="minorHAnsi"/>
          <w:color w:val="222222"/>
          <w:lang w:val="en-US" w:eastAsia="es-ES"/>
        </w:rPr>
        <w:t>on a BD LSR</w:t>
      </w:r>
      <w:r>
        <w:rPr>
          <w:rFonts w:eastAsia="Times New Roman" w:cstheme="minorHAnsi"/>
          <w:color w:val="222222"/>
          <w:lang w:val="en-US" w:eastAsia="es-ES"/>
        </w:rPr>
        <w:t xml:space="preserve"> </w:t>
      </w:r>
      <w:proofErr w:type="spellStart"/>
      <w:r w:rsidRPr="0012291F">
        <w:rPr>
          <w:rFonts w:eastAsia="Times New Roman" w:cstheme="minorHAnsi"/>
          <w:color w:val="222222"/>
          <w:lang w:val="en-US" w:eastAsia="es-ES"/>
        </w:rPr>
        <w:t>Fortessa</w:t>
      </w:r>
      <w:proofErr w:type="spellEnd"/>
      <w:r w:rsidRPr="0012291F">
        <w:rPr>
          <w:rFonts w:eastAsia="Times New Roman" w:cstheme="minorHAnsi"/>
          <w:color w:val="222222"/>
          <w:lang w:val="en-US" w:eastAsia="es-ES"/>
        </w:rPr>
        <w:t xml:space="preserve"> or BD-LSRII (BD Bioscience) and analyzed with </w:t>
      </w:r>
      <w:proofErr w:type="spellStart"/>
      <w:r w:rsidRPr="0012291F">
        <w:rPr>
          <w:rFonts w:eastAsia="Times New Roman" w:cstheme="minorHAnsi"/>
          <w:lang w:val="en-US" w:eastAsia="es-ES"/>
        </w:rPr>
        <w:t>FlowJo</w:t>
      </w:r>
      <w:proofErr w:type="spellEnd"/>
      <w:r w:rsidRPr="0012291F">
        <w:rPr>
          <w:rFonts w:eastAsia="Times New Roman" w:cstheme="minorHAnsi"/>
          <w:lang w:val="en-US" w:eastAsia="es-ES"/>
        </w:rPr>
        <w:t xml:space="preserve"> </w:t>
      </w:r>
      <w:r w:rsidRPr="0012291F">
        <w:rPr>
          <w:rFonts w:eastAsia="Times New Roman" w:cstheme="minorHAnsi"/>
          <w:color w:val="222222"/>
          <w:lang w:val="en-US" w:eastAsia="es-ES"/>
        </w:rPr>
        <w:t>software (v10.0.7, Tree Star)</w:t>
      </w:r>
      <w:r>
        <w:rPr>
          <w:rFonts w:eastAsia="Times New Roman" w:cstheme="minorHAnsi"/>
          <w:color w:val="222222"/>
          <w:lang w:val="en-US" w:eastAsia="es-ES"/>
        </w:rPr>
        <w:t>.</w:t>
      </w:r>
    </w:p>
    <w:p w14:paraId="305B17F9" w14:textId="649DFB41" w:rsidR="000F6784" w:rsidRPr="000F6784" w:rsidRDefault="000F6784" w:rsidP="000F6784">
      <w:pPr>
        <w:spacing w:line="480" w:lineRule="auto"/>
        <w:rPr>
          <w:rFonts w:cstheme="minorHAnsi"/>
          <w:b/>
        </w:rPr>
      </w:pPr>
      <w:proofErr w:type="spellStart"/>
      <w:r>
        <w:rPr>
          <w:rFonts w:cstheme="minorHAnsi"/>
          <w:b/>
        </w:rPr>
        <w:t>viSNE</w:t>
      </w:r>
      <w:proofErr w:type="spellEnd"/>
      <w:r>
        <w:rPr>
          <w:rFonts w:cstheme="minorHAnsi"/>
          <w:b/>
        </w:rPr>
        <w:t xml:space="preserve"> </w:t>
      </w:r>
      <w:proofErr w:type="spellStart"/>
      <w:r>
        <w:rPr>
          <w:rFonts w:cstheme="minorHAnsi"/>
          <w:b/>
        </w:rPr>
        <w:t>c</w:t>
      </w:r>
      <w:r w:rsidRPr="0012291F">
        <w:rPr>
          <w:rFonts w:cstheme="minorHAnsi"/>
          <w:b/>
        </w:rPr>
        <w:t>haracterisation</w:t>
      </w:r>
      <w:proofErr w:type="spellEnd"/>
      <w:r w:rsidRPr="0012291F">
        <w:rPr>
          <w:rFonts w:cstheme="minorHAnsi"/>
          <w:b/>
        </w:rPr>
        <w:t xml:space="preserve"> of  </w:t>
      </w:r>
      <w:proofErr w:type="spellStart"/>
      <w:r w:rsidRPr="0012291F">
        <w:rPr>
          <w:rFonts w:cstheme="minorHAnsi"/>
          <w:b/>
        </w:rPr>
        <w:t>breast</w:t>
      </w:r>
      <w:proofErr w:type="spellEnd"/>
      <w:r w:rsidRPr="0012291F">
        <w:rPr>
          <w:rFonts w:cstheme="minorHAnsi"/>
          <w:b/>
        </w:rPr>
        <w:t xml:space="preserve"> tumor immune </w:t>
      </w:r>
      <w:proofErr w:type="spellStart"/>
      <w:r>
        <w:rPr>
          <w:rFonts w:cstheme="minorHAnsi"/>
          <w:b/>
        </w:rPr>
        <w:t>lymphocyte</w:t>
      </w:r>
      <w:proofErr w:type="spellEnd"/>
      <w:r>
        <w:rPr>
          <w:rFonts w:cstheme="minorHAnsi"/>
          <w:b/>
        </w:rPr>
        <w:t xml:space="preserve"> </w:t>
      </w:r>
      <w:proofErr w:type="spellStart"/>
      <w:r>
        <w:rPr>
          <w:rFonts w:cstheme="minorHAnsi"/>
          <w:b/>
        </w:rPr>
        <w:t>subsets</w:t>
      </w:r>
      <w:proofErr w:type="spellEnd"/>
    </w:p>
    <w:p w14:paraId="41D7BC98" w14:textId="72DA97BF" w:rsidR="000F6784" w:rsidRDefault="000F6784" w:rsidP="000F6784">
      <w:pPr>
        <w:spacing w:line="480" w:lineRule="auto"/>
        <w:rPr>
          <w:rFonts w:eastAsia="Times New Roman" w:cstheme="minorHAnsi"/>
          <w:color w:val="222222"/>
          <w:lang w:val="en-US" w:eastAsia="es-ES"/>
        </w:rPr>
      </w:pPr>
      <w:r w:rsidRPr="00CD0020">
        <w:rPr>
          <w:rFonts w:eastAsia="Times New Roman" w:cstheme="minorHAnsi"/>
          <w:color w:val="222222"/>
          <w:lang w:val="en-US" w:eastAsia="es-ES"/>
        </w:rPr>
        <w:t xml:space="preserve">vi-SNE </w:t>
      </w:r>
      <w:r w:rsidR="00066FD2">
        <w:rPr>
          <w:rFonts w:eastAsia="Times New Roman" w:cstheme="minorHAnsi"/>
          <w:color w:val="222222"/>
          <w:lang w:val="en-US" w:eastAsia="es-ES"/>
        </w:rPr>
        <w:t>was</w:t>
      </w:r>
      <w:r w:rsidRPr="00CD0020">
        <w:rPr>
          <w:rFonts w:eastAsia="Times New Roman" w:cstheme="minorHAnsi"/>
          <w:color w:val="222222"/>
          <w:lang w:val="en-US" w:eastAsia="es-ES"/>
        </w:rPr>
        <w:t xml:space="preserve"> implemented for the analysis of </w:t>
      </w:r>
      <w:r>
        <w:rPr>
          <w:rFonts w:eastAsia="Times New Roman" w:cstheme="minorHAnsi"/>
          <w:color w:val="222222"/>
          <w:lang w:val="en-US" w:eastAsia="es-ES"/>
        </w:rPr>
        <w:t>major lymphocyte subsets</w:t>
      </w:r>
      <w:r w:rsidR="00662B52">
        <w:rPr>
          <w:rFonts w:eastAsia="Times New Roman" w:cstheme="minorHAnsi"/>
          <w:color w:val="222222"/>
          <w:lang w:val="en-US" w:eastAsia="es-ES"/>
        </w:rPr>
        <w:t xml:space="preserve"> (Amir et al, Nature Biotechnology, 2013, 31:545-552)</w:t>
      </w:r>
      <w:r>
        <w:rPr>
          <w:rFonts w:eastAsia="Times New Roman" w:cstheme="minorHAnsi"/>
          <w:color w:val="222222"/>
          <w:lang w:val="en-US" w:eastAsia="es-ES"/>
        </w:rPr>
        <w:t xml:space="preserve">. </w:t>
      </w:r>
      <w:r w:rsidRPr="00CD0020">
        <w:rPr>
          <w:rFonts w:eastAsia="Times New Roman" w:cstheme="minorHAnsi"/>
          <w:color w:val="222222"/>
          <w:lang w:val="en-US" w:eastAsia="es-ES"/>
        </w:rPr>
        <w:t xml:space="preserve">Raw flow cytometry data was imported into R using </w:t>
      </w:r>
      <w:proofErr w:type="spellStart"/>
      <w:r w:rsidRPr="00CD0020">
        <w:rPr>
          <w:rFonts w:eastAsia="Times New Roman" w:cstheme="minorHAnsi"/>
          <w:color w:val="222222"/>
          <w:lang w:val="en-US" w:eastAsia="es-ES"/>
        </w:rPr>
        <w:t>flowCore</w:t>
      </w:r>
      <w:proofErr w:type="spellEnd"/>
      <w:r w:rsidRPr="00CD0020">
        <w:rPr>
          <w:rFonts w:eastAsia="Times New Roman" w:cstheme="minorHAnsi"/>
          <w:color w:val="222222"/>
          <w:lang w:val="en-US" w:eastAsia="es-ES"/>
        </w:rPr>
        <w:t xml:space="preserve"> and </w:t>
      </w:r>
      <w:proofErr w:type="spellStart"/>
      <w:r w:rsidRPr="00CD0020">
        <w:rPr>
          <w:rFonts w:eastAsia="Times New Roman" w:cstheme="minorHAnsi"/>
          <w:color w:val="222222"/>
          <w:lang w:val="en-US" w:eastAsia="es-ES"/>
        </w:rPr>
        <w:t>openCyto</w:t>
      </w:r>
      <w:proofErr w:type="spellEnd"/>
      <w:r w:rsidRPr="00CD0020">
        <w:rPr>
          <w:rFonts w:eastAsia="Times New Roman" w:cstheme="minorHAnsi"/>
          <w:color w:val="222222"/>
          <w:lang w:val="en-US" w:eastAsia="es-ES"/>
        </w:rPr>
        <w:t xml:space="preserve"> packages. A compensation matrix generated in </w:t>
      </w:r>
      <w:proofErr w:type="spellStart"/>
      <w:r w:rsidRPr="00CD0020">
        <w:rPr>
          <w:rFonts w:eastAsia="Times New Roman" w:cstheme="minorHAnsi"/>
          <w:color w:val="222222"/>
          <w:lang w:val="en-US" w:eastAsia="es-ES"/>
        </w:rPr>
        <w:t>FlowJo</w:t>
      </w:r>
      <w:proofErr w:type="spellEnd"/>
      <w:r w:rsidRPr="00CD0020">
        <w:rPr>
          <w:rFonts w:eastAsia="Times New Roman" w:cstheme="minorHAnsi"/>
          <w:color w:val="222222"/>
          <w:lang w:val="en-US" w:eastAsia="es-ES"/>
        </w:rPr>
        <w:t xml:space="preserve"> (v10.0.7, Tree Star) was exported an applied into R. Lymphocytes were gated </w:t>
      </w:r>
      <w:r>
        <w:rPr>
          <w:rFonts w:eastAsia="Times New Roman" w:cstheme="minorHAnsi"/>
          <w:color w:val="222222"/>
          <w:lang w:val="en-US" w:eastAsia="es-ES"/>
        </w:rPr>
        <w:t>based on</w:t>
      </w:r>
      <w:r w:rsidRPr="00CD0020">
        <w:rPr>
          <w:rFonts w:eastAsia="Times New Roman" w:cstheme="minorHAnsi"/>
          <w:color w:val="222222"/>
          <w:lang w:val="en-US" w:eastAsia="es-ES"/>
        </w:rPr>
        <w:t xml:space="preserve"> forward and side scatter </w:t>
      </w:r>
      <w:r>
        <w:rPr>
          <w:rFonts w:eastAsia="Times New Roman" w:cstheme="minorHAnsi"/>
          <w:color w:val="222222"/>
          <w:lang w:val="en-US" w:eastAsia="es-ES"/>
        </w:rPr>
        <w:t>with</w:t>
      </w:r>
      <w:r w:rsidRPr="00CD0020">
        <w:rPr>
          <w:rFonts w:eastAsia="Times New Roman" w:cstheme="minorHAnsi"/>
          <w:color w:val="222222"/>
          <w:lang w:val="en-US" w:eastAsia="es-ES"/>
        </w:rPr>
        <w:t>in the CD45+ alive</w:t>
      </w:r>
      <w:r>
        <w:rPr>
          <w:rFonts w:eastAsia="Times New Roman" w:cstheme="minorHAnsi"/>
          <w:color w:val="222222"/>
          <w:lang w:val="en-US" w:eastAsia="es-ES"/>
        </w:rPr>
        <w:t xml:space="preserve"> (DAPI-)</w:t>
      </w:r>
      <w:r w:rsidRPr="00CD0020">
        <w:rPr>
          <w:rFonts w:eastAsia="Times New Roman" w:cstheme="minorHAnsi"/>
          <w:color w:val="222222"/>
          <w:lang w:val="en-US" w:eastAsia="es-ES"/>
        </w:rPr>
        <w:t xml:space="preserve"> gate. Data from </w:t>
      </w:r>
      <w:r>
        <w:rPr>
          <w:rFonts w:eastAsia="Times New Roman" w:cstheme="minorHAnsi"/>
          <w:color w:val="222222"/>
          <w:lang w:val="en-US" w:eastAsia="es-ES"/>
        </w:rPr>
        <w:t xml:space="preserve">either </w:t>
      </w:r>
      <w:r w:rsidRPr="00CD0020">
        <w:rPr>
          <w:rFonts w:eastAsia="Times New Roman" w:cstheme="minorHAnsi"/>
          <w:color w:val="222222"/>
          <w:lang w:val="en-US" w:eastAsia="es-ES"/>
        </w:rPr>
        <w:t xml:space="preserve">10,000 gated lymphocytes or 2,000-5,000 NK cells were concatenated. Barnes-Hut t-SNE was conducted using the </w:t>
      </w:r>
      <w:proofErr w:type="spellStart"/>
      <w:r w:rsidRPr="00CD0020">
        <w:rPr>
          <w:rFonts w:eastAsia="Times New Roman" w:cstheme="minorHAnsi"/>
          <w:color w:val="222222"/>
          <w:lang w:val="en-US" w:eastAsia="es-ES"/>
        </w:rPr>
        <w:t>Rtsne</w:t>
      </w:r>
      <w:proofErr w:type="spellEnd"/>
      <w:r w:rsidRPr="00CD0020">
        <w:rPr>
          <w:rFonts w:eastAsia="Times New Roman" w:cstheme="minorHAnsi"/>
          <w:color w:val="222222"/>
          <w:lang w:val="en-US" w:eastAsia="es-ES"/>
        </w:rPr>
        <w:t xml:space="preserve"> package</w:t>
      </w:r>
      <w:r>
        <w:rPr>
          <w:rFonts w:eastAsia="Times New Roman" w:cstheme="minorHAnsi"/>
          <w:color w:val="222222"/>
          <w:lang w:val="en-US" w:eastAsia="es-ES"/>
        </w:rPr>
        <w:t xml:space="preserve"> and subset identification by </w:t>
      </w:r>
      <w:proofErr w:type="spellStart"/>
      <w:r>
        <w:rPr>
          <w:rFonts w:eastAsia="Times New Roman" w:cstheme="minorHAnsi"/>
          <w:color w:val="222222"/>
          <w:lang w:val="en-US" w:eastAsia="es-ES"/>
        </w:rPr>
        <w:t>Phenograph</w:t>
      </w:r>
      <w:proofErr w:type="spellEnd"/>
      <w:r>
        <w:rPr>
          <w:rFonts w:eastAsia="Times New Roman" w:cstheme="minorHAnsi"/>
          <w:color w:val="222222"/>
          <w:lang w:val="en-US" w:eastAsia="es-ES"/>
        </w:rPr>
        <w:t xml:space="preserve">. </w:t>
      </w:r>
      <w:r w:rsidRPr="00CD0020">
        <w:rPr>
          <w:rFonts w:eastAsia="Times New Roman" w:cstheme="minorHAnsi"/>
          <w:color w:val="222222"/>
          <w:lang w:val="en-US" w:eastAsia="es-ES"/>
        </w:rPr>
        <w:t xml:space="preserve">Graphics were produced using </w:t>
      </w:r>
      <w:r>
        <w:rPr>
          <w:rFonts w:eastAsia="Times New Roman" w:cstheme="minorHAnsi"/>
          <w:color w:val="222222"/>
          <w:lang w:val="en-US" w:eastAsia="es-ES"/>
        </w:rPr>
        <w:t xml:space="preserve">the </w:t>
      </w:r>
      <w:r w:rsidRPr="00CD0020">
        <w:rPr>
          <w:rFonts w:eastAsia="Times New Roman" w:cstheme="minorHAnsi"/>
          <w:color w:val="222222"/>
          <w:lang w:val="en-US" w:eastAsia="es-ES"/>
        </w:rPr>
        <w:t xml:space="preserve">ggplot2 and </w:t>
      </w:r>
      <w:proofErr w:type="spellStart"/>
      <w:r w:rsidRPr="00CD0020">
        <w:rPr>
          <w:rFonts w:eastAsia="Times New Roman" w:cstheme="minorHAnsi"/>
          <w:color w:val="222222"/>
          <w:lang w:val="en-US" w:eastAsia="es-ES"/>
        </w:rPr>
        <w:t>RColorBrewer</w:t>
      </w:r>
      <w:proofErr w:type="spellEnd"/>
      <w:r w:rsidRPr="00BD1776">
        <w:rPr>
          <w:rFonts w:eastAsia="Times New Roman" w:cstheme="minorHAnsi"/>
          <w:color w:val="222222"/>
          <w:lang w:val="en-US" w:eastAsia="es-ES"/>
        </w:rPr>
        <w:t xml:space="preserve"> </w:t>
      </w:r>
      <w:r w:rsidRPr="00CD0020">
        <w:rPr>
          <w:rFonts w:eastAsia="Times New Roman" w:cstheme="minorHAnsi"/>
          <w:color w:val="222222"/>
          <w:lang w:val="en-US" w:eastAsia="es-ES"/>
        </w:rPr>
        <w:t>packages</w:t>
      </w:r>
      <w:r>
        <w:rPr>
          <w:rFonts w:eastAsia="Times New Roman" w:cstheme="minorHAnsi"/>
          <w:color w:val="222222"/>
          <w:lang w:val="en-US" w:eastAsia="es-ES"/>
        </w:rPr>
        <w:t xml:space="preserve">. </w:t>
      </w:r>
    </w:p>
    <w:p w14:paraId="2865FBBC" w14:textId="16AEA0C2" w:rsidR="00104D61" w:rsidRDefault="00104D61" w:rsidP="00104D61">
      <w:pPr>
        <w:spacing w:line="480" w:lineRule="auto"/>
        <w:rPr>
          <w:rFonts w:eastAsia="Times New Roman" w:cstheme="minorHAnsi"/>
          <w:b/>
          <w:bCs/>
          <w:color w:val="222222"/>
          <w:lang w:val="en-US" w:eastAsia="es-ES"/>
        </w:rPr>
      </w:pPr>
      <w:r>
        <w:rPr>
          <w:rFonts w:eastAsia="Times New Roman" w:cstheme="minorHAnsi"/>
          <w:b/>
          <w:bCs/>
          <w:color w:val="222222"/>
          <w:lang w:val="en-US" w:eastAsia="es-ES"/>
        </w:rPr>
        <w:t>B</w:t>
      </w:r>
      <w:r w:rsidRPr="009B1CCB">
        <w:rPr>
          <w:rFonts w:eastAsia="Times New Roman" w:cstheme="minorHAnsi"/>
          <w:b/>
          <w:bCs/>
          <w:color w:val="222222"/>
          <w:lang w:val="en-US" w:eastAsia="es-ES"/>
        </w:rPr>
        <w:t xml:space="preserve">ulk </w:t>
      </w:r>
      <w:proofErr w:type="spellStart"/>
      <w:r w:rsidRPr="009B1CCB">
        <w:rPr>
          <w:rFonts w:eastAsia="Times New Roman" w:cstheme="minorHAnsi"/>
          <w:b/>
          <w:bCs/>
          <w:color w:val="222222"/>
          <w:lang w:val="en-US" w:eastAsia="es-ES"/>
        </w:rPr>
        <w:t>RNAseq</w:t>
      </w:r>
      <w:proofErr w:type="spellEnd"/>
      <w:r>
        <w:rPr>
          <w:rFonts w:eastAsia="Times New Roman" w:cstheme="minorHAnsi"/>
          <w:b/>
          <w:bCs/>
          <w:color w:val="222222"/>
          <w:lang w:val="en-US" w:eastAsia="es-ES"/>
        </w:rPr>
        <w:t xml:space="preserve"> analysis of tumor-infiltrating NK cell subsets</w:t>
      </w:r>
      <w:r w:rsidRPr="009B1CCB">
        <w:rPr>
          <w:rFonts w:eastAsia="Times New Roman" w:cstheme="minorHAnsi"/>
          <w:b/>
          <w:bCs/>
          <w:color w:val="222222"/>
          <w:lang w:val="en-US" w:eastAsia="es-ES"/>
        </w:rPr>
        <w:t xml:space="preserve"> </w:t>
      </w:r>
      <w:r>
        <w:rPr>
          <w:rFonts w:eastAsia="Times New Roman" w:cstheme="minorHAnsi"/>
          <w:b/>
          <w:bCs/>
          <w:color w:val="222222"/>
          <w:lang w:val="en-US" w:eastAsia="es-ES"/>
        </w:rPr>
        <w:t xml:space="preserve">and </w:t>
      </w:r>
    </w:p>
    <w:p w14:paraId="5FB2146E" w14:textId="2CDB86D8" w:rsidR="00104D61" w:rsidRDefault="00104D61" w:rsidP="00104D61">
      <w:pPr>
        <w:spacing w:line="480" w:lineRule="auto"/>
        <w:rPr>
          <w:rFonts w:eastAsia="Times New Roman" w:cstheme="minorHAnsi"/>
          <w:color w:val="222222"/>
          <w:lang w:val="en-US" w:eastAsia="es-ES"/>
        </w:rPr>
      </w:pPr>
      <w:r w:rsidRPr="00A86C4E">
        <w:rPr>
          <w:rFonts w:eastAsia="Times New Roman" w:cstheme="minorHAnsi"/>
          <w:color w:val="222222"/>
          <w:lang w:val="en-US" w:eastAsia="es-ES"/>
        </w:rPr>
        <w:t xml:space="preserve">Total RNA was isolated from </w:t>
      </w:r>
      <w:r>
        <w:rPr>
          <w:rFonts w:eastAsia="Times New Roman" w:cstheme="minorHAnsi"/>
          <w:color w:val="222222"/>
          <w:lang w:val="en-US" w:eastAsia="es-ES"/>
        </w:rPr>
        <w:t>each sorted</w:t>
      </w:r>
      <w:r w:rsidRPr="00A86C4E">
        <w:rPr>
          <w:rFonts w:eastAsia="Times New Roman" w:cstheme="minorHAnsi"/>
          <w:color w:val="222222"/>
          <w:lang w:val="en-US" w:eastAsia="es-ES"/>
        </w:rPr>
        <w:t xml:space="preserve"> NK cell</w:t>
      </w:r>
      <w:r>
        <w:rPr>
          <w:rFonts w:eastAsia="Times New Roman" w:cstheme="minorHAnsi"/>
          <w:color w:val="222222"/>
          <w:lang w:val="en-US" w:eastAsia="es-ES"/>
        </w:rPr>
        <w:t xml:space="preserve"> subset using</w:t>
      </w:r>
      <w:r w:rsidRPr="00A86C4E">
        <w:rPr>
          <w:rFonts w:eastAsia="Times New Roman" w:cstheme="minorHAnsi"/>
          <w:color w:val="222222"/>
          <w:lang w:val="en-US" w:eastAsia="es-ES"/>
        </w:rPr>
        <w:t xml:space="preserve"> RNeasy® Micro Kit</w:t>
      </w:r>
      <w:r>
        <w:rPr>
          <w:rFonts w:eastAsia="Times New Roman" w:cstheme="minorHAnsi"/>
          <w:color w:val="222222"/>
          <w:lang w:val="en-US" w:eastAsia="es-ES"/>
        </w:rPr>
        <w:t xml:space="preserve"> (74004,</w:t>
      </w:r>
      <w:r w:rsidRPr="00A86C4E">
        <w:rPr>
          <w:rFonts w:eastAsia="Times New Roman" w:cstheme="minorHAnsi"/>
          <w:color w:val="222222"/>
          <w:lang w:val="en-US" w:eastAsia="es-ES"/>
        </w:rPr>
        <w:t xml:space="preserve"> Qiagen) </w:t>
      </w:r>
      <w:r>
        <w:rPr>
          <w:rFonts w:eastAsia="Times New Roman" w:cstheme="minorHAnsi"/>
          <w:color w:val="222222"/>
          <w:lang w:val="en-US" w:eastAsia="es-ES"/>
        </w:rPr>
        <w:t xml:space="preserve">RNA samples were subsequently subjected to </w:t>
      </w:r>
      <w:r w:rsidRPr="00A86C4E">
        <w:rPr>
          <w:rFonts w:eastAsia="Times New Roman" w:cstheme="minorHAnsi"/>
          <w:color w:val="222222"/>
          <w:lang w:val="en-US" w:eastAsia="es-ES"/>
        </w:rPr>
        <w:t>RNA-sequenc</w:t>
      </w:r>
      <w:r>
        <w:rPr>
          <w:rFonts w:eastAsia="Times New Roman" w:cstheme="minorHAnsi"/>
          <w:color w:val="222222"/>
          <w:lang w:val="en-US" w:eastAsia="es-ES"/>
        </w:rPr>
        <w:t>ing</w:t>
      </w:r>
      <w:r w:rsidRPr="00A86C4E">
        <w:rPr>
          <w:rFonts w:eastAsia="Times New Roman" w:cstheme="minorHAnsi"/>
          <w:color w:val="222222"/>
          <w:lang w:val="en-US" w:eastAsia="es-ES"/>
        </w:rPr>
        <w:t xml:space="preserve"> (RNA-seq) </w:t>
      </w:r>
      <w:r>
        <w:rPr>
          <w:rFonts w:eastAsia="Times New Roman" w:cstheme="minorHAnsi"/>
          <w:color w:val="222222"/>
          <w:lang w:val="en-US" w:eastAsia="es-ES"/>
        </w:rPr>
        <w:t>at</w:t>
      </w:r>
      <w:r w:rsidRPr="00A86C4E">
        <w:rPr>
          <w:rFonts w:eastAsia="Times New Roman" w:cstheme="minorHAnsi"/>
          <w:color w:val="222222"/>
          <w:lang w:val="en-US" w:eastAsia="es-ES"/>
        </w:rPr>
        <w:t xml:space="preserve"> the Genomics UPF facility at </w:t>
      </w:r>
      <w:proofErr w:type="spellStart"/>
      <w:r w:rsidRPr="00A86C4E">
        <w:rPr>
          <w:rFonts w:eastAsia="Times New Roman" w:cstheme="minorHAnsi"/>
          <w:color w:val="222222"/>
          <w:lang w:val="en-US" w:eastAsia="es-ES"/>
        </w:rPr>
        <w:t>Universitat</w:t>
      </w:r>
      <w:proofErr w:type="spellEnd"/>
      <w:r w:rsidRPr="00A86C4E">
        <w:rPr>
          <w:rFonts w:eastAsia="Times New Roman" w:cstheme="minorHAnsi"/>
          <w:color w:val="222222"/>
          <w:lang w:val="en-US" w:eastAsia="es-ES"/>
        </w:rPr>
        <w:t xml:space="preserve"> </w:t>
      </w:r>
      <w:proofErr w:type="spellStart"/>
      <w:r w:rsidRPr="00A86C4E">
        <w:rPr>
          <w:rFonts w:eastAsia="Times New Roman" w:cstheme="minorHAnsi"/>
          <w:color w:val="222222"/>
          <w:lang w:val="en-US" w:eastAsia="es-ES"/>
        </w:rPr>
        <w:t>Pompeu</w:t>
      </w:r>
      <w:proofErr w:type="spellEnd"/>
      <w:r w:rsidRPr="00A86C4E">
        <w:rPr>
          <w:rFonts w:eastAsia="Times New Roman" w:cstheme="minorHAnsi"/>
          <w:color w:val="222222"/>
          <w:lang w:val="en-US" w:eastAsia="es-ES"/>
        </w:rPr>
        <w:t xml:space="preserve"> </w:t>
      </w:r>
      <w:proofErr w:type="spellStart"/>
      <w:r w:rsidRPr="00A86C4E">
        <w:rPr>
          <w:rFonts w:eastAsia="Times New Roman" w:cstheme="minorHAnsi"/>
          <w:color w:val="222222"/>
          <w:lang w:val="en-US" w:eastAsia="es-ES"/>
        </w:rPr>
        <w:t>Fabra</w:t>
      </w:r>
      <w:proofErr w:type="spellEnd"/>
      <w:r w:rsidRPr="00A86C4E">
        <w:rPr>
          <w:rFonts w:eastAsia="Times New Roman" w:cstheme="minorHAnsi"/>
          <w:color w:val="222222"/>
          <w:lang w:val="en-US" w:eastAsia="es-ES"/>
        </w:rPr>
        <w:t>, Barcelon</w:t>
      </w:r>
      <w:r>
        <w:rPr>
          <w:rFonts w:eastAsia="Times New Roman" w:cstheme="minorHAnsi"/>
          <w:color w:val="222222"/>
          <w:lang w:val="en-US" w:eastAsia="es-ES"/>
        </w:rPr>
        <w:t>a</w:t>
      </w:r>
      <w:r w:rsidRPr="00F809E3">
        <w:rPr>
          <w:rFonts w:eastAsia="Times New Roman" w:cstheme="minorHAnsi"/>
          <w:color w:val="222222"/>
          <w:lang w:val="en-US" w:eastAsia="es-ES"/>
        </w:rPr>
        <w:t>.</w:t>
      </w:r>
      <w:r>
        <w:rPr>
          <w:rFonts w:eastAsia="Times New Roman" w:cstheme="minorHAnsi"/>
          <w:color w:val="222222"/>
          <w:lang w:val="en-US" w:eastAsia="es-ES"/>
        </w:rPr>
        <w:t xml:space="preserve"> NGS libraries </w:t>
      </w:r>
      <w:r w:rsidRPr="00B26723">
        <w:rPr>
          <w:rFonts w:eastAsia="Times New Roman" w:cstheme="minorHAnsi"/>
          <w:color w:val="222222"/>
          <w:lang w:val="en-US" w:eastAsia="es-ES"/>
        </w:rPr>
        <w:t xml:space="preserve">of each </w:t>
      </w:r>
      <w:r>
        <w:rPr>
          <w:rFonts w:eastAsia="Times New Roman" w:cstheme="minorHAnsi"/>
          <w:color w:val="222222"/>
          <w:lang w:val="en-US" w:eastAsia="es-ES"/>
        </w:rPr>
        <w:t>were prepared</w:t>
      </w:r>
      <w:r w:rsidRPr="00B26723">
        <w:rPr>
          <w:rFonts w:eastAsia="Times New Roman" w:cstheme="minorHAnsi"/>
          <w:color w:val="FF0000"/>
          <w:lang w:val="en-US" w:eastAsia="es-ES"/>
        </w:rPr>
        <w:t xml:space="preserve"> </w:t>
      </w:r>
      <w:r>
        <w:rPr>
          <w:rFonts w:eastAsia="Times New Roman" w:cstheme="minorHAnsi"/>
          <w:color w:val="222222"/>
          <w:lang w:val="en-US" w:eastAsia="es-ES"/>
        </w:rPr>
        <w:t>using</w:t>
      </w:r>
      <w:r w:rsidRPr="00B26723">
        <w:rPr>
          <w:rFonts w:eastAsia="Times New Roman" w:cstheme="minorHAnsi"/>
          <w:color w:val="222222"/>
          <w:lang w:val="en-US" w:eastAsia="es-ES"/>
        </w:rPr>
        <w:t xml:space="preserve"> the </w:t>
      </w:r>
      <w:proofErr w:type="spellStart"/>
      <w:r w:rsidRPr="00B26723">
        <w:rPr>
          <w:rFonts w:eastAsia="Times New Roman" w:cstheme="minorHAnsi"/>
          <w:color w:val="222222"/>
          <w:lang w:val="en-US" w:eastAsia="es-ES"/>
        </w:rPr>
        <w:t>NebNext</w:t>
      </w:r>
      <w:proofErr w:type="spellEnd"/>
      <w:r w:rsidRPr="00B26723">
        <w:rPr>
          <w:rFonts w:eastAsia="Times New Roman" w:cstheme="minorHAnsi"/>
          <w:color w:val="222222"/>
          <w:lang w:val="en-US" w:eastAsia="es-ES"/>
        </w:rPr>
        <w:t xml:space="preserve"> Ultra II Directional RNA Library Prep Kit for Illumina (New England </w:t>
      </w:r>
      <w:proofErr w:type="spellStart"/>
      <w:r w:rsidRPr="00B26723">
        <w:rPr>
          <w:rFonts w:eastAsia="Times New Roman" w:cstheme="minorHAnsi"/>
          <w:color w:val="222222"/>
          <w:lang w:val="en-US" w:eastAsia="es-ES"/>
        </w:rPr>
        <w:t>BioLabs</w:t>
      </w:r>
      <w:proofErr w:type="spellEnd"/>
      <w:r w:rsidRPr="00B26723">
        <w:rPr>
          <w:rFonts w:eastAsia="Times New Roman" w:cstheme="minorHAnsi"/>
          <w:color w:val="222222"/>
          <w:lang w:val="en-US" w:eastAsia="es-ES"/>
        </w:rPr>
        <w:t xml:space="preserve">) with </w:t>
      </w:r>
      <w:proofErr w:type="spellStart"/>
      <w:r w:rsidRPr="00B26723">
        <w:rPr>
          <w:rFonts w:eastAsia="Times New Roman" w:cstheme="minorHAnsi"/>
          <w:color w:val="222222"/>
          <w:lang w:val="en-US" w:eastAsia="es-ES"/>
        </w:rPr>
        <w:t>PolyA</w:t>
      </w:r>
      <w:proofErr w:type="spellEnd"/>
      <w:r w:rsidRPr="00B26723">
        <w:rPr>
          <w:rFonts w:eastAsia="Times New Roman" w:cstheme="minorHAnsi"/>
          <w:color w:val="222222"/>
          <w:lang w:val="en-US" w:eastAsia="es-ES"/>
        </w:rPr>
        <w:t xml:space="preserve"> capture. </w:t>
      </w:r>
      <w:r>
        <w:rPr>
          <w:rFonts w:eastAsia="Times New Roman" w:cstheme="minorHAnsi"/>
          <w:color w:val="222222"/>
          <w:lang w:val="en-US" w:eastAsia="es-ES"/>
        </w:rPr>
        <w:t>The q</w:t>
      </w:r>
      <w:r w:rsidRPr="00B26723">
        <w:rPr>
          <w:rFonts w:eastAsia="Times New Roman" w:cstheme="minorHAnsi"/>
          <w:color w:val="222222"/>
          <w:lang w:val="en-US" w:eastAsia="es-ES"/>
        </w:rPr>
        <w:t xml:space="preserve">uality and concentration </w:t>
      </w:r>
      <w:r>
        <w:rPr>
          <w:rFonts w:eastAsia="Times New Roman" w:cstheme="minorHAnsi"/>
          <w:color w:val="222222"/>
          <w:lang w:val="en-US" w:eastAsia="es-ES"/>
        </w:rPr>
        <w:t xml:space="preserve">of the libraries </w:t>
      </w:r>
      <w:r w:rsidRPr="00B26723">
        <w:rPr>
          <w:rFonts w:eastAsia="Times New Roman" w:cstheme="minorHAnsi"/>
          <w:color w:val="222222"/>
          <w:lang w:val="en-US" w:eastAsia="es-ES"/>
        </w:rPr>
        <w:t xml:space="preserve">were validated with </w:t>
      </w:r>
      <w:proofErr w:type="spellStart"/>
      <w:r w:rsidRPr="00B26723">
        <w:rPr>
          <w:rFonts w:eastAsia="Times New Roman" w:cstheme="minorHAnsi"/>
          <w:color w:val="222222"/>
          <w:lang w:val="en-US" w:eastAsia="es-ES"/>
        </w:rPr>
        <w:t>TapeStation</w:t>
      </w:r>
      <w:proofErr w:type="spellEnd"/>
      <w:r w:rsidRPr="00B26723">
        <w:rPr>
          <w:rFonts w:eastAsia="Times New Roman" w:cstheme="minorHAnsi"/>
          <w:color w:val="222222"/>
          <w:lang w:val="en-US" w:eastAsia="es-ES"/>
        </w:rPr>
        <w:t xml:space="preserve"> D1000 (Agilent Technologies). </w:t>
      </w:r>
      <w:r>
        <w:rPr>
          <w:rFonts w:eastAsia="Times New Roman" w:cstheme="minorHAnsi"/>
          <w:color w:val="222222"/>
          <w:lang w:val="en-US" w:eastAsia="es-ES"/>
        </w:rPr>
        <w:t>Libraries</w:t>
      </w:r>
      <w:r w:rsidRPr="00B26723">
        <w:rPr>
          <w:rFonts w:eastAsia="Times New Roman" w:cstheme="minorHAnsi"/>
          <w:color w:val="222222"/>
          <w:lang w:val="en-US" w:eastAsia="es-ES"/>
        </w:rPr>
        <w:t xml:space="preserve"> were pooled in equimolar proportions, amplified by qPCR with specific primers and sequenced in a </w:t>
      </w:r>
      <w:proofErr w:type="spellStart"/>
      <w:r w:rsidRPr="00B26723">
        <w:rPr>
          <w:rFonts w:eastAsia="Times New Roman" w:cstheme="minorHAnsi"/>
          <w:color w:val="222222"/>
          <w:lang w:val="en-US" w:eastAsia="es-ES"/>
        </w:rPr>
        <w:t>NextSeq</w:t>
      </w:r>
      <w:proofErr w:type="spellEnd"/>
      <w:r w:rsidRPr="00B26723">
        <w:rPr>
          <w:rFonts w:eastAsia="Times New Roman" w:cstheme="minorHAnsi"/>
          <w:color w:val="222222"/>
          <w:lang w:val="en-US" w:eastAsia="es-ES"/>
        </w:rPr>
        <w:t xml:space="preserve"> High output 2x75 cycles run (Illumina).</w:t>
      </w:r>
      <w:r>
        <w:rPr>
          <w:rFonts w:eastAsia="Times New Roman" w:cstheme="minorHAnsi"/>
          <w:color w:val="222222"/>
          <w:lang w:val="en-US" w:eastAsia="es-ES"/>
        </w:rPr>
        <w:t xml:space="preserve"> </w:t>
      </w:r>
      <w:r w:rsidRPr="007B08D2">
        <w:rPr>
          <w:rFonts w:eastAsia="Times New Roman" w:cstheme="minorHAnsi"/>
          <w:color w:val="222222"/>
          <w:lang w:val="en-US" w:eastAsia="es-ES"/>
        </w:rPr>
        <w:t xml:space="preserve">Reads were mapped against the human reference genome GRCh38 </w:t>
      </w:r>
      <w:r>
        <w:rPr>
          <w:rFonts w:eastAsia="Times New Roman" w:cstheme="minorHAnsi"/>
          <w:color w:val="222222"/>
          <w:lang w:val="en-US" w:eastAsia="es-ES"/>
        </w:rPr>
        <w:t>using</w:t>
      </w:r>
      <w:r w:rsidRPr="007B08D2">
        <w:rPr>
          <w:rFonts w:eastAsia="Times New Roman" w:cstheme="minorHAnsi"/>
          <w:color w:val="222222"/>
          <w:lang w:val="en-US" w:eastAsia="es-ES"/>
        </w:rPr>
        <w:t xml:space="preserve"> the GRCh38-89 </w:t>
      </w:r>
      <w:proofErr w:type="spellStart"/>
      <w:r w:rsidRPr="007B08D2">
        <w:rPr>
          <w:rFonts w:eastAsia="Times New Roman" w:cstheme="minorHAnsi"/>
          <w:color w:val="222222"/>
          <w:lang w:val="en-US" w:eastAsia="es-ES"/>
        </w:rPr>
        <w:t>Ensembl</w:t>
      </w:r>
      <w:proofErr w:type="spellEnd"/>
      <w:r w:rsidRPr="007B08D2">
        <w:rPr>
          <w:rFonts w:eastAsia="Times New Roman" w:cstheme="minorHAnsi"/>
          <w:color w:val="222222"/>
          <w:lang w:val="en-US" w:eastAsia="es-ES"/>
        </w:rPr>
        <w:t xml:space="preserve"> annotation</w:t>
      </w:r>
      <w:r w:rsidRPr="005228CE">
        <w:rPr>
          <w:rFonts w:eastAsia="Times New Roman" w:cstheme="minorHAnsi"/>
          <w:color w:val="222222"/>
          <w:lang w:val="en-US" w:eastAsia="es-ES"/>
        </w:rPr>
        <w:t xml:space="preserve"> </w:t>
      </w:r>
      <w:r>
        <w:rPr>
          <w:rFonts w:eastAsia="Times New Roman" w:cstheme="minorHAnsi"/>
          <w:color w:val="222222"/>
          <w:lang w:val="en-US" w:eastAsia="es-ES"/>
        </w:rPr>
        <w:t>with</w:t>
      </w:r>
      <w:r w:rsidRPr="007B08D2">
        <w:rPr>
          <w:rFonts w:eastAsia="Times New Roman" w:cstheme="minorHAnsi"/>
          <w:color w:val="222222"/>
          <w:lang w:val="en-US" w:eastAsia="es-ES"/>
        </w:rPr>
        <w:t xml:space="preserve"> STAR software (version 2.7.9a)</w:t>
      </w:r>
      <w:r>
        <w:rPr>
          <w:rFonts w:eastAsia="Times New Roman" w:cstheme="minorHAnsi"/>
          <w:color w:val="222222"/>
          <w:lang w:val="en-US" w:eastAsia="es-ES"/>
        </w:rPr>
        <w:t xml:space="preserve">. </w:t>
      </w:r>
      <w:r w:rsidRPr="007B08D2">
        <w:rPr>
          <w:rFonts w:eastAsia="Times New Roman" w:cstheme="minorHAnsi"/>
          <w:color w:val="222222"/>
          <w:lang w:val="en-US" w:eastAsia="es-ES"/>
        </w:rPr>
        <w:t xml:space="preserve">Counts were obtained with the </w:t>
      </w:r>
      <w:proofErr w:type="spellStart"/>
      <w:r w:rsidRPr="007B08D2">
        <w:rPr>
          <w:rFonts w:eastAsia="Times New Roman" w:cstheme="minorHAnsi"/>
          <w:color w:val="222222"/>
          <w:lang w:val="en-US" w:eastAsia="es-ES"/>
        </w:rPr>
        <w:t>HTSeq</w:t>
      </w:r>
      <w:proofErr w:type="spellEnd"/>
      <w:r w:rsidRPr="007B08D2">
        <w:rPr>
          <w:rFonts w:eastAsia="Times New Roman" w:cstheme="minorHAnsi"/>
          <w:color w:val="222222"/>
          <w:lang w:val="en-US" w:eastAsia="es-ES"/>
        </w:rPr>
        <w:t xml:space="preserve"> software</w:t>
      </w:r>
      <w:r>
        <w:rPr>
          <w:rFonts w:eastAsia="Times New Roman" w:cstheme="minorHAnsi"/>
          <w:color w:val="222222"/>
          <w:lang w:val="en-US" w:eastAsia="es-ES"/>
        </w:rPr>
        <w:t xml:space="preserve"> and were normalized with </w:t>
      </w:r>
      <w:r w:rsidRPr="007B08D2">
        <w:rPr>
          <w:rFonts w:eastAsia="Times New Roman" w:cstheme="minorHAnsi"/>
          <w:color w:val="222222"/>
          <w:lang w:val="en-US" w:eastAsia="es-ES"/>
        </w:rPr>
        <w:t>log2 counts per million (CPM) with the</w:t>
      </w:r>
      <w:r>
        <w:rPr>
          <w:rFonts w:eastAsia="Times New Roman" w:cstheme="minorHAnsi"/>
          <w:color w:val="222222"/>
          <w:lang w:val="en-US" w:eastAsia="es-ES"/>
        </w:rPr>
        <w:t xml:space="preserve"> weighted “trimmed mean method” (TMM) implemented</w:t>
      </w:r>
      <w:r w:rsidRPr="007B08D2">
        <w:rPr>
          <w:rFonts w:eastAsia="Times New Roman" w:cstheme="minorHAnsi"/>
          <w:color w:val="222222"/>
          <w:lang w:val="en-US" w:eastAsia="es-ES"/>
        </w:rPr>
        <w:t xml:space="preserve"> </w:t>
      </w:r>
      <w:r>
        <w:rPr>
          <w:rFonts w:eastAsia="Times New Roman" w:cstheme="minorHAnsi"/>
          <w:color w:val="222222"/>
          <w:lang w:val="en-US" w:eastAsia="es-ES"/>
        </w:rPr>
        <w:t>in</w:t>
      </w:r>
      <w:r w:rsidRPr="007B08D2">
        <w:rPr>
          <w:rFonts w:eastAsia="Times New Roman" w:cstheme="minorHAnsi"/>
          <w:color w:val="222222"/>
          <w:lang w:val="en-US" w:eastAsia="es-ES"/>
        </w:rPr>
        <w:t xml:space="preserve"> the </w:t>
      </w:r>
      <w:proofErr w:type="spellStart"/>
      <w:r w:rsidRPr="007B08D2">
        <w:rPr>
          <w:rFonts w:eastAsia="Times New Roman" w:cstheme="minorHAnsi"/>
          <w:color w:val="222222"/>
          <w:lang w:val="en-US" w:eastAsia="es-ES"/>
        </w:rPr>
        <w:t>edgeR</w:t>
      </w:r>
      <w:proofErr w:type="spellEnd"/>
      <w:r w:rsidRPr="007B08D2">
        <w:rPr>
          <w:rFonts w:eastAsia="Times New Roman" w:cstheme="minorHAnsi"/>
          <w:color w:val="222222"/>
          <w:lang w:val="en-US" w:eastAsia="es-ES"/>
        </w:rPr>
        <w:t xml:space="preserve"> package (version 3.14.0)</w:t>
      </w:r>
      <w:r>
        <w:rPr>
          <w:rFonts w:eastAsia="Times New Roman" w:cstheme="minorHAnsi"/>
          <w:color w:val="222222"/>
          <w:lang w:val="en-US" w:eastAsia="es-ES"/>
        </w:rPr>
        <w:t xml:space="preserve"> with a</w:t>
      </w:r>
      <w:r w:rsidRPr="007B08D2">
        <w:rPr>
          <w:rFonts w:eastAsia="Times New Roman" w:cstheme="minorHAnsi"/>
          <w:color w:val="222222"/>
          <w:lang w:val="en-US" w:eastAsia="es-ES"/>
        </w:rPr>
        <w:t xml:space="preserve"> </w:t>
      </w:r>
      <w:proofErr w:type="spellStart"/>
      <w:proofErr w:type="gramStart"/>
      <w:r w:rsidRPr="007B08D2">
        <w:rPr>
          <w:rFonts w:eastAsia="Times New Roman" w:cstheme="minorHAnsi"/>
          <w:color w:val="222222"/>
          <w:lang w:val="en-US" w:eastAsia="es-ES"/>
        </w:rPr>
        <w:t>prior.count</w:t>
      </w:r>
      <w:proofErr w:type="spellEnd"/>
      <w:proofErr w:type="gramEnd"/>
      <w:r w:rsidRPr="007B08D2">
        <w:rPr>
          <w:rFonts w:eastAsia="Times New Roman" w:cstheme="minorHAnsi"/>
          <w:color w:val="222222"/>
          <w:lang w:val="en-US" w:eastAsia="es-ES"/>
        </w:rPr>
        <w:t>=0.5</w:t>
      </w:r>
      <w:r>
        <w:rPr>
          <w:rFonts w:eastAsia="Times New Roman" w:cstheme="minorHAnsi"/>
          <w:color w:val="222222"/>
          <w:lang w:val="en-US" w:eastAsia="es-ES"/>
        </w:rPr>
        <w:t>.</w:t>
      </w:r>
      <w:r w:rsidRPr="007B08D2">
        <w:rPr>
          <w:rFonts w:eastAsia="Times New Roman" w:cstheme="minorHAnsi"/>
          <w:color w:val="222222"/>
          <w:lang w:val="en-US" w:eastAsia="es-ES"/>
        </w:rPr>
        <w:t xml:space="preserve"> </w:t>
      </w:r>
      <w:r>
        <w:rPr>
          <w:rFonts w:eastAsia="Times New Roman" w:cstheme="minorHAnsi"/>
          <w:color w:val="222222"/>
          <w:lang w:val="en-US" w:eastAsia="es-ES"/>
        </w:rPr>
        <w:t>L</w:t>
      </w:r>
      <w:r w:rsidRPr="007B08D2">
        <w:rPr>
          <w:rFonts w:eastAsia="Times New Roman" w:cstheme="minorHAnsi"/>
          <w:color w:val="222222"/>
          <w:lang w:val="en-US" w:eastAsia="es-ES"/>
        </w:rPr>
        <w:t xml:space="preserve">owly-expressed genes </w:t>
      </w:r>
      <w:r>
        <w:rPr>
          <w:rFonts w:eastAsia="Times New Roman" w:cstheme="minorHAnsi"/>
          <w:color w:val="222222"/>
          <w:lang w:val="en-US" w:eastAsia="es-ES"/>
        </w:rPr>
        <w:t>were filtered out (</w:t>
      </w:r>
      <w:r w:rsidRPr="007B08D2">
        <w:rPr>
          <w:rFonts w:eastAsia="Times New Roman" w:cstheme="minorHAnsi"/>
          <w:color w:val="222222"/>
          <w:lang w:val="en-US" w:eastAsia="es-ES"/>
        </w:rPr>
        <w:t>mean log2(CPM)&lt;-2</w:t>
      </w:r>
      <w:r>
        <w:rPr>
          <w:rFonts w:eastAsia="Times New Roman" w:cstheme="minorHAnsi"/>
          <w:color w:val="222222"/>
          <w:lang w:val="en-US" w:eastAsia="es-ES"/>
        </w:rPr>
        <w:t xml:space="preserve">). </w:t>
      </w:r>
      <w:r w:rsidRPr="009152DA">
        <w:rPr>
          <w:rFonts w:eastAsia="Times New Roman" w:cstheme="minorHAnsi"/>
          <w:color w:val="222222"/>
          <w:lang w:val="en-US" w:eastAsia="es-ES"/>
        </w:rPr>
        <w:lastRenderedPageBreak/>
        <w:t xml:space="preserve">Differential expression analyses were performed </w:t>
      </w:r>
      <w:r>
        <w:rPr>
          <w:rFonts w:eastAsia="Times New Roman" w:cstheme="minorHAnsi"/>
          <w:color w:val="222222"/>
          <w:lang w:val="en-US" w:eastAsia="es-ES"/>
        </w:rPr>
        <w:t xml:space="preserve">using the </w:t>
      </w:r>
      <w:proofErr w:type="spellStart"/>
      <w:r>
        <w:rPr>
          <w:rFonts w:eastAsia="Times New Roman" w:cstheme="minorHAnsi"/>
          <w:color w:val="222222"/>
          <w:lang w:val="en-US" w:eastAsia="es-ES"/>
        </w:rPr>
        <w:t>limma</w:t>
      </w:r>
      <w:proofErr w:type="spellEnd"/>
      <w:r>
        <w:rPr>
          <w:rFonts w:eastAsia="Times New Roman" w:cstheme="minorHAnsi"/>
          <w:color w:val="222222"/>
          <w:lang w:val="en-US" w:eastAsia="es-ES"/>
        </w:rPr>
        <w:t xml:space="preserve"> package with the </w:t>
      </w:r>
      <w:proofErr w:type="spellStart"/>
      <w:r>
        <w:rPr>
          <w:rFonts w:eastAsia="Times New Roman" w:cstheme="minorHAnsi"/>
          <w:color w:val="222222"/>
          <w:lang w:val="en-US" w:eastAsia="es-ES"/>
        </w:rPr>
        <w:t>voom</w:t>
      </w:r>
      <w:proofErr w:type="spellEnd"/>
      <w:r>
        <w:rPr>
          <w:rFonts w:eastAsia="Times New Roman" w:cstheme="minorHAnsi"/>
          <w:color w:val="222222"/>
          <w:lang w:val="en-US" w:eastAsia="es-ES"/>
        </w:rPr>
        <w:t xml:space="preserve"> transformation. Patient and surrogate variables were included in the model. Differentially expressed genes between the three TI-NK cell populations were established </w:t>
      </w:r>
      <w:r w:rsidRPr="00CA001F">
        <w:rPr>
          <w:rFonts w:ascii="Arial" w:hAnsi="Arial" w:cs="Arial"/>
          <w:sz w:val="20"/>
          <w:szCs w:val="20"/>
          <w:lang w:val="en-GB"/>
        </w:rPr>
        <w:t xml:space="preserve">using a threshold of p-value&lt;0,05 and </w:t>
      </w:r>
      <w:r>
        <w:rPr>
          <w:rFonts w:ascii="Arial" w:hAnsi="Arial" w:cs="Arial"/>
          <w:sz w:val="20"/>
          <w:szCs w:val="20"/>
          <w:lang w:val="en-GB"/>
        </w:rPr>
        <w:t>|</w:t>
      </w:r>
      <w:r w:rsidRPr="00CA001F">
        <w:rPr>
          <w:rFonts w:ascii="Arial" w:hAnsi="Arial" w:cs="Arial"/>
          <w:sz w:val="20"/>
          <w:szCs w:val="20"/>
          <w:lang w:val="en-GB"/>
        </w:rPr>
        <w:t>log2(FC)</w:t>
      </w:r>
      <w:r>
        <w:rPr>
          <w:rFonts w:ascii="Arial" w:hAnsi="Arial" w:cs="Arial"/>
          <w:sz w:val="20"/>
          <w:szCs w:val="20"/>
          <w:lang w:val="en-GB"/>
        </w:rPr>
        <w:t>|</w:t>
      </w:r>
      <w:r w:rsidRPr="00CA001F">
        <w:rPr>
          <w:rFonts w:ascii="Arial" w:hAnsi="Arial" w:cs="Arial"/>
          <w:sz w:val="20"/>
          <w:szCs w:val="20"/>
          <w:lang w:val="en-GB"/>
        </w:rPr>
        <w:t>&gt;1</w:t>
      </w:r>
      <w:r>
        <w:rPr>
          <w:rFonts w:ascii="Arial" w:hAnsi="Arial" w:cs="Arial"/>
          <w:sz w:val="20"/>
          <w:szCs w:val="20"/>
          <w:lang w:val="en-GB"/>
        </w:rPr>
        <w:t xml:space="preserve">. </w:t>
      </w:r>
      <w:r w:rsidRPr="00CE5FA3">
        <w:rPr>
          <w:rFonts w:eastAsia="Times New Roman" w:cstheme="minorHAnsi"/>
          <w:color w:val="222222"/>
          <w:lang w:val="en-US" w:eastAsia="es-ES"/>
        </w:rPr>
        <w:t xml:space="preserve">Pre-ranked gene set enrichment analysis (GSEA) was performed with GSEA (version 4.1.0) using the </w:t>
      </w:r>
      <w:proofErr w:type="gramStart"/>
      <w:r w:rsidRPr="00CE5FA3">
        <w:rPr>
          <w:rFonts w:eastAsia="Times New Roman" w:cstheme="minorHAnsi"/>
          <w:color w:val="222222"/>
          <w:lang w:val="en-US" w:eastAsia="es-ES"/>
        </w:rPr>
        <w:t>log(</w:t>
      </w:r>
      <w:proofErr w:type="gramEnd"/>
      <w:r w:rsidRPr="00CE5FA3">
        <w:rPr>
          <w:rFonts w:eastAsia="Times New Roman" w:cstheme="minorHAnsi"/>
          <w:color w:val="222222"/>
          <w:lang w:val="en-US" w:eastAsia="es-ES"/>
        </w:rPr>
        <w:t>p value)*</w:t>
      </w:r>
      <w:proofErr w:type="spellStart"/>
      <w:r w:rsidRPr="00CE5FA3">
        <w:rPr>
          <w:rFonts w:eastAsia="Times New Roman" w:cstheme="minorHAnsi"/>
          <w:color w:val="222222"/>
          <w:lang w:val="en-US" w:eastAsia="es-ES"/>
        </w:rPr>
        <w:t>signFC</w:t>
      </w:r>
      <w:proofErr w:type="spellEnd"/>
      <w:r w:rsidRPr="00CE5FA3">
        <w:rPr>
          <w:rFonts w:eastAsia="Times New Roman" w:cstheme="minorHAnsi"/>
          <w:color w:val="222222"/>
          <w:lang w:val="en-US" w:eastAsia="es-ES"/>
        </w:rPr>
        <w:t>.</w:t>
      </w:r>
      <w:r>
        <w:rPr>
          <w:rFonts w:eastAsia="Times New Roman" w:cstheme="minorHAnsi"/>
          <w:color w:val="222222"/>
          <w:lang w:val="en-US" w:eastAsia="es-ES"/>
        </w:rPr>
        <w:t xml:space="preserve"> G</w:t>
      </w:r>
      <w:r w:rsidRPr="00CE5FA3">
        <w:rPr>
          <w:rFonts w:eastAsia="Times New Roman" w:cstheme="minorHAnsi"/>
          <w:color w:val="222222"/>
          <w:lang w:val="en-US" w:eastAsia="es-ES"/>
        </w:rPr>
        <w:t xml:space="preserve">ene sets tested for enrichment were obtained from the publicly available data from </w:t>
      </w:r>
      <w:proofErr w:type="spellStart"/>
      <w:r w:rsidRPr="00CE5FA3">
        <w:rPr>
          <w:rFonts w:eastAsia="Times New Roman" w:cstheme="minorHAnsi"/>
          <w:color w:val="222222"/>
          <w:lang w:val="en-US" w:eastAsia="es-ES"/>
        </w:rPr>
        <w:t>Koues</w:t>
      </w:r>
      <w:proofErr w:type="spellEnd"/>
      <w:r w:rsidRPr="00CE5FA3">
        <w:rPr>
          <w:rFonts w:eastAsia="Times New Roman" w:cstheme="minorHAnsi"/>
          <w:color w:val="222222"/>
          <w:lang w:val="en-US" w:eastAsia="es-ES"/>
        </w:rPr>
        <w:t xml:space="preserve"> et al</w:t>
      </w:r>
      <w:r w:rsidRPr="002475D6">
        <w:rPr>
          <w:rFonts w:eastAsia="Times New Roman" w:cstheme="minorHAnsi"/>
          <w:color w:val="222222"/>
          <w:lang w:val="en-US" w:eastAsia="es-ES"/>
        </w:rPr>
        <w:t>.</w:t>
      </w:r>
      <w:r w:rsidR="00662B52">
        <w:rPr>
          <w:rFonts w:eastAsia="Times New Roman" w:cstheme="minorHAnsi"/>
          <w:color w:val="222222"/>
          <w:lang w:val="en-US" w:eastAsia="es-ES"/>
        </w:rPr>
        <w:t xml:space="preserve"> </w:t>
      </w:r>
      <w:r w:rsidR="00662B52" w:rsidRPr="00662B52">
        <w:rPr>
          <w:rFonts w:eastAsia="Times New Roman" w:cstheme="minorHAnsi"/>
          <w:color w:val="222222"/>
          <w:lang w:val="en-US" w:eastAsia="es-ES"/>
        </w:rPr>
        <w:t>(</w:t>
      </w:r>
      <w:proofErr w:type="spellStart"/>
      <w:r w:rsidR="00662B52" w:rsidRPr="00662B52">
        <w:rPr>
          <w:rFonts w:eastAsia="Times New Roman" w:cstheme="minorHAnsi"/>
          <w:color w:val="222222"/>
          <w:lang w:val="en-US" w:eastAsia="es-ES"/>
        </w:rPr>
        <w:t>Koues</w:t>
      </w:r>
      <w:proofErr w:type="spellEnd"/>
      <w:r w:rsidR="00662B52" w:rsidRPr="00662B52">
        <w:rPr>
          <w:rFonts w:eastAsia="Times New Roman" w:cstheme="minorHAnsi"/>
          <w:color w:val="222222"/>
          <w:lang w:val="en-US" w:eastAsia="es-ES"/>
        </w:rPr>
        <w:t xml:space="preserve"> et al, Cell, 2016, 165:1134-1146</w:t>
      </w:r>
      <w:r w:rsidR="00662B52">
        <w:rPr>
          <w:rFonts w:eastAsia="Times New Roman" w:cstheme="minorHAnsi"/>
          <w:color w:val="222222"/>
          <w:lang w:val="en-US" w:eastAsia="es-ES"/>
        </w:rPr>
        <w:t>)</w:t>
      </w:r>
      <w:r w:rsidR="00662B52" w:rsidRPr="00662B52">
        <w:rPr>
          <w:rFonts w:eastAsia="Times New Roman" w:cstheme="minorHAnsi"/>
          <w:color w:val="222222"/>
          <w:lang w:val="en-US" w:eastAsia="es-ES"/>
        </w:rPr>
        <w:t xml:space="preserve"> </w:t>
      </w:r>
      <w:r w:rsidR="00662B52">
        <w:rPr>
          <w:rFonts w:eastAsia="Times New Roman" w:cstheme="minorHAnsi"/>
          <w:color w:val="222222"/>
          <w:lang w:val="en-US" w:eastAsia="es-ES"/>
        </w:rPr>
        <w:t>(</w:t>
      </w:r>
      <w:r w:rsidRPr="00CE5FA3">
        <w:rPr>
          <w:rFonts w:eastAsia="Times New Roman" w:cstheme="minorHAnsi"/>
          <w:color w:val="222222"/>
          <w:lang w:val="en-US" w:eastAsia="es-ES"/>
        </w:rPr>
        <w:t>GSE78897)</w:t>
      </w:r>
      <w:r>
        <w:rPr>
          <w:rFonts w:eastAsia="Times New Roman" w:cstheme="minorHAnsi"/>
          <w:color w:val="222222"/>
          <w:lang w:val="en-US" w:eastAsia="es-ES"/>
        </w:rPr>
        <w:t xml:space="preserve"> by performing differential expression between CD56dim NK/ILC1/ILC3 using a threshold of adjusted p-value &gt;0.005 and |log2(FC)|&gt;1</w:t>
      </w:r>
      <w:r w:rsidRPr="00CE5FA3">
        <w:rPr>
          <w:rFonts w:eastAsia="Times New Roman" w:cstheme="minorHAnsi"/>
          <w:color w:val="222222"/>
          <w:lang w:val="en-US" w:eastAsia="es-ES"/>
        </w:rPr>
        <w:t>.</w:t>
      </w:r>
    </w:p>
    <w:p w14:paraId="5475AF6D" w14:textId="77777777" w:rsidR="000F6784" w:rsidRDefault="000F6784" w:rsidP="002B7317">
      <w:pPr>
        <w:spacing w:line="480" w:lineRule="auto"/>
        <w:rPr>
          <w:rFonts w:eastAsia="Times New Roman" w:cstheme="minorHAnsi"/>
          <w:color w:val="222222"/>
          <w:lang w:val="en-US" w:eastAsia="es-ES"/>
        </w:rPr>
      </w:pPr>
    </w:p>
    <w:p w14:paraId="28619AEA" w14:textId="5E4D3666" w:rsidR="002B7317" w:rsidRDefault="002B7317" w:rsidP="002B7317">
      <w:pPr>
        <w:spacing w:line="480" w:lineRule="auto"/>
        <w:rPr>
          <w:rFonts w:eastAsia="Times New Roman" w:cstheme="minorHAnsi"/>
          <w:b/>
          <w:color w:val="222222"/>
          <w:lang w:val="en-US" w:eastAsia="es-ES"/>
        </w:rPr>
      </w:pPr>
    </w:p>
    <w:p w14:paraId="532CC4CA" w14:textId="77865C23" w:rsidR="009473DD" w:rsidRDefault="009473DD" w:rsidP="002B7317">
      <w:pPr>
        <w:spacing w:line="480" w:lineRule="auto"/>
        <w:rPr>
          <w:rFonts w:eastAsia="Times New Roman" w:cstheme="minorHAnsi"/>
          <w:b/>
          <w:color w:val="222222"/>
          <w:lang w:val="en-US" w:eastAsia="es-ES"/>
        </w:rPr>
      </w:pPr>
    </w:p>
    <w:p w14:paraId="788993FC" w14:textId="50FF32B1" w:rsidR="009473DD" w:rsidRDefault="009473DD" w:rsidP="002B7317">
      <w:pPr>
        <w:spacing w:line="480" w:lineRule="auto"/>
        <w:rPr>
          <w:rFonts w:eastAsia="Times New Roman" w:cstheme="minorHAnsi"/>
          <w:b/>
          <w:color w:val="222222"/>
          <w:lang w:val="en-US" w:eastAsia="es-ES"/>
        </w:rPr>
      </w:pPr>
    </w:p>
    <w:p w14:paraId="69488BC9" w14:textId="1F2795E8" w:rsidR="009473DD" w:rsidRDefault="009473DD" w:rsidP="002B7317">
      <w:pPr>
        <w:spacing w:line="480" w:lineRule="auto"/>
        <w:rPr>
          <w:rFonts w:eastAsia="Times New Roman" w:cstheme="minorHAnsi"/>
          <w:b/>
          <w:color w:val="222222"/>
          <w:lang w:val="en-US" w:eastAsia="es-ES"/>
        </w:rPr>
      </w:pPr>
    </w:p>
    <w:p w14:paraId="4CAEB0BC" w14:textId="64BEF2C3" w:rsidR="009473DD" w:rsidRDefault="009473DD" w:rsidP="002B7317">
      <w:pPr>
        <w:spacing w:line="480" w:lineRule="auto"/>
        <w:rPr>
          <w:rFonts w:eastAsia="Times New Roman" w:cstheme="minorHAnsi"/>
          <w:b/>
          <w:color w:val="222222"/>
          <w:lang w:val="en-US" w:eastAsia="es-ES"/>
        </w:rPr>
      </w:pPr>
    </w:p>
    <w:p w14:paraId="0C741436" w14:textId="5C380846" w:rsidR="009473DD" w:rsidRDefault="009473DD" w:rsidP="002B7317">
      <w:pPr>
        <w:spacing w:line="480" w:lineRule="auto"/>
        <w:rPr>
          <w:rFonts w:eastAsia="Times New Roman" w:cstheme="minorHAnsi"/>
          <w:b/>
          <w:color w:val="222222"/>
          <w:lang w:val="en-US" w:eastAsia="es-ES"/>
        </w:rPr>
      </w:pPr>
    </w:p>
    <w:p w14:paraId="6CA24928" w14:textId="28DD7AAB" w:rsidR="009473DD" w:rsidRDefault="009473DD" w:rsidP="002B7317">
      <w:pPr>
        <w:spacing w:line="480" w:lineRule="auto"/>
        <w:rPr>
          <w:rFonts w:eastAsia="Times New Roman" w:cstheme="minorHAnsi"/>
          <w:b/>
          <w:color w:val="222222"/>
          <w:lang w:val="en-US" w:eastAsia="es-ES"/>
        </w:rPr>
      </w:pPr>
    </w:p>
    <w:p w14:paraId="53B7C4C4" w14:textId="4C047A74" w:rsidR="009473DD" w:rsidRDefault="009473DD" w:rsidP="002B7317">
      <w:pPr>
        <w:spacing w:line="480" w:lineRule="auto"/>
        <w:rPr>
          <w:rFonts w:eastAsia="Times New Roman" w:cstheme="minorHAnsi"/>
          <w:b/>
          <w:color w:val="222222"/>
          <w:lang w:val="en-US" w:eastAsia="es-ES"/>
        </w:rPr>
      </w:pPr>
    </w:p>
    <w:p w14:paraId="62DA9984" w14:textId="774053F0" w:rsidR="009473DD" w:rsidRDefault="009473DD" w:rsidP="002B7317">
      <w:pPr>
        <w:spacing w:line="480" w:lineRule="auto"/>
        <w:rPr>
          <w:rFonts w:eastAsia="Times New Roman" w:cstheme="minorHAnsi"/>
          <w:b/>
          <w:color w:val="222222"/>
          <w:lang w:val="en-US" w:eastAsia="es-ES"/>
        </w:rPr>
      </w:pPr>
    </w:p>
    <w:p w14:paraId="79E1091B" w14:textId="492758CE" w:rsidR="009473DD" w:rsidRDefault="009473DD" w:rsidP="002B7317">
      <w:pPr>
        <w:spacing w:line="480" w:lineRule="auto"/>
        <w:rPr>
          <w:rFonts w:eastAsia="Times New Roman" w:cstheme="minorHAnsi"/>
          <w:b/>
          <w:color w:val="222222"/>
          <w:lang w:val="en-US" w:eastAsia="es-ES"/>
        </w:rPr>
      </w:pPr>
    </w:p>
    <w:p w14:paraId="0586A464" w14:textId="195D43BB" w:rsidR="009473DD" w:rsidRDefault="009473DD" w:rsidP="002B7317">
      <w:pPr>
        <w:spacing w:line="480" w:lineRule="auto"/>
        <w:rPr>
          <w:rFonts w:eastAsia="Times New Roman" w:cstheme="minorHAnsi"/>
          <w:b/>
          <w:color w:val="222222"/>
          <w:lang w:val="en-US" w:eastAsia="es-ES"/>
        </w:rPr>
      </w:pPr>
    </w:p>
    <w:p w14:paraId="29FC27A4" w14:textId="498975BA" w:rsidR="009473DD" w:rsidRDefault="009473DD" w:rsidP="002B7317">
      <w:pPr>
        <w:spacing w:line="480" w:lineRule="auto"/>
        <w:rPr>
          <w:rFonts w:eastAsia="Times New Roman" w:cstheme="minorHAnsi"/>
          <w:b/>
          <w:color w:val="222222"/>
          <w:lang w:val="en-US" w:eastAsia="es-ES"/>
        </w:rPr>
      </w:pPr>
    </w:p>
    <w:p w14:paraId="39762E6C" w14:textId="05DFB483" w:rsidR="009473DD" w:rsidRDefault="009473DD" w:rsidP="002B7317">
      <w:pPr>
        <w:spacing w:line="480" w:lineRule="auto"/>
        <w:rPr>
          <w:rFonts w:eastAsia="Times New Roman" w:cstheme="minorHAnsi"/>
          <w:b/>
          <w:color w:val="222222"/>
          <w:lang w:val="en-US" w:eastAsia="es-ES"/>
        </w:rPr>
      </w:pPr>
    </w:p>
    <w:p w14:paraId="6F68F3C9" w14:textId="22B4D456" w:rsidR="009473DD" w:rsidRDefault="009473DD" w:rsidP="002B7317">
      <w:pPr>
        <w:spacing w:line="480" w:lineRule="auto"/>
        <w:rPr>
          <w:rFonts w:eastAsia="Times New Roman" w:cstheme="minorHAnsi"/>
          <w:b/>
          <w:color w:val="222222"/>
          <w:lang w:val="en-US" w:eastAsia="es-ES"/>
        </w:rPr>
      </w:pPr>
    </w:p>
    <w:p w14:paraId="0E42BAA4" w14:textId="739C470E" w:rsidR="009473DD" w:rsidRDefault="009473DD" w:rsidP="002B7317">
      <w:pPr>
        <w:spacing w:line="480" w:lineRule="auto"/>
        <w:rPr>
          <w:rFonts w:eastAsia="Times New Roman" w:cstheme="minorHAnsi"/>
          <w:b/>
          <w:color w:val="222222"/>
          <w:lang w:val="en-US" w:eastAsia="es-ES"/>
        </w:rPr>
      </w:pPr>
      <w:r>
        <w:rPr>
          <w:rFonts w:eastAsia="Times New Roman" w:cstheme="minorHAnsi"/>
          <w:b/>
          <w:color w:val="222222"/>
          <w:lang w:val="en-US" w:eastAsia="es-ES"/>
        </w:rPr>
        <w:t>SUPPLEMENTARY FIGURES AND TABLES</w:t>
      </w:r>
    </w:p>
    <w:p w14:paraId="4D5ED168" w14:textId="4ECB240A" w:rsidR="009473DD" w:rsidRPr="002B7317" w:rsidRDefault="009473DD" w:rsidP="002B7317">
      <w:pPr>
        <w:spacing w:line="480" w:lineRule="auto"/>
        <w:rPr>
          <w:rFonts w:eastAsia="Times New Roman" w:cstheme="minorHAnsi"/>
          <w:b/>
          <w:color w:val="222222"/>
          <w:lang w:val="en-US" w:eastAsia="es-ES"/>
        </w:rPr>
      </w:pPr>
      <w:r>
        <w:rPr>
          <w:rFonts w:eastAsia="Times New Roman" w:cstheme="minorHAnsi"/>
          <w:b/>
          <w:noProof/>
          <w:color w:val="222222"/>
          <w:lang w:val="en-US" w:eastAsia="es-ES"/>
        </w:rPr>
        <w:drawing>
          <wp:inline distT="0" distB="0" distL="0" distR="0" wp14:anchorId="7B575B34" wp14:editId="45723D42">
            <wp:extent cx="6121570" cy="74796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5956" cy="7485024"/>
                    </a:xfrm>
                    <a:prstGeom prst="rect">
                      <a:avLst/>
                    </a:prstGeom>
                    <a:noFill/>
                  </pic:spPr>
                </pic:pic>
              </a:graphicData>
            </a:graphic>
          </wp:inline>
        </w:drawing>
      </w:r>
    </w:p>
    <w:p w14:paraId="0C513985" w14:textId="4AA4F1D4" w:rsidR="000610F1" w:rsidRDefault="000610F1" w:rsidP="002B7317">
      <w:pPr>
        <w:spacing w:line="480" w:lineRule="auto"/>
        <w:rPr>
          <w:lang w:val="en-US"/>
        </w:rPr>
      </w:pPr>
    </w:p>
    <w:p w14:paraId="34DE3E96" w14:textId="4D13E1E6" w:rsidR="009473DD" w:rsidRDefault="009473DD" w:rsidP="002B7317">
      <w:pPr>
        <w:spacing w:line="480" w:lineRule="auto"/>
        <w:rPr>
          <w:lang w:val="en-US"/>
        </w:rPr>
      </w:pPr>
    </w:p>
    <w:p w14:paraId="3DF91C87" w14:textId="77777777" w:rsidR="009473DD" w:rsidRDefault="009473DD" w:rsidP="002B7317">
      <w:pPr>
        <w:spacing w:line="480" w:lineRule="auto"/>
        <w:rPr>
          <w:lang w:val="en-US"/>
        </w:rPr>
      </w:pPr>
    </w:p>
    <w:p w14:paraId="174D8BBE" w14:textId="0028B7D2" w:rsidR="009473DD" w:rsidRDefault="009473DD" w:rsidP="002B7317">
      <w:pPr>
        <w:spacing w:line="480" w:lineRule="auto"/>
        <w:rPr>
          <w:lang w:val="en-US"/>
        </w:rPr>
      </w:pPr>
      <w:r>
        <w:rPr>
          <w:noProof/>
          <w:lang w:val="en-US"/>
        </w:rPr>
        <w:drawing>
          <wp:inline distT="0" distB="0" distL="0" distR="0" wp14:anchorId="31A08A9D" wp14:editId="4730BAEF">
            <wp:extent cx="6261100" cy="41700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61100" cy="4170045"/>
                    </a:xfrm>
                    <a:prstGeom prst="rect">
                      <a:avLst/>
                    </a:prstGeom>
                    <a:noFill/>
                  </pic:spPr>
                </pic:pic>
              </a:graphicData>
            </a:graphic>
          </wp:inline>
        </w:drawing>
      </w:r>
    </w:p>
    <w:p w14:paraId="3520AC63" w14:textId="53780985" w:rsidR="009473DD" w:rsidRDefault="009473DD" w:rsidP="002B7317">
      <w:pPr>
        <w:spacing w:line="480" w:lineRule="auto"/>
        <w:rPr>
          <w:lang w:val="en-US"/>
        </w:rPr>
      </w:pPr>
    </w:p>
    <w:p w14:paraId="3F12238F" w14:textId="35EB0289" w:rsidR="009473DD" w:rsidRDefault="009473DD" w:rsidP="002B7317">
      <w:pPr>
        <w:spacing w:line="480" w:lineRule="auto"/>
        <w:rPr>
          <w:lang w:val="en-US"/>
        </w:rPr>
      </w:pPr>
    </w:p>
    <w:p w14:paraId="13CD1697" w14:textId="3DE86A02" w:rsidR="009473DD" w:rsidRDefault="009473DD" w:rsidP="002B7317">
      <w:pPr>
        <w:spacing w:line="480" w:lineRule="auto"/>
        <w:rPr>
          <w:lang w:val="en-US"/>
        </w:rPr>
      </w:pPr>
    </w:p>
    <w:p w14:paraId="1837AFB0" w14:textId="2B5BA810" w:rsidR="009473DD" w:rsidRDefault="009473DD" w:rsidP="002B7317">
      <w:pPr>
        <w:spacing w:line="480" w:lineRule="auto"/>
        <w:rPr>
          <w:lang w:val="en-US"/>
        </w:rPr>
      </w:pPr>
    </w:p>
    <w:p w14:paraId="764B3F55" w14:textId="3FC991B2" w:rsidR="009473DD" w:rsidRDefault="009473DD" w:rsidP="002B7317">
      <w:pPr>
        <w:spacing w:line="480" w:lineRule="auto"/>
        <w:rPr>
          <w:lang w:val="en-US"/>
        </w:rPr>
      </w:pPr>
    </w:p>
    <w:p w14:paraId="32E73035" w14:textId="6A313339" w:rsidR="009473DD" w:rsidRDefault="009473DD" w:rsidP="002B7317">
      <w:pPr>
        <w:spacing w:line="480" w:lineRule="auto"/>
        <w:rPr>
          <w:lang w:val="en-US"/>
        </w:rPr>
      </w:pPr>
    </w:p>
    <w:p w14:paraId="7C8706F7" w14:textId="63233C32" w:rsidR="009473DD" w:rsidRDefault="009473DD" w:rsidP="002B7317">
      <w:pPr>
        <w:spacing w:line="480" w:lineRule="auto"/>
        <w:rPr>
          <w:lang w:val="en-US"/>
        </w:rPr>
      </w:pPr>
    </w:p>
    <w:p w14:paraId="59C93DC7" w14:textId="1853DF8D" w:rsidR="009473DD" w:rsidRDefault="009473DD" w:rsidP="002B7317">
      <w:pPr>
        <w:spacing w:line="480" w:lineRule="auto"/>
        <w:rPr>
          <w:lang w:val="en-US"/>
        </w:rPr>
      </w:pPr>
    </w:p>
    <w:p w14:paraId="64B3D90C" w14:textId="629A7D5F" w:rsidR="009473DD" w:rsidRDefault="009473DD" w:rsidP="002B7317">
      <w:pPr>
        <w:spacing w:line="480" w:lineRule="auto"/>
        <w:rPr>
          <w:lang w:val="en-US"/>
        </w:rPr>
      </w:pPr>
    </w:p>
    <w:p w14:paraId="421F917A" w14:textId="6116E22F" w:rsidR="009473DD" w:rsidRPr="000F0594" w:rsidRDefault="009473DD" w:rsidP="002B7317">
      <w:pPr>
        <w:spacing w:line="480" w:lineRule="auto"/>
        <w:rPr>
          <w:lang w:val="en-US"/>
        </w:rPr>
      </w:pPr>
      <w:r>
        <w:rPr>
          <w:noProof/>
          <w:lang w:val="en-US"/>
        </w:rPr>
        <w:drawing>
          <wp:inline distT="0" distB="0" distL="0" distR="0" wp14:anchorId="3EF580C8" wp14:editId="2CCA1F13">
            <wp:extent cx="6443980" cy="507809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43980" cy="5078095"/>
                    </a:xfrm>
                    <a:prstGeom prst="rect">
                      <a:avLst/>
                    </a:prstGeom>
                    <a:noFill/>
                  </pic:spPr>
                </pic:pic>
              </a:graphicData>
            </a:graphic>
          </wp:inline>
        </w:drawing>
      </w:r>
    </w:p>
    <w:p w14:paraId="3B098194" w14:textId="3439B378" w:rsidR="00D37F0A" w:rsidRDefault="00D37F0A" w:rsidP="002B7317">
      <w:pPr>
        <w:spacing w:line="480" w:lineRule="auto"/>
        <w:rPr>
          <w:lang w:val="en-US"/>
        </w:rPr>
      </w:pPr>
    </w:p>
    <w:p w14:paraId="01CFD9C6" w14:textId="2540CF98" w:rsidR="004B4EC1" w:rsidRDefault="004B4EC1" w:rsidP="00BC0060">
      <w:pPr>
        <w:tabs>
          <w:tab w:val="left" w:pos="3150"/>
        </w:tabs>
        <w:rPr>
          <w:lang w:val="en-US"/>
        </w:rPr>
      </w:pPr>
    </w:p>
    <w:p w14:paraId="4268B364" w14:textId="45B6CD82" w:rsidR="009473DD" w:rsidRDefault="009473DD" w:rsidP="00BC0060">
      <w:pPr>
        <w:tabs>
          <w:tab w:val="left" w:pos="3150"/>
        </w:tabs>
        <w:rPr>
          <w:lang w:val="en-US"/>
        </w:rPr>
      </w:pPr>
    </w:p>
    <w:p w14:paraId="10F6C753" w14:textId="66497F7C" w:rsidR="009473DD" w:rsidRDefault="009473DD" w:rsidP="00BC0060">
      <w:pPr>
        <w:tabs>
          <w:tab w:val="left" w:pos="3150"/>
        </w:tabs>
        <w:rPr>
          <w:lang w:val="en-US"/>
        </w:rPr>
      </w:pPr>
    </w:p>
    <w:p w14:paraId="2CACAB10" w14:textId="772B57AE" w:rsidR="009473DD" w:rsidRDefault="009473DD" w:rsidP="00BC0060">
      <w:pPr>
        <w:tabs>
          <w:tab w:val="left" w:pos="3150"/>
        </w:tabs>
        <w:rPr>
          <w:lang w:val="en-US"/>
        </w:rPr>
      </w:pPr>
    </w:p>
    <w:p w14:paraId="54CFAA5E" w14:textId="3DC7B13D" w:rsidR="009473DD" w:rsidRDefault="009473DD" w:rsidP="00BC0060">
      <w:pPr>
        <w:tabs>
          <w:tab w:val="left" w:pos="3150"/>
        </w:tabs>
        <w:rPr>
          <w:lang w:val="en-US"/>
        </w:rPr>
      </w:pPr>
    </w:p>
    <w:p w14:paraId="30E749E0" w14:textId="3409F29D" w:rsidR="009473DD" w:rsidRDefault="009473DD" w:rsidP="00BC0060">
      <w:pPr>
        <w:tabs>
          <w:tab w:val="left" w:pos="3150"/>
        </w:tabs>
        <w:rPr>
          <w:lang w:val="en-US"/>
        </w:rPr>
      </w:pPr>
    </w:p>
    <w:p w14:paraId="7CAD3B83" w14:textId="1CD0FF90" w:rsidR="009473DD" w:rsidRDefault="009473DD" w:rsidP="00BC0060">
      <w:pPr>
        <w:tabs>
          <w:tab w:val="left" w:pos="3150"/>
        </w:tabs>
        <w:rPr>
          <w:lang w:val="en-US"/>
        </w:rPr>
      </w:pPr>
    </w:p>
    <w:p w14:paraId="18E8EB3E" w14:textId="3A955848" w:rsidR="009473DD" w:rsidRDefault="009473DD" w:rsidP="00BC0060">
      <w:pPr>
        <w:tabs>
          <w:tab w:val="left" w:pos="3150"/>
        </w:tabs>
        <w:rPr>
          <w:lang w:val="en-US"/>
        </w:rPr>
      </w:pPr>
    </w:p>
    <w:p w14:paraId="0E6882D3" w14:textId="5A6F82C3" w:rsidR="009473DD" w:rsidRDefault="009473DD" w:rsidP="00BC0060">
      <w:pPr>
        <w:tabs>
          <w:tab w:val="left" w:pos="3150"/>
        </w:tabs>
        <w:rPr>
          <w:lang w:val="en-US"/>
        </w:rPr>
      </w:pPr>
    </w:p>
    <w:p w14:paraId="02F84FD4" w14:textId="0B1B3B74" w:rsidR="009473DD" w:rsidRDefault="009473DD" w:rsidP="00BC0060">
      <w:pPr>
        <w:tabs>
          <w:tab w:val="left" w:pos="3150"/>
        </w:tabs>
        <w:rPr>
          <w:lang w:val="en-US"/>
        </w:rPr>
      </w:pPr>
    </w:p>
    <w:p w14:paraId="2EC496E7" w14:textId="46DDEA82" w:rsidR="009473DD" w:rsidRDefault="009473DD" w:rsidP="00BC0060">
      <w:pPr>
        <w:tabs>
          <w:tab w:val="left" w:pos="3150"/>
        </w:tabs>
        <w:rPr>
          <w:lang w:val="en-US"/>
        </w:rPr>
      </w:pPr>
    </w:p>
    <w:p w14:paraId="16124D20" w14:textId="3DF83A22" w:rsidR="009473DD" w:rsidRDefault="009473DD" w:rsidP="00BC0060">
      <w:pPr>
        <w:tabs>
          <w:tab w:val="left" w:pos="3150"/>
        </w:tabs>
        <w:rPr>
          <w:lang w:val="en-US"/>
        </w:rPr>
      </w:pPr>
      <w:r>
        <w:rPr>
          <w:noProof/>
          <w:lang w:val="en-US"/>
        </w:rPr>
        <w:drawing>
          <wp:inline distT="0" distB="0" distL="0" distR="0" wp14:anchorId="1B00A5B7" wp14:editId="41644001">
            <wp:extent cx="6015426" cy="4424680"/>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8484" cy="4426929"/>
                    </a:xfrm>
                    <a:prstGeom prst="rect">
                      <a:avLst/>
                    </a:prstGeom>
                    <a:noFill/>
                  </pic:spPr>
                </pic:pic>
              </a:graphicData>
            </a:graphic>
          </wp:inline>
        </w:drawing>
      </w:r>
    </w:p>
    <w:p w14:paraId="76DB0709" w14:textId="46AEC0D0" w:rsidR="009473DD" w:rsidRDefault="009473DD" w:rsidP="00BC0060">
      <w:pPr>
        <w:tabs>
          <w:tab w:val="left" w:pos="3150"/>
        </w:tabs>
        <w:rPr>
          <w:lang w:val="en-US"/>
        </w:rPr>
      </w:pPr>
    </w:p>
    <w:p w14:paraId="3927D271" w14:textId="47C0FB96" w:rsidR="009473DD" w:rsidRDefault="009473DD" w:rsidP="00BC0060">
      <w:pPr>
        <w:tabs>
          <w:tab w:val="left" w:pos="3150"/>
        </w:tabs>
        <w:rPr>
          <w:lang w:val="en-US"/>
        </w:rPr>
      </w:pPr>
    </w:p>
    <w:p w14:paraId="51808EB8" w14:textId="4BF011E5" w:rsidR="009473DD" w:rsidRDefault="009473DD" w:rsidP="00BC0060">
      <w:pPr>
        <w:tabs>
          <w:tab w:val="left" w:pos="3150"/>
        </w:tabs>
        <w:rPr>
          <w:lang w:val="en-US"/>
        </w:rPr>
      </w:pPr>
    </w:p>
    <w:p w14:paraId="53EB4AFE" w14:textId="04A8D316" w:rsidR="009473DD" w:rsidRDefault="009473DD" w:rsidP="00BC0060">
      <w:pPr>
        <w:tabs>
          <w:tab w:val="left" w:pos="3150"/>
        </w:tabs>
        <w:rPr>
          <w:lang w:val="en-US"/>
        </w:rPr>
      </w:pPr>
    </w:p>
    <w:p w14:paraId="5BB69A2E" w14:textId="0745B07B" w:rsidR="009473DD" w:rsidRDefault="009473DD" w:rsidP="00BC0060">
      <w:pPr>
        <w:tabs>
          <w:tab w:val="left" w:pos="3150"/>
        </w:tabs>
        <w:rPr>
          <w:lang w:val="en-US"/>
        </w:rPr>
      </w:pPr>
    </w:p>
    <w:p w14:paraId="17900307" w14:textId="0AD0DAB2" w:rsidR="009473DD" w:rsidRDefault="009473DD" w:rsidP="00BC0060">
      <w:pPr>
        <w:tabs>
          <w:tab w:val="left" w:pos="3150"/>
        </w:tabs>
        <w:rPr>
          <w:lang w:val="en-US"/>
        </w:rPr>
      </w:pPr>
    </w:p>
    <w:p w14:paraId="09628628" w14:textId="23C15572" w:rsidR="009473DD" w:rsidRDefault="009473DD" w:rsidP="00BC0060">
      <w:pPr>
        <w:tabs>
          <w:tab w:val="left" w:pos="3150"/>
        </w:tabs>
        <w:rPr>
          <w:lang w:val="en-US"/>
        </w:rPr>
      </w:pPr>
    </w:p>
    <w:p w14:paraId="4AF7B0A2" w14:textId="1B4015DD" w:rsidR="009473DD" w:rsidRDefault="009473DD" w:rsidP="00BC0060">
      <w:pPr>
        <w:tabs>
          <w:tab w:val="left" w:pos="3150"/>
        </w:tabs>
        <w:rPr>
          <w:lang w:val="en-US"/>
        </w:rPr>
      </w:pPr>
    </w:p>
    <w:p w14:paraId="04937F0E" w14:textId="297DDF4E" w:rsidR="009473DD" w:rsidRDefault="009473DD" w:rsidP="00BC0060">
      <w:pPr>
        <w:tabs>
          <w:tab w:val="left" w:pos="3150"/>
        </w:tabs>
        <w:rPr>
          <w:lang w:val="en-US"/>
        </w:rPr>
      </w:pPr>
    </w:p>
    <w:p w14:paraId="5CEC750C" w14:textId="765332A9" w:rsidR="009473DD" w:rsidRDefault="009473DD" w:rsidP="00BC0060">
      <w:pPr>
        <w:tabs>
          <w:tab w:val="left" w:pos="3150"/>
        </w:tabs>
        <w:rPr>
          <w:lang w:val="en-US"/>
        </w:rPr>
      </w:pPr>
    </w:p>
    <w:p w14:paraId="70CB6D69" w14:textId="47314443" w:rsidR="009473DD" w:rsidRDefault="009473DD" w:rsidP="00BC0060">
      <w:pPr>
        <w:tabs>
          <w:tab w:val="left" w:pos="3150"/>
        </w:tabs>
        <w:rPr>
          <w:lang w:val="en-US"/>
        </w:rPr>
      </w:pPr>
    </w:p>
    <w:p w14:paraId="78F16264" w14:textId="5F588C6A" w:rsidR="009473DD" w:rsidRDefault="009473DD" w:rsidP="00BC0060">
      <w:pPr>
        <w:tabs>
          <w:tab w:val="left" w:pos="3150"/>
        </w:tabs>
        <w:rPr>
          <w:lang w:val="en-US"/>
        </w:rPr>
      </w:pPr>
      <w:bookmarkStart w:id="0" w:name="_GoBack"/>
      <w:bookmarkEnd w:id="0"/>
    </w:p>
    <w:p w14:paraId="630FA289" w14:textId="1C18BF6D" w:rsidR="009473DD" w:rsidRDefault="009473DD" w:rsidP="00BC0060">
      <w:pPr>
        <w:tabs>
          <w:tab w:val="left" w:pos="3150"/>
        </w:tabs>
        <w:rPr>
          <w:lang w:val="en-US"/>
        </w:rPr>
      </w:pPr>
      <w:r>
        <w:rPr>
          <w:noProof/>
          <w:lang w:val="en-US"/>
        </w:rPr>
        <w:lastRenderedPageBreak/>
        <w:drawing>
          <wp:inline distT="0" distB="0" distL="0" distR="0" wp14:anchorId="5B6DE88A" wp14:editId="5B19F034">
            <wp:extent cx="6097180" cy="897128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0928" cy="8976795"/>
                    </a:xfrm>
                    <a:prstGeom prst="rect">
                      <a:avLst/>
                    </a:prstGeom>
                    <a:noFill/>
                  </pic:spPr>
                </pic:pic>
              </a:graphicData>
            </a:graphic>
          </wp:inline>
        </w:drawing>
      </w:r>
    </w:p>
    <w:p w14:paraId="1D5C20E3" w14:textId="2165F554" w:rsidR="009473DD" w:rsidRDefault="009473DD" w:rsidP="00BC0060">
      <w:pPr>
        <w:tabs>
          <w:tab w:val="left" w:pos="3150"/>
        </w:tabs>
        <w:rPr>
          <w:lang w:val="en-US"/>
        </w:rPr>
      </w:pPr>
      <w:r>
        <w:rPr>
          <w:noProof/>
          <w:lang w:val="en-US"/>
        </w:rPr>
        <w:lastRenderedPageBreak/>
        <w:drawing>
          <wp:inline distT="0" distB="0" distL="0" distR="0" wp14:anchorId="3EFE3913" wp14:editId="31804864">
            <wp:extent cx="6242685" cy="7699670"/>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6733" cy="7704663"/>
                    </a:xfrm>
                    <a:prstGeom prst="rect">
                      <a:avLst/>
                    </a:prstGeom>
                    <a:noFill/>
                  </pic:spPr>
                </pic:pic>
              </a:graphicData>
            </a:graphic>
          </wp:inline>
        </w:drawing>
      </w:r>
    </w:p>
    <w:p w14:paraId="5F81588D" w14:textId="643A1F63" w:rsidR="009473DD" w:rsidRDefault="009473DD" w:rsidP="00BC0060">
      <w:pPr>
        <w:tabs>
          <w:tab w:val="left" w:pos="3150"/>
        </w:tabs>
        <w:rPr>
          <w:lang w:val="en-US"/>
        </w:rPr>
      </w:pPr>
    </w:p>
    <w:p w14:paraId="24D30217" w14:textId="4E040020" w:rsidR="009473DD" w:rsidRDefault="009473DD" w:rsidP="00BC0060">
      <w:pPr>
        <w:tabs>
          <w:tab w:val="left" w:pos="3150"/>
        </w:tabs>
        <w:rPr>
          <w:lang w:val="en-US"/>
        </w:rPr>
      </w:pPr>
    </w:p>
    <w:p w14:paraId="0A85A851" w14:textId="4496D2FD" w:rsidR="009473DD" w:rsidRDefault="009473DD" w:rsidP="00BC0060">
      <w:pPr>
        <w:tabs>
          <w:tab w:val="left" w:pos="3150"/>
        </w:tabs>
        <w:rPr>
          <w:lang w:val="en-US"/>
        </w:rPr>
      </w:pPr>
    </w:p>
    <w:p w14:paraId="69290A27" w14:textId="667756A1" w:rsidR="009473DD" w:rsidRDefault="009473DD" w:rsidP="00BC0060">
      <w:pPr>
        <w:tabs>
          <w:tab w:val="left" w:pos="3150"/>
        </w:tabs>
        <w:rPr>
          <w:lang w:val="en-US"/>
        </w:rPr>
      </w:pPr>
    </w:p>
    <w:p w14:paraId="593866BC" w14:textId="77293A18" w:rsidR="009473DD" w:rsidRDefault="009473DD" w:rsidP="00BC0060">
      <w:pPr>
        <w:tabs>
          <w:tab w:val="left" w:pos="3150"/>
        </w:tabs>
        <w:rPr>
          <w:lang w:val="en-US"/>
        </w:rPr>
      </w:pPr>
      <w:r>
        <w:rPr>
          <w:noProof/>
          <w:lang w:val="en-US"/>
        </w:rPr>
        <w:lastRenderedPageBreak/>
        <w:drawing>
          <wp:inline distT="0" distB="0" distL="0" distR="0" wp14:anchorId="2ACB53E1" wp14:editId="52D07617">
            <wp:extent cx="6261100" cy="831596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61100" cy="8315960"/>
                    </a:xfrm>
                    <a:prstGeom prst="rect">
                      <a:avLst/>
                    </a:prstGeom>
                    <a:noFill/>
                  </pic:spPr>
                </pic:pic>
              </a:graphicData>
            </a:graphic>
          </wp:inline>
        </w:drawing>
      </w:r>
    </w:p>
    <w:p w14:paraId="03A697F8" w14:textId="3CC710E6" w:rsidR="009473DD" w:rsidRDefault="009473DD" w:rsidP="00BC0060">
      <w:pPr>
        <w:tabs>
          <w:tab w:val="left" w:pos="3150"/>
        </w:tabs>
        <w:rPr>
          <w:lang w:val="en-US"/>
        </w:rPr>
      </w:pPr>
    </w:p>
    <w:p w14:paraId="3BE01807" w14:textId="1F06A188" w:rsidR="009473DD" w:rsidRDefault="009473DD" w:rsidP="00BC0060">
      <w:pPr>
        <w:tabs>
          <w:tab w:val="left" w:pos="3150"/>
        </w:tabs>
        <w:rPr>
          <w:lang w:val="en-US"/>
        </w:rPr>
      </w:pPr>
    </w:p>
    <w:p w14:paraId="4A560C08" w14:textId="53E2A872" w:rsidR="009473DD" w:rsidRPr="004B4EC1" w:rsidRDefault="009473DD" w:rsidP="00BC0060">
      <w:pPr>
        <w:tabs>
          <w:tab w:val="left" w:pos="3150"/>
        </w:tabs>
        <w:rPr>
          <w:lang w:val="en-US"/>
        </w:rPr>
      </w:pPr>
      <w:r>
        <w:rPr>
          <w:noProof/>
          <w:lang w:val="en-US"/>
        </w:rPr>
        <w:lastRenderedPageBreak/>
        <w:drawing>
          <wp:inline distT="0" distB="0" distL="0" distR="0" wp14:anchorId="4C037581" wp14:editId="2202EB46">
            <wp:extent cx="6020435" cy="62897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5422" cy="6294985"/>
                    </a:xfrm>
                    <a:prstGeom prst="rect">
                      <a:avLst/>
                    </a:prstGeom>
                    <a:noFill/>
                  </pic:spPr>
                </pic:pic>
              </a:graphicData>
            </a:graphic>
          </wp:inline>
        </w:drawing>
      </w:r>
    </w:p>
    <w:sectPr w:rsidR="009473DD" w:rsidRPr="004B4E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94"/>
    <w:rsid w:val="000610F1"/>
    <w:rsid w:val="00066FD2"/>
    <w:rsid w:val="000A6C23"/>
    <w:rsid w:val="000E16AA"/>
    <w:rsid w:val="000F0594"/>
    <w:rsid w:val="000F6784"/>
    <w:rsid w:val="00104D61"/>
    <w:rsid w:val="00127B60"/>
    <w:rsid w:val="00137CA4"/>
    <w:rsid w:val="00175DA2"/>
    <w:rsid w:val="0018025D"/>
    <w:rsid w:val="00181DE6"/>
    <w:rsid w:val="001825EB"/>
    <w:rsid w:val="001A2910"/>
    <w:rsid w:val="001B2FEE"/>
    <w:rsid w:val="001B6E79"/>
    <w:rsid w:val="001C0914"/>
    <w:rsid w:val="001D4F63"/>
    <w:rsid w:val="001E3402"/>
    <w:rsid w:val="002339E3"/>
    <w:rsid w:val="00233D1A"/>
    <w:rsid w:val="002356EC"/>
    <w:rsid w:val="0024085E"/>
    <w:rsid w:val="00243474"/>
    <w:rsid w:val="002467D9"/>
    <w:rsid w:val="002475D6"/>
    <w:rsid w:val="00255A5A"/>
    <w:rsid w:val="002704A9"/>
    <w:rsid w:val="00273187"/>
    <w:rsid w:val="00294B9B"/>
    <w:rsid w:val="00297420"/>
    <w:rsid w:val="002A2842"/>
    <w:rsid w:val="002B7317"/>
    <w:rsid w:val="002D6160"/>
    <w:rsid w:val="002E3CF1"/>
    <w:rsid w:val="00300AF7"/>
    <w:rsid w:val="003021A8"/>
    <w:rsid w:val="003136FC"/>
    <w:rsid w:val="00373A72"/>
    <w:rsid w:val="0039395F"/>
    <w:rsid w:val="003A2E49"/>
    <w:rsid w:val="003C41EA"/>
    <w:rsid w:val="003C4717"/>
    <w:rsid w:val="003C7FBE"/>
    <w:rsid w:val="003D0F32"/>
    <w:rsid w:val="003E137C"/>
    <w:rsid w:val="003F23D8"/>
    <w:rsid w:val="004070A5"/>
    <w:rsid w:val="004070D6"/>
    <w:rsid w:val="00413479"/>
    <w:rsid w:val="00431313"/>
    <w:rsid w:val="00447B23"/>
    <w:rsid w:val="004669BB"/>
    <w:rsid w:val="00490DB4"/>
    <w:rsid w:val="00494B12"/>
    <w:rsid w:val="004A1807"/>
    <w:rsid w:val="004A7E29"/>
    <w:rsid w:val="004B319A"/>
    <w:rsid w:val="004B4EC1"/>
    <w:rsid w:val="004C7BDE"/>
    <w:rsid w:val="004D31E5"/>
    <w:rsid w:val="004E3E52"/>
    <w:rsid w:val="004F6FDB"/>
    <w:rsid w:val="005166FC"/>
    <w:rsid w:val="00516BB6"/>
    <w:rsid w:val="005228CE"/>
    <w:rsid w:val="00544457"/>
    <w:rsid w:val="00553CD4"/>
    <w:rsid w:val="0056198E"/>
    <w:rsid w:val="005704F3"/>
    <w:rsid w:val="005714B2"/>
    <w:rsid w:val="005904D0"/>
    <w:rsid w:val="00596B6C"/>
    <w:rsid w:val="005C3BDA"/>
    <w:rsid w:val="005E7447"/>
    <w:rsid w:val="005F656A"/>
    <w:rsid w:val="0061305F"/>
    <w:rsid w:val="006220B2"/>
    <w:rsid w:val="00635B31"/>
    <w:rsid w:val="00637D59"/>
    <w:rsid w:val="00662B52"/>
    <w:rsid w:val="00670CD4"/>
    <w:rsid w:val="006807EF"/>
    <w:rsid w:val="00695CA5"/>
    <w:rsid w:val="006A6543"/>
    <w:rsid w:val="006C657B"/>
    <w:rsid w:val="006E4B19"/>
    <w:rsid w:val="0070236D"/>
    <w:rsid w:val="00716F42"/>
    <w:rsid w:val="0076134F"/>
    <w:rsid w:val="00763162"/>
    <w:rsid w:val="007660B1"/>
    <w:rsid w:val="00775B97"/>
    <w:rsid w:val="007771D5"/>
    <w:rsid w:val="00777907"/>
    <w:rsid w:val="00782988"/>
    <w:rsid w:val="007922B3"/>
    <w:rsid w:val="007C129B"/>
    <w:rsid w:val="007D01A2"/>
    <w:rsid w:val="007D7B3C"/>
    <w:rsid w:val="007E1AF2"/>
    <w:rsid w:val="00804F04"/>
    <w:rsid w:val="008318AB"/>
    <w:rsid w:val="0083401A"/>
    <w:rsid w:val="00834EDF"/>
    <w:rsid w:val="00896B8E"/>
    <w:rsid w:val="008A679E"/>
    <w:rsid w:val="008C736A"/>
    <w:rsid w:val="00904BFA"/>
    <w:rsid w:val="009275E0"/>
    <w:rsid w:val="00935A53"/>
    <w:rsid w:val="00936CA5"/>
    <w:rsid w:val="009473DD"/>
    <w:rsid w:val="00964DAA"/>
    <w:rsid w:val="00983F83"/>
    <w:rsid w:val="009A4B1A"/>
    <w:rsid w:val="009C333D"/>
    <w:rsid w:val="009E5A63"/>
    <w:rsid w:val="00A2562C"/>
    <w:rsid w:val="00A25DCE"/>
    <w:rsid w:val="00A30051"/>
    <w:rsid w:val="00A430B9"/>
    <w:rsid w:val="00AD63F6"/>
    <w:rsid w:val="00AF2ACB"/>
    <w:rsid w:val="00B41176"/>
    <w:rsid w:val="00B54415"/>
    <w:rsid w:val="00B619F1"/>
    <w:rsid w:val="00B85C07"/>
    <w:rsid w:val="00B975A2"/>
    <w:rsid w:val="00BB56B8"/>
    <w:rsid w:val="00BC0060"/>
    <w:rsid w:val="00BC0605"/>
    <w:rsid w:val="00BC60C0"/>
    <w:rsid w:val="00BD1776"/>
    <w:rsid w:val="00BD4E63"/>
    <w:rsid w:val="00BE3417"/>
    <w:rsid w:val="00C06789"/>
    <w:rsid w:val="00C169F9"/>
    <w:rsid w:val="00C239FB"/>
    <w:rsid w:val="00C3652C"/>
    <w:rsid w:val="00C446D6"/>
    <w:rsid w:val="00C47B4B"/>
    <w:rsid w:val="00C5304B"/>
    <w:rsid w:val="00C63EF2"/>
    <w:rsid w:val="00C74DF2"/>
    <w:rsid w:val="00C828E1"/>
    <w:rsid w:val="00C84B0C"/>
    <w:rsid w:val="00C8511D"/>
    <w:rsid w:val="00CA216D"/>
    <w:rsid w:val="00CA648C"/>
    <w:rsid w:val="00CA6B29"/>
    <w:rsid w:val="00CB7473"/>
    <w:rsid w:val="00CC4612"/>
    <w:rsid w:val="00CC65FA"/>
    <w:rsid w:val="00D27684"/>
    <w:rsid w:val="00D34D36"/>
    <w:rsid w:val="00D37F0A"/>
    <w:rsid w:val="00D5604A"/>
    <w:rsid w:val="00D62B0F"/>
    <w:rsid w:val="00D65A2D"/>
    <w:rsid w:val="00D85A4D"/>
    <w:rsid w:val="00DB4A47"/>
    <w:rsid w:val="00DC078D"/>
    <w:rsid w:val="00DE1CE4"/>
    <w:rsid w:val="00DF68AD"/>
    <w:rsid w:val="00DF6E9E"/>
    <w:rsid w:val="00E57CD5"/>
    <w:rsid w:val="00E630B9"/>
    <w:rsid w:val="00ED5ADE"/>
    <w:rsid w:val="00EE4B29"/>
    <w:rsid w:val="00F04AF4"/>
    <w:rsid w:val="00F543BF"/>
    <w:rsid w:val="00F56B64"/>
    <w:rsid w:val="00F6289D"/>
    <w:rsid w:val="00F708F8"/>
    <w:rsid w:val="00F809E3"/>
    <w:rsid w:val="00FC02E5"/>
    <w:rsid w:val="00FD3DD5"/>
    <w:rsid w:val="00FD72A4"/>
    <w:rsid w:val="00FE65D4"/>
    <w:rsid w:val="00FE7338"/>
    <w:rsid w:val="00FF175F"/>
    <w:rsid w:val="00FF2AEE"/>
    <w:rsid w:val="00FF4A7A"/>
    <w:rsid w:val="00FF75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A581B"/>
  <w15:docId w15:val="{CBDBD5A7-DFAE-4296-A508-2E6FE2BFB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594"/>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F0594"/>
    <w:rPr>
      <w:color w:val="0563C1" w:themeColor="hyperlink"/>
      <w:u w:val="single"/>
    </w:rPr>
  </w:style>
  <w:style w:type="character" w:styleId="Textodelmarcadordeposicin">
    <w:name w:val="Placeholder Text"/>
    <w:basedOn w:val="Fuentedeprrafopredeter"/>
    <w:uiPriority w:val="99"/>
    <w:semiHidden/>
    <w:rsid w:val="00447B23"/>
    <w:rPr>
      <w:color w:val="808080"/>
    </w:rPr>
  </w:style>
  <w:style w:type="character" w:styleId="Refdecomentario">
    <w:name w:val="annotation reference"/>
    <w:basedOn w:val="Fuentedeprrafopredeter"/>
    <w:uiPriority w:val="99"/>
    <w:semiHidden/>
    <w:unhideWhenUsed/>
    <w:rsid w:val="003E137C"/>
    <w:rPr>
      <w:sz w:val="16"/>
      <w:szCs w:val="16"/>
    </w:rPr>
  </w:style>
  <w:style w:type="paragraph" w:styleId="Textocomentario">
    <w:name w:val="annotation text"/>
    <w:basedOn w:val="Normal"/>
    <w:link w:val="TextocomentarioCar"/>
    <w:uiPriority w:val="99"/>
    <w:semiHidden/>
    <w:unhideWhenUsed/>
    <w:rsid w:val="003E137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E137C"/>
    <w:rPr>
      <w:sz w:val="20"/>
      <w:szCs w:val="20"/>
      <w:lang w:val="ca-ES"/>
    </w:rPr>
  </w:style>
  <w:style w:type="paragraph" w:styleId="Asuntodelcomentario">
    <w:name w:val="annotation subject"/>
    <w:basedOn w:val="Textocomentario"/>
    <w:next w:val="Textocomentario"/>
    <w:link w:val="AsuntodelcomentarioCar"/>
    <w:uiPriority w:val="99"/>
    <w:semiHidden/>
    <w:unhideWhenUsed/>
    <w:rsid w:val="003E137C"/>
    <w:rPr>
      <w:b/>
      <w:bCs/>
    </w:rPr>
  </w:style>
  <w:style w:type="character" w:customStyle="1" w:styleId="AsuntodelcomentarioCar">
    <w:name w:val="Asunto del comentario Car"/>
    <w:basedOn w:val="TextocomentarioCar"/>
    <w:link w:val="Asuntodelcomentario"/>
    <w:uiPriority w:val="99"/>
    <w:semiHidden/>
    <w:rsid w:val="003E137C"/>
    <w:rPr>
      <w:b/>
      <w:bCs/>
      <w:sz w:val="20"/>
      <w:szCs w:val="20"/>
      <w:lang w:val="ca-ES"/>
    </w:rPr>
  </w:style>
  <w:style w:type="paragraph" w:styleId="Textodeglobo">
    <w:name w:val="Balloon Text"/>
    <w:basedOn w:val="Normal"/>
    <w:link w:val="TextodegloboCar"/>
    <w:uiPriority w:val="99"/>
    <w:semiHidden/>
    <w:unhideWhenUsed/>
    <w:rsid w:val="003E137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137C"/>
    <w:rPr>
      <w:rFonts w:ascii="Segoe UI" w:hAnsi="Segoe UI" w:cs="Segoe UI"/>
      <w:sz w:val="18"/>
      <w:szCs w:val="18"/>
      <w:lang w:val="ca-ES"/>
    </w:rPr>
  </w:style>
  <w:style w:type="table" w:styleId="Tablaconcuadrcula">
    <w:name w:val="Table Grid"/>
    <w:basedOn w:val="Tablanormal"/>
    <w:uiPriority w:val="39"/>
    <w:rsid w:val="00561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547099">
      <w:bodyDiv w:val="1"/>
      <w:marLeft w:val="0"/>
      <w:marRight w:val="0"/>
      <w:marTop w:val="0"/>
      <w:marBottom w:val="0"/>
      <w:divBdr>
        <w:top w:val="none" w:sz="0" w:space="0" w:color="auto"/>
        <w:left w:val="none" w:sz="0" w:space="0" w:color="auto"/>
        <w:bottom w:val="none" w:sz="0" w:space="0" w:color="auto"/>
        <w:right w:val="none" w:sz="0" w:space="0" w:color="auto"/>
      </w:divBdr>
      <w:divsChild>
        <w:div w:id="276639433">
          <w:marLeft w:val="640"/>
          <w:marRight w:val="0"/>
          <w:marTop w:val="0"/>
          <w:marBottom w:val="0"/>
          <w:divBdr>
            <w:top w:val="none" w:sz="0" w:space="0" w:color="auto"/>
            <w:left w:val="none" w:sz="0" w:space="0" w:color="auto"/>
            <w:bottom w:val="none" w:sz="0" w:space="0" w:color="auto"/>
            <w:right w:val="none" w:sz="0" w:space="0" w:color="auto"/>
          </w:divBdr>
        </w:div>
        <w:div w:id="1496459652">
          <w:marLeft w:val="640"/>
          <w:marRight w:val="0"/>
          <w:marTop w:val="0"/>
          <w:marBottom w:val="0"/>
          <w:divBdr>
            <w:top w:val="none" w:sz="0" w:space="0" w:color="auto"/>
            <w:left w:val="none" w:sz="0" w:space="0" w:color="auto"/>
            <w:bottom w:val="none" w:sz="0" w:space="0" w:color="auto"/>
            <w:right w:val="none" w:sz="0" w:space="0" w:color="auto"/>
          </w:divBdr>
        </w:div>
        <w:div w:id="1206987556">
          <w:marLeft w:val="640"/>
          <w:marRight w:val="0"/>
          <w:marTop w:val="0"/>
          <w:marBottom w:val="0"/>
          <w:divBdr>
            <w:top w:val="none" w:sz="0" w:space="0" w:color="auto"/>
            <w:left w:val="none" w:sz="0" w:space="0" w:color="auto"/>
            <w:bottom w:val="none" w:sz="0" w:space="0" w:color="auto"/>
            <w:right w:val="none" w:sz="0" w:space="0" w:color="auto"/>
          </w:divBdr>
        </w:div>
      </w:divsChild>
    </w:div>
    <w:div w:id="655766114">
      <w:bodyDiv w:val="1"/>
      <w:marLeft w:val="0"/>
      <w:marRight w:val="0"/>
      <w:marTop w:val="0"/>
      <w:marBottom w:val="0"/>
      <w:divBdr>
        <w:top w:val="none" w:sz="0" w:space="0" w:color="auto"/>
        <w:left w:val="none" w:sz="0" w:space="0" w:color="auto"/>
        <w:bottom w:val="none" w:sz="0" w:space="0" w:color="auto"/>
        <w:right w:val="none" w:sz="0" w:space="0" w:color="auto"/>
      </w:divBdr>
    </w:div>
    <w:div w:id="1611165442">
      <w:bodyDiv w:val="1"/>
      <w:marLeft w:val="0"/>
      <w:marRight w:val="0"/>
      <w:marTop w:val="0"/>
      <w:marBottom w:val="0"/>
      <w:divBdr>
        <w:top w:val="none" w:sz="0" w:space="0" w:color="auto"/>
        <w:left w:val="none" w:sz="0" w:space="0" w:color="auto"/>
        <w:bottom w:val="none" w:sz="0" w:space="0" w:color="auto"/>
        <w:right w:val="none" w:sz="0" w:space="0" w:color="auto"/>
      </w:divBdr>
      <w:divsChild>
        <w:div w:id="1505582723">
          <w:marLeft w:val="640"/>
          <w:marRight w:val="0"/>
          <w:marTop w:val="0"/>
          <w:marBottom w:val="0"/>
          <w:divBdr>
            <w:top w:val="none" w:sz="0" w:space="0" w:color="auto"/>
            <w:left w:val="none" w:sz="0" w:space="0" w:color="auto"/>
            <w:bottom w:val="none" w:sz="0" w:space="0" w:color="auto"/>
            <w:right w:val="none" w:sz="0" w:space="0" w:color="auto"/>
          </w:divBdr>
        </w:div>
        <w:div w:id="2127658305">
          <w:marLeft w:val="640"/>
          <w:marRight w:val="0"/>
          <w:marTop w:val="0"/>
          <w:marBottom w:val="0"/>
          <w:divBdr>
            <w:top w:val="none" w:sz="0" w:space="0" w:color="auto"/>
            <w:left w:val="none" w:sz="0" w:space="0" w:color="auto"/>
            <w:bottom w:val="none" w:sz="0" w:space="0" w:color="auto"/>
            <w:right w:val="none" w:sz="0" w:space="0" w:color="auto"/>
          </w:divBdr>
        </w:div>
      </w:divsChild>
    </w:div>
    <w:div w:id="1702508134">
      <w:bodyDiv w:val="1"/>
      <w:marLeft w:val="0"/>
      <w:marRight w:val="0"/>
      <w:marTop w:val="0"/>
      <w:marBottom w:val="0"/>
      <w:divBdr>
        <w:top w:val="none" w:sz="0" w:space="0" w:color="auto"/>
        <w:left w:val="none" w:sz="0" w:space="0" w:color="auto"/>
        <w:bottom w:val="none" w:sz="0" w:space="0" w:color="auto"/>
        <w:right w:val="none" w:sz="0" w:space="0" w:color="auto"/>
      </w:divBdr>
      <w:divsChild>
        <w:div w:id="383255530">
          <w:marLeft w:val="640"/>
          <w:marRight w:val="0"/>
          <w:marTop w:val="0"/>
          <w:marBottom w:val="0"/>
          <w:divBdr>
            <w:top w:val="none" w:sz="0" w:space="0" w:color="auto"/>
            <w:left w:val="none" w:sz="0" w:space="0" w:color="auto"/>
            <w:bottom w:val="none" w:sz="0" w:space="0" w:color="auto"/>
            <w:right w:val="none" w:sz="0" w:space="0" w:color="auto"/>
          </w:divBdr>
        </w:div>
        <w:div w:id="680937363">
          <w:marLeft w:val="640"/>
          <w:marRight w:val="0"/>
          <w:marTop w:val="0"/>
          <w:marBottom w:val="0"/>
          <w:divBdr>
            <w:top w:val="none" w:sz="0" w:space="0" w:color="auto"/>
            <w:left w:val="none" w:sz="0" w:space="0" w:color="auto"/>
            <w:bottom w:val="none" w:sz="0" w:space="0" w:color="auto"/>
            <w:right w:val="none" w:sz="0" w:space="0" w:color="auto"/>
          </w:divBdr>
        </w:div>
      </w:divsChild>
    </w:div>
    <w:div w:id="206204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63E655-905A-43B9-A619-17083520BD9C}">
  <we:reference id="wa104382081" version="1.55.1.0" store="es-ES" storeType="OMEX"/>
  <we:alternateReferences>
    <we:reference id="wa104382081" version="1.55.1.0" store="" storeType="OMEX"/>
  </we:alternateReferences>
  <we:properties>
    <we:property name="MENDELEY_CITATIONS_STYLE" value="{&quot;id&quot;:&quot;https://www.zotero.org/styles/nature&quot;,&quot;title&quot;:&quot;Nature&quot;,&quot;format&quot;:&quot;numeric&quot;,&quot;defaultLocale&quot;:&quot;en-GB&quot;,&quot;isLocaleCodeValid&quot;:true}"/>
    <we:property name="MENDELEY_CITATIONS" value="[{&quot;citationID&quot;:&quot;MENDELEY_CITATION_6f8cddb2-381f-4a9f-94e1-3607b22d2a4b&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&quot;,&quot;citationItems&quot;:[{&quot;id&quot;:&quot;50f84891-0c25-355d-b2e7-c4ab0d3e09f8&quot;,&quot;itemData&quot;:{&quot;type&quot;:&quot;article&quot;,&quot;id&quot;:&quot;50f84891-0c25-355d-b2e7-c4ab0d3e09f8&quot;,&quot;title&quot;:&quot;Human epidermal growth factor receptor 2 testing in breast cancer: American Society of Clinical Oncology/College of American Pathologists Clinical Practice Guideline Focused Update&quot;,&quot;author&quot;:[{&quot;family&quot;:&quot;Wolff&quot;,&quot;given&quot;:&quot;Antonio C.&quot;,&quot;parse-names&quot;:false,&quot;dropping-particle&quot;:&quot;&quot;,&quot;non-dropping-particle&quot;:&quot;&quot;},{&quot;family&quot;:&quot;McShane&quot;,&quot;given&quot;:&quot;Lisa M.&quot;,&quot;parse-names&quot;:false,&quot;dropping-particle&quot;:&quot;&quot;,&quot;non-dropping-particle&quot;:&quot;&quot;},{&quot;family&quot;:&quot;Hammond&quot;,&quot;given&quot;:&quot;M. Elizabeth Hale&quot;,&quot;parse-names&quot;:false,&quot;dropping-particle&quot;:&quot;&quot;,&quot;non-dropping-particle&quot;:&quot;&quot;},{&quot;family&quot;:&quot;Allison&quot;,&quot;given&quot;:&quot;Kimberly H.&quot;,&quot;parse-names&quot;:false,&quot;dropping-particle&quot;:&quot;&quot;,&quot;non-dropping-particle&quot;:&quot;&quot;},{&quot;family&quot;:&quot;Fitzgibbons&quot;,&quot;given&quot;:&quot;Patrick&quot;,&quot;parse-names&quot;:false,&quot;dropping-particle&quot;:&quot;&quot;,&quot;non-dropping-particle&quot;:&quot;&quot;},{&quot;family&quot;:&quot;Press&quot;,&quot;given&quot;:&quot;Michael F.&quot;,&quot;parse-names&quot;:false,&quot;dropping-particle&quot;:&quot;&quot;,&quot;non-dropping-particle&quot;:&quot;&quot;},{&quot;family&quot;:&quot;Harvey&quot;,&quot;given&quot;:&quot;Brittany E.&quot;,&quot;parse-names&quot;:false,&quot;dropping-particle&quot;:&quot;&quot;,&quot;non-dropping-particle&quot;:&quot;&quot;},{&quot;family&quot;:&quot;Mangu&quot;,&quot;given&quot;:&quot;Pamela B.&quot;,&quot;parse-names&quot;:false,&quot;dropping-particle&quot;:&quot;&quot;,&quot;non-dropping-particle&quot;:&quot;&quot;},{&quot;family&quot;:&quot;Bartlett&quot;,&quot;given&quot;:&quot;John M.S.&quot;,&quot;parse-names&quot;:false,&quot;dropping-particle&quot;:&quot;&quot;,&quot;non-dropping-particle&quot;:&quot;&quot;},{&quot;family&quot;:&quot;Hanna&quot;,&quot;given&quot;:&quot;Wedad&quot;,&quot;parse-names&quot;:false,&quot;dropping-particle&quot;:&quot;&quot;,&quot;non-dropping-particle&quot;:&quot;&quot;},{&quot;family&quot;:&quot;Bilous&quot;,&quot;given&quot;:&quot;Michael&quot;,&quot;parse-names&quot;:false,&quot;dropping-particle&quot;:&quot;&quot;,&quot;non-dropping-particle&quot;:&quot;&quot;},{&quot;family&quot;:&quot;Ellis&quot;,&quot;given&quot;:&quot;Ian O.&quot;,&quot;parse-names&quot;:false,&quot;dropping-particle&quot;:&quot;&quot;,&quot;non-dropping-particle&quot;:&quot;&quot;},{&quot;family&quot;:&quot;Dowsett&quot;,&quot;given&quot;:&quot;Mitchell&quot;,&quot;parse-names&quot;:false,&quot;dropping-particle&quot;:&quot;&quot;,&quot;non-dropping-particle&quot;:&quot;&quot;},{&quot;family&quot;:&quot;Jenkins&quot;,&quot;given&quot;:&quot;Robert B.&quot;,&quot;parse-names&quot;:false,&quot;dropping-particle&quot;:&quot;&quot;,&quot;non-dropping-particle&quot;:&quot;&quot;},{&quot;family&quot;:&quot;Spears&quot;,&quot;given&quot;:&quot;Patricia A.&quot;,&quot;parse-names&quot;:false,&quot;dropping-particle&quot;:&quot;&quot;,&quot;non-dropping-particle&quot;:&quot;&quot;},{&quot;family&quot;:&quot;Vance&quot;,&quot;given&quot;:&quot;Gail H.&quot;,&quot;parse-names&quot;:false,&quot;dropping-particle&quot;:&quot;&quot;,&quot;non-dropping-particle&quot;:&quot;&quot;},{&quot;family&quot;:&quot;Viale&quot;,&quot;given&quot;:&quot;Giuseppe&quot;,&quot;parse-names&quot;:false,&quot;dropping-particle&quot;:&quot;&quot;,&quot;non-dropping-particle&quot;:&quot;&quot;}],&quot;container-title&quot;:&quot;Archives of Pathology and Laboratory Medicine&quot;,&quot;container-title-short&quot;:&quot;Arch Pathol Lab Med&quot;,&quot;DOI&quot;:&quot;10.5858/arpa.2018-0902-SA&quot;,&quot;ISSN&quot;:&quot;15432165&quot;,&quot;PMID&quot;:&quot;29846104&quot;,&quot;issued&quot;:{&quot;date-parts&quot;:[[2018,11,1]]},&quot;page&quot;:&quot;1364-1382&quot;,&quot;abstract&quot;:&quot;Purpose. - To update key recommendations of the American Society of Clinical Oncology (ASCO)/College of American Pathologists (CAP) human epidermal growth factor receptor 2 (HER2) testing in breast cancer guideline. Methods. - Based on the signals approach, an Expert Panel reviewed published literature and research survey results on the observed frequency of less common in situ hybridization (ISH) patterns to update the recommendations. Recommendations. - Two recommendations addressed via correspondence in 2015 are included. First, immunohistochemistry (IHC) 2+ is defined as invasive breast cancer with weak to moderate complete membrane staining observed in &gt;10% of tumor cells. Second, if the initial HER2 test result in a core needle biopsy specimen of a primary breast cancer is negative, a new HER2 test may (not ''must'') be ordered on the excision specimen based on specific clinical criteria. The HER2 testing algorithm for breast cancer is updated to address the recommended workup for less common clinical scenarios (approximately 5% of cases) observed when using a dual-probe ISH assay. These scenarios are described as ISH group 2 (HER2/ chromosome enumeration probe 17 [CEP17] ratio ≥2.0; average HER2 copy number &lt;4.0 signals per cell), ISH group 3 (HER2/CEP17 ratio &lt;2.0; average HER2 copy number ≥6.0 signals per cell), and ISH group 4 (HER2/ CEP17 ratio &lt;2.0; average HER2 copy number ≥4.0 and &lt;6.0 signals per cell). The diagnostic approach includes more rigorous interpretation criteria for ISH and requires concomitant IHC review for dual-probe ISH groups 2 to 4 to arrive at the most accurate HER2 status designation (positive or negative) based on combined interpretation of the ISH and IHC assays. The Expert Panel recommends that laboratories using single-probe ISH assays include concomitant IHC review as part of the interpretation of all single-probe ISH assay results.&quot;,&quot;publisher&quot;:&quot;College of American Pathologists&quot;,&quot;issue&quot;:&quot;11&quot;,&quot;volume&quot;:&quot;142&quot;},&quot;isTemporary&quot;:false}]},{&quot;citationID&quot;:&quot;MENDELEY_CITATION_c9a7d9c2-d4ff-43cb-84cd-a605bf2837b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&quot;,&quot;citationItems&quot;:[{&quot;id&quot;:&quot;7d234512-c25c-389c-b773-2383f18b643f&quot;,&quot;itemData&quot;:{&quot;type&quot;:&quot;article-journal&quot;,&quot;id&quot;:&quot;7d234512-c25c-389c-b773-2383f18b643f&quot;,&quot;title&quot;:&quot;NK cell infiltrates and HLA class I expression in primary HER2 þ breast cancer predict and uncouple pathological response and disease-free survival&quot;,&quot;author&quot;:[{&quot;family&quot;:&quot;Muntasell&quot;,&quot;given&quot;:&quot;Aura&quot;,&quot;parse-names&quot;:false,&quot;dropping-particle&quot;:&quot;&quot;,&quot;non-dropping-particle&quot;:&quot;&quot;},{&quot;family&quot;:&quot;Rojo&quot;,&quot;given&quot;:&quot;Federico&quot;,&quot;parse-names&quot;:false,&quot;dropping-particle&quot;:&quot;&quot;,&quot;non-dropping-particle&quot;:&quot;&quot;},{&quot;family&quot;:&quot;Servitja&quot;,&quot;given&quot;:&quot;Sonia&quot;,&quot;parse-names&quot;:false,&quot;dropping-particle&quot;:&quot;&quot;,&quot;non-dropping-particle&quot;:&quot;&quot;},{&quot;family&quot;:&quot;Rubio-Perez&quot;,&quot;given&quot;:&quot;Carlota&quot;,&quot;parse-names&quot;:false,&quot;dropping-particle&quot;:&quot;&quot;,&quot;non-dropping-particle&quot;:&quot;&quot;},{&quot;family&quot;:&quot;Cabo&quot;,&quot;given&quot;:&quot;Mariona&quot;,&quot;parse-names&quot;:false,&quot;dropping-particle&quot;:&quot;&quot;,&quot;non-dropping-particle&quot;:&quot;&quot;},{&quot;family&quot;:&quot;Tamborero&quot;,&quot;given&quot;:&quot;David&quot;,&quot;parse-names&quot;:false,&quot;dropping-particle&quot;:&quot;&quot;,&quot;non-dropping-particle&quot;:&quot;&quot;},{&quot;family&quot;:&quot;Costa-García&quot;,&quot;given&quot;:&quot;Marcel&quot;,&quot;parse-names&quot;:false,&quot;dropping-particle&quot;:&quot;&quot;,&quot;non-dropping-particle&quot;:&quot;&quot;},{&quot;family&quot;:&quot;Martínez-Garcia&quot;,&quot;given&quot;:&quot;María&quot;,&quot;parse-names&quot;:false,&quot;dropping-particle&quot;:&quot;&quot;,&quot;non-dropping-particle&quot;:&quot;&quot;},{&quot;family&quot;:&quot;Menendez&quot;,&quot;given&quot;:&quot;Sílvia&quot;,&quot;parse-names&quot;:false,&quot;dropping-particle&quot;:&quot;&quot;,&quot;non-dropping-particle&quot;:&quot;&quot;},{&quot;family&quot;:&quot;Vazquez&quot;,&quot;given&quot;:&quot;Ivonne&quot;,&quot;parse-names&quot;:false,&quot;dropping-particle&quot;:&quot;&quot;,&quot;non-dropping-particle&quot;:&quot;&quot;},{&quot;family&quot;:&quot;Lluch&quot;,&quot;given&quot;:&quot;Ana&quot;,&quot;parse-names&quot;:false,&quot;dropping-particle&quot;:&quot;&quot;,&quot;non-dropping-particle&quot;:&quot;&quot;},{&quot;family&quot;:&quot;Gonzalez-Perez&quot;,&quot;given&quot;:&quot;Abel&quot;,&quot;parse-names&quot;:false,&quot;dropping-particle&quot;:&quot;&quot;,&quot;non-dropping-particle&quot;:&quot;&quot;},{&quot;family&quot;:&quot;Rovira&quot;,&quot;given&quot;:&quot;Ana&quot;,&quot;parse-names&quot;:false,&quot;dropping-particle&quot;:&quot;&quot;,&quot;non-dropping-particle&quot;:&quot;&quot;},{&quot;family&quot;:&quot;Lopez-Botet&quot;,&quot;given&quot;:&quot;Miguel&quot;,&quot;parse-names&quot;:false,&quot;dropping-particle&quot;:&quot;&quot;,&quot;non-dropping-particle&quot;:&quot;&quot;},{&quot;family&quot;:&quot;Albanell&quot;,&quot;given&quot;:&quot;Joan&quot;,&quot;parse-names&quot;:false,&quot;dropping-particle&quot;:&quot;&quot;,&quot;non-dropping-particle&quot;:&quot;&quot;}],&quot;container-title&quot;:&quot;Clinical Cancer Research&quot;,&quot;DOI&quot;:&quot;10.1158/1078-0432.CCR-18-2365&quot;,&quot;ISSN&quot;:&quot;15573265&quot;,&quot;PMID&quot;:&quot;30523021&quot;,&quot;issued&quot;:{&quot;date-parts&quot;:[[2019,3,1]]},&quot;page&quot;:&quot;1535-1545&quot;,&quot;abstract&quot;:&quot;Purpose: We investigated the value of tumor-infiltrating NK (TI-NK) cells and HLA class I tumor expression as biomarkers of response to neoadjuvant anti-HER2 antibody–based treatment in breast cancer. Experimental Design: TI-NK cells and HLA-I were determined by IHC in pretreatment tumor biopsies from two cohorts of patients with HER2-positive breast cancer [discovery cohort (n ¼ 42) and validation cohort (n ¼ 71)]. Tumor-infiltrating lymphocytes (TIL) were scored according to international guidelines. Biomarker association with pathologic complete response (pCR) and disease-free survival (DFS) was adjusted for prognostic factors. Gene set variation analysis was used for determining immune cell populations concomitant to NK-cell enrichment in HER2-positive tumors from the Cancer Genome Atlas (n ¼ 190). Results: TI-NK cells were significantly associated with pCR in the discovery cohort as well as in the validation cohort (P &lt; 0.0001), independently of clinicopathologic factors. A 3 TI-NK cells/50x high-power field (HPF) cutoff predicted pCR in the discovery and validation cohort [OR, 188 (11–3154); OR, 19.5 (5.3–71.8)]. Presence of TI-NK cells associated with prolonged DFS in both patient cohorts [HR, 0.07 (0.01–0.6); P ¼ 0.01; HR, 0.3 (0.08–1.3); P ¼ 0.1]. NK-, activated dendritic- and CD8 T-cell gene expression signatures positively correlated in HER2-positive tumors, supporting the value of NK cells as surrogates of effective antitumor immunity. Stratification of patients by tumor HLA-I expression identified patients with low and high relapse risk independently of pCR. Conclusions: This study identifies baseline TI-NK cells as an independent biomarker with great predictive value for pCR to anti-HER2 antibody–based treatment and points to the complementary value of tumor HLA-I status for defining patient prognosis independently of pCR.&quot;,&quot;publisher&quot;:&quot;American Association for Cancer Research Inc.&quot;,&quot;issue&quot;:&quot;5&quot;,&quot;volume&quot;:&quot;25&quot;,&quot;container-title-short&quot;:&quot;&quot;},&quot;isTemporary&quot;:false}]},{&quot;citationID&quot;:&quot;MENDELEY_CITATION_9f5c8efc-0b6e-49bc-8154-ddb872607c3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&quot;,&quot;citationItems&quot;:[{&quot;id&quot;:&quot;01be9c9d-46a4-3003-9720-54da2bbd2db3&quot;,&quot;itemData&quot;:{&quot;type&quot;:&quot;article-journal&quot;,&quot;id&quot;:&quot;01be9c9d-46a4-3003-9720-54da2bbd2db3&quot;,&quot;title&quot;:&quot;Distinct Gene Regulatory Pathways for Human Innate versus Adaptive Lymphoid Cells&quot;,&quot;author&quot;:[{&quot;family&quot;:&quot;Koues&quot;,&quot;given&quot;:&quot;Olivia I.&quot;,&quot;parse-names&quot;:false,&quot;dropping-particle&quot;:&quot;&quot;,&quot;non-dropping-particle&quot;:&quot;&quot;},{&quot;family&quot;:&quot;Collins&quot;,&quot;given&quot;:&quot;Patrick L.&quot;,&quot;parse-names&quot;:false,&quot;dropping-particle&quot;:&quot;&quot;,&quot;non-dropping-particle&quot;:&quot;&quot;},{&quot;family&quot;:&quot;Cella&quot;,&quot;given&quot;:&quot;Marina&quot;,&quot;parse-names&quot;:false,&quot;dropping-particle&quot;:&quot;&quot;,&quot;non-dropping-particle&quot;:&quot;&quot;},{&quot;family&quot;:&quot;Robinette&quot;,&quot;given&quot;:&quot;Michelle L.&quot;,&quot;parse-names&quot;:false,&quot;dropping-particle&quot;:&quot;&quot;,&quot;non-dropping-particle&quot;:&quot;&quot;},{&quot;family&quot;:&quot;Porter&quot;,&quot;given&quot;:&quot;Sofia I.&quot;,&quot;parse-names&quot;:false,&quot;dropping-particle&quot;:&quot;&quot;,&quot;non-dropping-particle&quot;:&quot;&quot;},{&quot;family&quot;:&quot;Pyfrom&quot;,&quot;given&quot;:&quot;Sarah C.&quot;,&quot;parse-names&quot;:false,&quot;dropping-particle&quot;:&quot;&quot;,&quot;non-dropping-particle&quot;:&quot;&quot;},{&quot;family&quot;:&quot;Payton&quot;,&quot;given&quot;:&quot;Jacqueline E.&quot;,&quot;parse-names&quot;:false,&quot;dropping-particle&quot;:&quot;&quot;,&quot;non-dropping-particle&quot;:&quot;&quot;},{&quot;family&quot;:&quot;Colonna&quot;,&quot;given&quot;:&quot;Marco&quot;,&quot;parse-names&quot;:false,&quot;dropping-particle&quot;:&quot;&quot;,&quot;non-dropping-particle&quot;:&quot;&quot;},{&quot;family&quot;:&quot;Oltz&quot;,&quot;given&quot;:&quot;Eugene M.&quot;,&quot;parse-names&quot;:false,&quot;dropping-particle&quot;:&quot;&quot;,&quot;non-dropping-particle&quot;:&quot;&quot;}],&quot;container-title&quot;:&quot;Cell&quot;,&quot;container-title-short&quot;:&quot;Cell&quot;,&quot;DOI&quot;:&quot;10.1016/j.cell.2016.04.014&quot;,&quot;ISSN&quot;:&quot;10974172&quot;,&quot;PMID&quot;:&quot;27156452&quot;,&quot;issued&quot;:{&quot;date-parts&quot;:[[2016,5,19]]},&quot;page&quot;:&quot;1134-1146&quot;,&quot;abstract&quot;:&quot;Summary Innate lymphoid cells (ILCs) serve as sentinels in mucosal tissues, sensing release of soluble inflammatory mediators, rapidly communicating danger via cytokine secretion, and functioning as guardians of tissue homeostasis. Although ILCs have been extensively studied in model organisms, little is known about these \&quot;first responders\&quot; in humans, especially their lineage and functional kinships to cytokine-secreting T helper (Th) cell counterparts. Here, we report gene regulatory circuitries for four human ILC-Th counterparts derived from mucosal environments, revealing that each ILC subset diverges as a distinct lineage from Th and circulating natural killer cells but shares circuitry devoted to functional polarization with their Th counterparts. Super-enhancers demarcate cohorts of cell-identity genes in each lineage, uncovering new modes of regulation for signature cytokines, new molecules that likely impart important functions to ILCs, and potential mechanisms for autoimmune disease SNP associations within ILC-Th subsets.&quot;,&quot;publisher&quot;:&quot;Cell Press&quot;,&quot;issue&quot;:&quot;5&quot;,&quot;volume&quot;:&quot;165&quot;},&quot;isTemporary&quot;:false}]}]"/>
    <we:property name="MENDELEY_CITATIONS_LOCALE_CODE" value="&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03f1d9e-24a8-43ca-96b6-14dbb442e0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51D509B62AE6347B8530CC3D6C8040E" ma:contentTypeVersion="17" ma:contentTypeDescription="Crear nuevo documento." ma:contentTypeScope="" ma:versionID="11063660ac7ab52e0f0202f08fc7737d">
  <xsd:schema xmlns:xsd="http://www.w3.org/2001/XMLSchema" xmlns:xs="http://www.w3.org/2001/XMLSchema" xmlns:p="http://schemas.microsoft.com/office/2006/metadata/properties" xmlns:ns3="c03f1d9e-24a8-43ca-96b6-14dbb442e012" xmlns:ns4="032c4dd9-bfd9-4c8c-991c-3bb18833d8ca" targetNamespace="http://schemas.microsoft.com/office/2006/metadata/properties" ma:root="true" ma:fieldsID="ed92c66c2e213d76a0cb4ff014b63a8c" ns3:_="" ns4:_="">
    <xsd:import namespace="c03f1d9e-24a8-43ca-96b6-14dbb442e012"/>
    <xsd:import namespace="032c4dd9-bfd9-4c8c-991c-3bb18833d8c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1d9e-24a8-43ca-96b6-14dbb442e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2c4dd9-bfd9-4c8c-991c-3bb18833d8ca" elementFormDefault="qualified">
    <xsd:import namespace="http://schemas.microsoft.com/office/2006/documentManagement/types"/>
    <xsd:import namespace="http://schemas.microsoft.com/office/infopath/2007/PartnerControls"/>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element name="SharingHintHash" ma:index="2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0F7D5-CEC1-448A-9D72-95DE62550E3E}">
  <ds:schemaRefs>
    <ds:schemaRef ds:uri="http://schemas.microsoft.com/sharepoint/v3/contenttype/forms"/>
  </ds:schemaRefs>
</ds:datastoreItem>
</file>

<file path=customXml/itemProps2.xml><?xml version="1.0" encoding="utf-8"?>
<ds:datastoreItem xmlns:ds="http://schemas.openxmlformats.org/officeDocument/2006/customXml" ds:itemID="{C5D60473-A284-4167-B6D8-F310F48EF319}">
  <ds:schemaRefs>
    <ds:schemaRef ds:uri="c03f1d9e-24a8-43ca-96b6-14dbb442e012"/>
    <ds:schemaRef ds:uri="http://schemas.microsoft.com/office/2006/documentManagement/types"/>
    <ds:schemaRef ds:uri="http://purl.org/dc/terms/"/>
    <ds:schemaRef ds:uri="http://schemas.microsoft.com/office/2006/metadata/properties"/>
    <ds:schemaRef ds:uri="http://www.w3.org/XML/1998/namespace"/>
    <ds:schemaRef ds:uri="http://purl.org/dc/elements/1.1/"/>
    <ds:schemaRef ds:uri="http://purl.org/dc/dcmitype/"/>
    <ds:schemaRef ds:uri="http://schemas.openxmlformats.org/package/2006/metadata/core-properties"/>
    <ds:schemaRef ds:uri="http://schemas.microsoft.com/office/infopath/2007/PartnerControls"/>
    <ds:schemaRef ds:uri="032c4dd9-bfd9-4c8c-991c-3bb18833d8ca"/>
  </ds:schemaRefs>
</ds:datastoreItem>
</file>

<file path=customXml/itemProps3.xml><?xml version="1.0" encoding="utf-8"?>
<ds:datastoreItem xmlns:ds="http://schemas.openxmlformats.org/officeDocument/2006/customXml" ds:itemID="{8F1EF7CC-B810-48B9-A4A5-E9C7A6632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1d9e-24a8-43ca-96b6-14dbb442e012"/>
    <ds:schemaRef ds:uri="032c4dd9-bfd9-4c8c-991c-3bb18833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D5FA7D-B9F0-4E89-8008-6E96CB49D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1052</Words>
  <Characters>5791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Aura Muntasell Castellvi</dc:creator>
  <cp:keywords/>
  <dc:description/>
  <cp:lastModifiedBy>Aura Muntasell Castellvi</cp:lastModifiedBy>
  <cp:revision>3</cp:revision>
  <dcterms:created xsi:type="dcterms:W3CDTF">2023-11-07T14:55:00Z</dcterms:created>
  <dcterms:modified xsi:type="dcterms:W3CDTF">2023-11-07T15:07:00Z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0x010100751D509B62AE6347B8530CC3D6C8040E</vt:lpwstr>
  </property>
</Properties>
</file>