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F12EB" w14:textId="2E59E518" w:rsidR="00895FCF" w:rsidRPr="008A0EA9" w:rsidRDefault="007C6EBB" w:rsidP="008A0EA9">
      <w:pPr>
        <w:spacing w:line="360" w:lineRule="auto"/>
        <w:contextualSpacing/>
        <w:jc w:val="both"/>
        <w:rPr>
          <w:lang w:val="en-US"/>
        </w:rPr>
      </w:pPr>
      <w:r>
        <w:rPr>
          <w:b/>
          <w:szCs w:val="28"/>
          <w:lang w:val="en-US"/>
        </w:rPr>
        <w:t>Additional file 1</w:t>
      </w:r>
      <w:bookmarkStart w:id="0" w:name="_GoBack"/>
      <w:bookmarkEnd w:id="0"/>
      <w:r w:rsidR="00895FCF" w:rsidRPr="008A0EA9">
        <w:rPr>
          <w:b/>
          <w:lang w:val="en-US"/>
        </w:rPr>
        <w:t>.</w:t>
      </w:r>
      <w:r w:rsidR="00895FCF" w:rsidRPr="008A0EA9">
        <w:rPr>
          <w:lang w:val="en-US"/>
        </w:rPr>
        <w:t xml:space="preserve"> Studies excluded with reasons after full-text assessment.</w:t>
      </w:r>
    </w:p>
    <w:p w14:paraId="09E5B3F1" w14:textId="77777777" w:rsidR="00895FCF" w:rsidRPr="008A0EA9" w:rsidRDefault="00895FCF" w:rsidP="008A0EA9">
      <w:pPr>
        <w:spacing w:line="360" w:lineRule="auto"/>
        <w:contextualSpacing/>
        <w:jc w:val="both"/>
        <w:rPr>
          <w:b/>
          <w:sz w:val="20"/>
          <w:szCs w:val="20"/>
          <w:lang w:val="en-US"/>
        </w:rPr>
      </w:pPr>
    </w:p>
    <w:p w14:paraId="4C34CDB0" w14:textId="77777777" w:rsidR="00895FCF" w:rsidRPr="008A0EA9" w:rsidRDefault="00895FCF" w:rsidP="008A0EA9">
      <w:pPr>
        <w:spacing w:line="360" w:lineRule="auto"/>
        <w:rPr>
          <w:b/>
          <w:sz w:val="20"/>
          <w:szCs w:val="20"/>
          <w:lang w:val="en-US"/>
        </w:rPr>
      </w:pPr>
    </w:p>
    <w:tbl>
      <w:tblPr>
        <w:tblW w:w="10480" w:type="dxa"/>
        <w:jc w:val="center"/>
        <w:tblCellMar>
          <w:left w:w="70" w:type="dxa"/>
          <w:right w:w="70" w:type="dxa"/>
        </w:tblCellMar>
        <w:tblLook w:val="04A0" w:firstRow="1" w:lastRow="0" w:firstColumn="1" w:lastColumn="0" w:noHBand="0" w:noVBand="1"/>
      </w:tblPr>
      <w:tblGrid>
        <w:gridCol w:w="557"/>
        <w:gridCol w:w="7938"/>
        <w:gridCol w:w="1985"/>
      </w:tblGrid>
      <w:tr w:rsidR="00895FCF" w:rsidRPr="007C6EBB" w14:paraId="340F647E" w14:textId="77777777" w:rsidTr="00D0079C">
        <w:trPr>
          <w:trHeight w:val="596"/>
          <w:jc w:val="center"/>
        </w:trPr>
        <w:tc>
          <w:tcPr>
            <w:tcW w:w="557" w:type="dxa"/>
            <w:tcBorders>
              <w:top w:val="single" w:sz="8" w:space="0" w:color="auto"/>
              <w:left w:val="single" w:sz="8" w:space="0" w:color="auto"/>
              <w:bottom w:val="single" w:sz="8" w:space="0" w:color="000000"/>
              <w:right w:val="single" w:sz="8" w:space="0" w:color="auto"/>
            </w:tcBorders>
            <w:shd w:val="clear" w:color="000000" w:fill="A6A6A6"/>
            <w:noWrap/>
            <w:vAlign w:val="center"/>
            <w:hideMark/>
          </w:tcPr>
          <w:p w14:paraId="20C3A810" w14:textId="77777777" w:rsidR="00895FCF" w:rsidRPr="002F3F62" w:rsidRDefault="00895FCF" w:rsidP="008A0EA9">
            <w:pPr>
              <w:spacing w:line="360" w:lineRule="auto"/>
              <w:jc w:val="center"/>
              <w:rPr>
                <w:b/>
                <w:bCs/>
                <w:color w:val="000000"/>
                <w:sz w:val="20"/>
                <w:szCs w:val="20"/>
                <w:lang w:val="en-US"/>
              </w:rPr>
            </w:pPr>
            <w:r w:rsidRPr="002F3F62">
              <w:rPr>
                <w:b/>
                <w:bCs/>
                <w:color w:val="000000"/>
                <w:sz w:val="20"/>
                <w:szCs w:val="20"/>
                <w:lang w:val="en-US"/>
              </w:rPr>
              <w:t>N</w:t>
            </w:r>
          </w:p>
        </w:tc>
        <w:tc>
          <w:tcPr>
            <w:tcW w:w="7938" w:type="dxa"/>
            <w:tcBorders>
              <w:top w:val="single" w:sz="8" w:space="0" w:color="auto"/>
              <w:left w:val="nil"/>
              <w:bottom w:val="single" w:sz="4" w:space="0" w:color="auto"/>
              <w:right w:val="single" w:sz="8" w:space="0" w:color="auto"/>
            </w:tcBorders>
            <w:shd w:val="clear" w:color="000000" w:fill="A6A6A6"/>
            <w:noWrap/>
            <w:vAlign w:val="center"/>
            <w:hideMark/>
          </w:tcPr>
          <w:p w14:paraId="0D134076" w14:textId="77777777" w:rsidR="00895FCF" w:rsidRPr="008A0EA9" w:rsidRDefault="00895FCF" w:rsidP="008A0EA9">
            <w:pPr>
              <w:spacing w:line="360" w:lineRule="auto"/>
              <w:jc w:val="center"/>
              <w:rPr>
                <w:b/>
                <w:bCs/>
                <w:color w:val="000000"/>
                <w:sz w:val="20"/>
                <w:szCs w:val="20"/>
                <w:lang w:val="en-US"/>
              </w:rPr>
            </w:pPr>
            <w:r w:rsidRPr="008A0EA9">
              <w:rPr>
                <w:b/>
                <w:bCs/>
                <w:color w:val="000000"/>
                <w:sz w:val="20"/>
                <w:szCs w:val="20"/>
                <w:lang w:val="en-US"/>
              </w:rPr>
              <w:t>Referecences screened by full-text assessment</w:t>
            </w:r>
          </w:p>
        </w:tc>
        <w:tc>
          <w:tcPr>
            <w:tcW w:w="1985" w:type="dxa"/>
            <w:tcBorders>
              <w:top w:val="single" w:sz="8" w:space="0" w:color="auto"/>
              <w:left w:val="single" w:sz="8" w:space="0" w:color="auto"/>
              <w:bottom w:val="single" w:sz="4" w:space="0" w:color="auto"/>
              <w:right w:val="single" w:sz="8" w:space="0" w:color="auto"/>
            </w:tcBorders>
            <w:shd w:val="clear" w:color="000000" w:fill="A6A6A6"/>
            <w:vAlign w:val="center"/>
            <w:hideMark/>
          </w:tcPr>
          <w:p w14:paraId="369CAFC2" w14:textId="77777777" w:rsidR="00895FCF" w:rsidRPr="008A0EA9" w:rsidRDefault="00895FCF" w:rsidP="008A0EA9">
            <w:pPr>
              <w:spacing w:line="360" w:lineRule="auto"/>
              <w:jc w:val="center"/>
              <w:rPr>
                <w:b/>
                <w:bCs/>
                <w:color w:val="000000"/>
                <w:sz w:val="20"/>
                <w:szCs w:val="20"/>
                <w:lang w:val="en-US"/>
              </w:rPr>
            </w:pPr>
            <w:r w:rsidRPr="008A0EA9">
              <w:rPr>
                <w:b/>
                <w:bCs/>
                <w:color w:val="000000"/>
                <w:sz w:val="20"/>
                <w:szCs w:val="20"/>
                <w:lang w:val="en-US"/>
              </w:rPr>
              <w:t>Reason for exclusion by full-text</w:t>
            </w:r>
          </w:p>
        </w:tc>
      </w:tr>
      <w:tr w:rsidR="00895FCF" w:rsidRPr="007C6EBB" w14:paraId="42E7A8BB"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4D8F0665"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1</w:t>
            </w:r>
          </w:p>
        </w:tc>
        <w:tc>
          <w:tcPr>
            <w:tcW w:w="7938" w:type="dxa"/>
            <w:tcBorders>
              <w:top w:val="single" w:sz="4" w:space="0" w:color="auto"/>
              <w:left w:val="nil"/>
              <w:bottom w:val="single" w:sz="4" w:space="0" w:color="auto"/>
              <w:right w:val="single" w:sz="8" w:space="0" w:color="auto"/>
            </w:tcBorders>
            <w:shd w:val="clear" w:color="auto" w:fill="auto"/>
            <w:vAlign w:val="center"/>
          </w:tcPr>
          <w:p w14:paraId="02F53B9E" w14:textId="77777777" w:rsidR="00895FCF" w:rsidRPr="008A0EA9" w:rsidRDefault="00895FCF" w:rsidP="008A0EA9">
            <w:pPr>
              <w:spacing w:line="360" w:lineRule="auto"/>
              <w:jc w:val="center"/>
              <w:rPr>
                <w:color w:val="000000"/>
                <w:sz w:val="20"/>
                <w:szCs w:val="20"/>
                <w:lang w:val="en-US" w:eastAsia="es-ES"/>
              </w:rPr>
            </w:pPr>
            <w:r w:rsidRPr="007C6EBB">
              <w:rPr>
                <w:color w:val="000000"/>
                <w:sz w:val="20"/>
                <w:szCs w:val="20"/>
                <w:lang w:eastAsia="es-ES"/>
              </w:rPr>
              <w:t>Adiguzel Ozkan, Belgin Ce</w:t>
            </w:r>
            <w:r w:rsidRPr="008A0EA9">
              <w:rPr>
                <w:color w:val="000000"/>
                <w:sz w:val="20"/>
                <w:szCs w:val="20"/>
                <w:lang w:eastAsia="es-ES"/>
              </w:rPr>
              <w:t xml:space="preserve">ren Aktuna, Falakaloglu Seda, Cangul Suzan, Akkus Zeki. </w:t>
            </w:r>
            <w:r w:rsidRPr="008A0EA9">
              <w:rPr>
                <w:color w:val="000000"/>
                <w:sz w:val="20"/>
                <w:szCs w:val="20"/>
                <w:lang w:val="en-US" w:eastAsia="es-ES"/>
              </w:rPr>
              <w:t>Maxillary cortical bone thickness in a south- eastern anatolian population: A cone-beam computed tomography study. Med Sci Monit 2017;23:5812–7. Doi: 10.12659/MSM.906229.</w:t>
            </w:r>
          </w:p>
        </w:tc>
        <w:tc>
          <w:tcPr>
            <w:tcW w:w="1985" w:type="dxa"/>
            <w:tcBorders>
              <w:top w:val="single" w:sz="4" w:space="0" w:color="auto"/>
              <w:left w:val="nil"/>
              <w:bottom w:val="single" w:sz="4" w:space="0" w:color="auto"/>
              <w:right w:val="single" w:sz="8" w:space="0" w:color="auto"/>
            </w:tcBorders>
            <w:shd w:val="clear" w:color="auto" w:fill="auto"/>
            <w:vAlign w:val="center"/>
          </w:tcPr>
          <w:p w14:paraId="14FCD798"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Non reproducible way of measuring</w:t>
            </w:r>
          </w:p>
        </w:tc>
      </w:tr>
      <w:tr w:rsidR="00895FCF" w:rsidRPr="007C6EBB" w14:paraId="33FA0111"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4C40D57D"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2</w:t>
            </w:r>
          </w:p>
        </w:tc>
        <w:tc>
          <w:tcPr>
            <w:tcW w:w="7938" w:type="dxa"/>
            <w:tcBorders>
              <w:top w:val="single" w:sz="4" w:space="0" w:color="auto"/>
              <w:left w:val="nil"/>
              <w:bottom w:val="single" w:sz="4" w:space="0" w:color="auto"/>
              <w:right w:val="single" w:sz="8" w:space="0" w:color="auto"/>
            </w:tcBorders>
            <w:shd w:val="clear" w:color="auto" w:fill="auto"/>
            <w:vAlign w:val="center"/>
          </w:tcPr>
          <w:p w14:paraId="6E4B0828"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Ahn Hyo Won, Moon Sung Chul, Baek Seung Hak. Morphometric evaluation of changes in the alveolar bone and roots of the maxillary anterior teeth before and after en masse retraction using cone-beam computed tomography. Angle Orthod 2013;83(2):212–21. Doi: 10.2319/041812-325.1.</w:t>
            </w:r>
          </w:p>
        </w:tc>
        <w:tc>
          <w:tcPr>
            <w:tcW w:w="1985" w:type="dxa"/>
            <w:tcBorders>
              <w:top w:val="single" w:sz="4" w:space="0" w:color="auto"/>
              <w:left w:val="nil"/>
              <w:bottom w:val="single" w:sz="4" w:space="0" w:color="auto"/>
              <w:right w:val="single" w:sz="8" w:space="0" w:color="auto"/>
            </w:tcBorders>
            <w:shd w:val="clear" w:color="auto" w:fill="auto"/>
            <w:vAlign w:val="center"/>
          </w:tcPr>
          <w:p w14:paraId="4F84C80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Patients with premolars extraction and orthodontic treatment</w:t>
            </w:r>
          </w:p>
        </w:tc>
      </w:tr>
      <w:tr w:rsidR="00895FCF" w:rsidRPr="007C6EBB" w14:paraId="377950C8"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1907CB2F"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3</w:t>
            </w:r>
          </w:p>
        </w:tc>
        <w:tc>
          <w:tcPr>
            <w:tcW w:w="7938" w:type="dxa"/>
            <w:tcBorders>
              <w:top w:val="single" w:sz="4" w:space="0" w:color="auto"/>
              <w:left w:val="nil"/>
              <w:bottom w:val="single" w:sz="4" w:space="0" w:color="auto"/>
              <w:right w:val="single" w:sz="8" w:space="0" w:color="auto"/>
            </w:tcBorders>
            <w:shd w:val="clear" w:color="auto" w:fill="auto"/>
            <w:vAlign w:val="center"/>
          </w:tcPr>
          <w:p w14:paraId="5B0A9407"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Al-Jaf Nagham M., Abdul Wahab Rohaya Megat, Abu Hassan Mohamed Ibrahim. Buccal cortical bone thickness in different sagittal skeletal relationship. Orthod Waves 2018;77(4):220–5. Doi: 10.1016/j.odw.2018.08.001.</w:t>
            </w:r>
          </w:p>
        </w:tc>
        <w:tc>
          <w:tcPr>
            <w:tcW w:w="1985" w:type="dxa"/>
            <w:tcBorders>
              <w:top w:val="single" w:sz="4" w:space="0" w:color="auto"/>
              <w:left w:val="nil"/>
              <w:bottom w:val="single" w:sz="4" w:space="0" w:color="auto"/>
              <w:right w:val="single" w:sz="8" w:space="0" w:color="auto"/>
            </w:tcBorders>
            <w:shd w:val="clear" w:color="auto" w:fill="auto"/>
            <w:vAlign w:val="center"/>
          </w:tcPr>
          <w:p w14:paraId="3FDDB519"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Analyzing interradicular bone, not facial alveolar bone at maxillary teeth</w:t>
            </w:r>
          </w:p>
        </w:tc>
      </w:tr>
      <w:tr w:rsidR="00895FCF" w:rsidRPr="008A0EA9" w14:paraId="686E095A"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441CD42F"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4</w:t>
            </w:r>
          </w:p>
        </w:tc>
        <w:tc>
          <w:tcPr>
            <w:tcW w:w="7938" w:type="dxa"/>
            <w:tcBorders>
              <w:top w:val="single" w:sz="4" w:space="0" w:color="auto"/>
              <w:left w:val="nil"/>
              <w:bottom w:val="single" w:sz="4" w:space="0" w:color="auto"/>
              <w:right w:val="single" w:sz="8" w:space="0" w:color="auto"/>
            </w:tcBorders>
            <w:shd w:val="clear" w:color="auto" w:fill="auto"/>
            <w:vAlign w:val="center"/>
          </w:tcPr>
          <w:p w14:paraId="2104EC8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Arief Erry Mochamad, Ngee Teh Thian, Hassan Akram, Shaari Ramizu, Alam Mohammad Khursheed, Daud Firdaus. Cone beam computed tomographic (CBCT) evaluation of maxillary anterior alveolar bone. Int Med J 2013;20(3):326–8.</w:t>
            </w:r>
          </w:p>
        </w:tc>
        <w:tc>
          <w:tcPr>
            <w:tcW w:w="1985" w:type="dxa"/>
            <w:tcBorders>
              <w:top w:val="single" w:sz="4" w:space="0" w:color="auto"/>
              <w:left w:val="nil"/>
              <w:bottom w:val="single" w:sz="4" w:space="0" w:color="auto"/>
              <w:right w:val="single" w:sz="8" w:space="0" w:color="auto"/>
            </w:tcBorders>
            <w:shd w:val="clear" w:color="auto" w:fill="auto"/>
            <w:vAlign w:val="center"/>
          </w:tcPr>
          <w:p w14:paraId="54F22479"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Sample size (26 patients)</w:t>
            </w:r>
          </w:p>
        </w:tc>
      </w:tr>
      <w:tr w:rsidR="00895FCF" w:rsidRPr="007C6EBB" w14:paraId="7001EE82"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6069A1E7"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5</w:t>
            </w:r>
          </w:p>
        </w:tc>
        <w:tc>
          <w:tcPr>
            <w:tcW w:w="7938" w:type="dxa"/>
            <w:tcBorders>
              <w:top w:val="single" w:sz="4" w:space="0" w:color="auto"/>
              <w:left w:val="nil"/>
              <w:bottom w:val="single" w:sz="4" w:space="0" w:color="auto"/>
              <w:right w:val="single" w:sz="8" w:space="0" w:color="auto"/>
            </w:tcBorders>
            <w:shd w:val="clear" w:color="auto" w:fill="auto"/>
            <w:vAlign w:val="center"/>
          </w:tcPr>
          <w:p w14:paraId="4F74FD7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Bonta Hernán, Carranza Nelson, Gualtieri Ariel F, Rojas Mariana A. Morphological characteristics of the facial bone wall related to the tooth position in the alveolar crest in the maxillary anterior. Acta Odontol Latinoam 2017;30(2):49–56.</w:t>
            </w:r>
          </w:p>
        </w:tc>
        <w:tc>
          <w:tcPr>
            <w:tcW w:w="1985" w:type="dxa"/>
            <w:tcBorders>
              <w:top w:val="single" w:sz="4" w:space="0" w:color="auto"/>
              <w:left w:val="nil"/>
              <w:bottom w:val="single" w:sz="4" w:space="0" w:color="auto"/>
              <w:right w:val="single" w:sz="8" w:space="0" w:color="auto"/>
            </w:tcBorders>
            <w:shd w:val="clear" w:color="auto" w:fill="auto"/>
            <w:vAlign w:val="center"/>
          </w:tcPr>
          <w:p w14:paraId="562BF925"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Non reproducible way of measuring</w:t>
            </w:r>
          </w:p>
        </w:tc>
      </w:tr>
      <w:tr w:rsidR="00895FCF" w:rsidRPr="008A0EA9" w14:paraId="7B4DA11B"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1527EAEA"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6</w:t>
            </w:r>
          </w:p>
        </w:tc>
        <w:tc>
          <w:tcPr>
            <w:tcW w:w="7938" w:type="dxa"/>
            <w:tcBorders>
              <w:top w:val="single" w:sz="4" w:space="0" w:color="auto"/>
              <w:left w:val="nil"/>
              <w:bottom w:val="single" w:sz="4" w:space="0" w:color="auto"/>
              <w:right w:val="single" w:sz="8" w:space="0" w:color="auto"/>
            </w:tcBorders>
            <w:shd w:val="clear" w:color="auto" w:fill="auto"/>
            <w:vAlign w:val="center"/>
          </w:tcPr>
          <w:p w14:paraId="376BC5E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Chen Sheng-Hong, Chan Hsun-Liang, Lu Yongning, et al. A Semi-automatic Algorithm for Preliminary Assessment of Labial Gingiva and Alveolar Bone Thickness of Maxillary Anterior Teeth. Int J Oral Maxillofac Implants 2017;32(6):1273–80. Doi: 10.11607/jomi.5566.</w:t>
            </w:r>
          </w:p>
        </w:tc>
        <w:tc>
          <w:tcPr>
            <w:tcW w:w="1985" w:type="dxa"/>
            <w:tcBorders>
              <w:top w:val="single" w:sz="4" w:space="0" w:color="auto"/>
              <w:left w:val="nil"/>
              <w:bottom w:val="single" w:sz="4" w:space="0" w:color="auto"/>
              <w:right w:val="single" w:sz="8" w:space="0" w:color="auto"/>
            </w:tcBorders>
            <w:shd w:val="clear" w:color="auto" w:fill="auto"/>
            <w:vAlign w:val="center"/>
          </w:tcPr>
          <w:p w14:paraId="3C9355C1"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Sample size (11 patients)</w:t>
            </w:r>
          </w:p>
        </w:tc>
      </w:tr>
      <w:tr w:rsidR="00895FCF" w:rsidRPr="007C6EBB" w14:paraId="3C6708FE"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6C2A7A66"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7</w:t>
            </w:r>
          </w:p>
        </w:tc>
        <w:tc>
          <w:tcPr>
            <w:tcW w:w="7938" w:type="dxa"/>
            <w:tcBorders>
              <w:top w:val="single" w:sz="4" w:space="0" w:color="auto"/>
              <w:left w:val="nil"/>
              <w:bottom w:val="single" w:sz="4" w:space="0" w:color="auto"/>
              <w:right w:val="single" w:sz="8" w:space="0" w:color="auto"/>
            </w:tcBorders>
            <w:shd w:val="clear" w:color="auto" w:fill="auto"/>
            <w:vAlign w:val="center"/>
          </w:tcPr>
          <w:p w14:paraId="34A682FB"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Coşkun İpek, Kaya Burçak. Relationship between alveolar bone thickness, tooth root morphology, and sagittal skeletal pattern: A cone beam computed tomography study. J Orofac Orthop 2019;80(3):144–58. Doi: 10.1007/s00056-019-00175-9.</w:t>
            </w:r>
          </w:p>
        </w:tc>
        <w:tc>
          <w:tcPr>
            <w:tcW w:w="1985" w:type="dxa"/>
            <w:tcBorders>
              <w:top w:val="single" w:sz="4" w:space="0" w:color="auto"/>
              <w:left w:val="nil"/>
              <w:bottom w:val="single" w:sz="4" w:space="0" w:color="auto"/>
              <w:right w:val="single" w:sz="8" w:space="0" w:color="auto"/>
            </w:tcBorders>
            <w:shd w:val="clear" w:color="auto" w:fill="auto"/>
            <w:vAlign w:val="center"/>
          </w:tcPr>
          <w:p w14:paraId="72FBAE9F"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Analyzing interradicular bone, not facial alveolar bone at maxillary teeth</w:t>
            </w:r>
          </w:p>
        </w:tc>
      </w:tr>
      <w:tr w:rsidR="00895FCF" w:rsidRPr="008A0EA9" w14:paraId="78438308"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57D0BC3B"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8</w:t>
            </w:r>
          </w:p>
        </w:tc>
        <w:tc>
          <w:tcPr>
            <w:tcW w:w="7938" w:type="dxa"/>
            <w:tcBorders>
              <w:top w:val="single" w:sz="4" w:space="0" w:color="auto"/>
              <w:left w:val="nil"/>
              <w:bottom w:val="single" w:sz="4" w:space="0" w:color="auto"/>
              <w:right w:val="single" w:sz="8" w:space="0" w:color="auto"/>
            </w:tcBorders>
            <w:shd w:val="clear" w:color="auto" w:fill="auto"/>
            <w:vAlign w:val="center"/>
          </w:tcPr>
          <w:p w14:paraId="7DD219F7"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Digregorio Michele Vito, Fastuca Rosamaria, Zecca Piero Antonio, Caprioglio Alberto, Lagravère Manuel O. Buccal bone plate thickness after rapid maxillary expansion in mixed and permanent dentitions. Am J Orthod Dentofac Orthop 2019;155(2):198–206. Doi: 10.1016/j.ajodo.2018.03.020.</w:t>
            </w:r>
          </w:p>
        </w:tc>
        <w:tc>
          <w:tcPr>
            <w:tcW w:w="1985" w:type="dxa"/>
            <w:tcBorders>
              <w:top w:val="single" w:sz="4" w:space="0" w:color="auto"/>
              <w:left w:val="nil"/>
              <w:bottom w:val="single" w:sz="4" w:space="0" w:color="auto"/>
              <w:right w:val="single" w:sz="8" w:space="0" w:color="auto"/>
            </w:tcBorders>
            <w:shd w:val="clear" w:color="auto" w:fill="auto"/>
            <w:vAlign w:val="center"/>
          </w:tcPr>
          <w:p w14:paraId="003B269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Patients with deciduous teeth</w:t>
            </w:r>
          </w:p>
        </w:tc>
      </w:tr>
      <w:tr w:rsidR="00895FCF" w:rsidRPr="007C6EBB" w14:paraId="4FF7619D"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5106BB80"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9</w:t>
            </w:r>
          </w:p>
        </w:tc>
        <w:tc>
          <w:tcPr>
            <w:tcW w:w="7938" w:type="dxa"/>
            <w:tcBorders>
              <w:top w:val="single" w:sz="4" w:space="0" w:color="auto"/>
              <w:left w:val="nil"/>
              <w:bottom w:val="single" w:sz="4" w:space="0" w:color="auto"/>
              <w:right w:val="single" w:sz="8" w:space="0" w:color="auto"/>
            </w:tcBorders>
            <w:shd w:val="clear" w:color="auto" w:fill="auto"/>
            <w:vAlign w:val="center"/>
          </w:tcPr>
          <w:p w14:paraId="0A53ED74"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Dong Zheng Jie, Xu Kan. Study of angle between maxillary incisor and alveolar bone using cone-beam CT. Shanghai Kou Qiang Yi Xue 2017;26(4):458–60.</w:t>
            </w:r>
          </w:p>
        </w:tc>
        <w:tc>
          <w:tcPr>
            <w:tcW w:w="1985" w:type="dxa"/>
            <w:tcBorders>
              <w:top w:val="single" w:sz="4" w:space="0" w:color="auto"/>
              <w:left w:val="nil"/>
              <w:bottom w:val="single" w:sz="4" w:space="0" w:color="auto"/>
              <w:right w:val="single" w:sz="8" w:space="0" w:color="auto"/>
            </w:tcBorders>
            <w:shd w:val="clear" w:color="auto" w:fill="auto"/>
            <w:vAlign w:val="center"/>
          </w:tcPr>
          <w:p w14:paraId="50C92759"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Not analyzing facial alveolar bone thickness</w:t>
            </w:r>
          </w:p>
        </w:tc>
      </w:tr>
      <w:tr w:rsidR="00895FCF" w:rsidRPr="007C6EBB" w14:paraId="447CCB5A"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6068AD88"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10</w:t>
            </w:r>
          </w:p>
        </w:tc>
        <w:tc>
          <w:tcPr>
            <w:tcW w:w="7938" w:type="dxa"/>
            <w:tcBorders>
              <w:top w:val="single" w:sz="4" w:space="0" w:color="auto"/>
              <w:left w:val="nil"/>
              <w:bottom w:val="single" w:sz="4" w:space="0" w:color="auto"/>
              <w:right w:val="single" w:sz="8" w:space="0" w:color="auto"/>
            </w:tcBorders>
            <w:shd w:val="clear" w:color="auto" w:fill="auto"/>
            <w:vAlign w:val="center"/>
          </w:tcPr>
          <w:p w14:paraId="2AD63105"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Esfahanizadeh Nasrin, Daneshparvar Niloufar, Askarpour Farinaz, Akhoundi Nasrin, Panjnoush Mehrdad. Correlation Between Bone and Soft Tissue Thickness in Maxillary Anterior Teeth. J Dent (Tehran) 2016;13(5):302–8.</w:t>
            </w:r>
          </w:p>
        </w:tc>
        <w:tc>
          <w:tcPr>
            <w:tcW w:w="1985" w:type="dxa"/>
            <w:tcBorders>
              <w:top w:val="single" w:sz="4" w:space="0" w:color="auto"/>
              <w:left w:val="nil"/>
              <w:bottom w:val="single" w:sz="4" w:space="0" w:color="auto"/>
              <w:right w:val="single" w:sz="8" w:space="0" w:color="auto"/>
            </w:tcBorders>
            <w:shd w:val="clear" w:color="auto" w:fill="auto"/>
            <w:vAlign w:val="center"/>
          </w:tcPr>
          <w:p w14:paraId="762354E5"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Patients with</w:t>
            </w:r>
            <w:r w:rsidRPr="008A0EA9">
              <w:rPr>
                <w:lang w:val="en-US"/>
              </w:rPr>
              <w:t xml:space="preserve"> </w:t>
            </w:r>
            <w:r w:rsidRPr="008A0EA9">
              <w:rPr>
                <w:color w:val="000000"/>
                <w:sz w:val="20"/>
                <w:szCs w:val="20"/>
                <w:lang w:val="en-US" w:eastAsia="es-ES"/>
              </w:rPr>
              <w:t>absences at the anterior maxillary teeth</w:t>
            </w:r>
          </w:p>
        </w:tc>
      </w:tr>
      <w:tr w:rsidR="00895FCF" w:rsidRPr="007C6EBB" w14:paraId="2655D4EB"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029226C6"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11</w:t>
            </w:r>
          </w:p>
        </w:tc>
        <w:tc>
          <w:tcPr>
            <w:tcW w:w="7938" w:type="dxa"/>
            <w:tcBorders>
              <w:top w:val="single" w:sz="4" w:space="0" w:color="auto"/>
              <w:left w:val="nil"/>
              <w:bottom w:val="single" w:sz="4" w:space="0" w:color="auto"/>
              <w:right w:val="single" w:sz="8" w:space="0" w:color="auto"/>
            </w:tcBorders>
            <w:shd w:val="clear" w:color="auto" w:fill="auto"/>
            <w:vAlign w:val="center"/>
          </w:tcPr>
          <w:p w14:paraId="3BE61CB2"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Frost Natalie A., Mealey Brian L., Jones Archie A., Huynh-Ba Guy. Periodontal Biotype: Gingival Thickness as It Relates to Probe Visibility and Buccal Plate Thickness. J Periodontol 2015;86(10):1141–9. Doi: 10.1902/jop.2015.140394.</w:t>
            </w:r>
          </w:p>
        </w:tc>
        <w:tc>
          <w:tcPr>
            <w:tcW w:w="1985" w:type="dxa"/>
            <w:tcBorders>
              <w:top w:val="single" w:sz="4" w:space="0" w:color="auto"/>
              <w:left w:val="nil"/>
              <w:bottom w:val="single" w:sz="4" w:space="0" w:color="auto"/>
              <w:right w:val="single" w:sz="8" w:space="0" w:color="auto"/>
            </w:tcBorders>
            <w:shd w:val="clear" w:color="auto" w:fill="auto"/>
            <w:vAlign w:val="center"/>
          </w:tcPr>
          <w:p w14:paraId="05E7BD4D"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Patients with</w:t>
            </w:r>
            <w:r w:rsidRPr="008A0EA9">
              <w:rPr>
                <w:lang w:val="en-US"/>
              </w:rPr>
              <w:t xml:space="preserve"> </w:t>
            </w:r>
            <w:r w:rsidRPr="008A0EA9">
              <w:rPr>
                <w:color w:val="000000"/>
                <w:sz w:val="20"/>
                <w:szCs w:val="20"/>
                <w:lang w:val="en-US" w:eastAsia="es-ES"/>
              </w:rPr>
              <w:t>absences at the anterior maxillary teeth</w:t>
            </w:r>
          </w:p>
        </w:tc>
      </w:tr>
      <w:tr w:rsidR="00895FCF" w:rsidRPr="008A0EA9" w14:paraId="3D08DB3D"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45D5F9B6"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lastRenderedPageBreak/>
              <w:t>12</w:t>
            </w:r>
          </w:p>
        </w:tc>
        <w:tc>
          <w:tcPr>
            <w:tcW w:w="7938" w:type="dxa"/>
            <w:tcBorders>
              <w:top w:val="single" w:sz="4" w:space="0" w:color="auto"/>
              <w:left w:val="nil"/>
              <w:bottom w:val="single" w:sz="4" w:space="0" w:color="auto"/>
              <w:right w:val="single" w:sz="8" w:space="0" w:color="auto"/>
            </w:tcBorders>
            <w:shd w:val="clear" w:color="auto" w:fill="auto"/>
            <w:vAlign w:val="center"/>
          </w:tcPr>
          <w:p w14:paraId="3CD999C1"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eastAsia="es-ES"/>
              </w:rPr>
              <w:t xml:space="preserve">Frumkin Nathalie, Via Shlomo, Klinger Avigdor. </w:t>
            </w:r>
            <w:r w:rsidRPr="008A0EA9">
              <w:rPr>
                <w:color w:val="000000"/>
                <w:sz w:val="20"/>
                <w:szCs w:val="20"/>
                <w:lang w:val="en-US" w:eastAsia="es-ES"/>
              </w:rPr>
              <w:t>Evaluation of the width of the alveolar bone in subjects with different gingival biotypes: A prospective cohort study using cone beam computed tomography. Quintessence Int (Berl) 2017;48(3):209–16. Doi: 10.3290/j.qi.a37642.</w:t>
            </w:r>
          </w:p>
        </w:tc>
        <w:tc>
          <w:tcPr>
            <w:tcW w:w="1985" w:type="dxa"/>
            <w:tcBorders>
              <w:top w:val="single" w:sz="4" w:space="0" w:color="auto"/>
              <w:left w:val="nil"/>
              <w:bottom w:val="single" w:sz="4" w:space="0" w:color="auto"/>
              <w:right w:val="single" w:sz="8" w:space="0" w:color="auto"/>
            </w:tcBorders>
            <w:shd w:val="clear" w:color="auto" w:fill="auto"/>
            <w:vAlign w:val="center"/>
          </w:tcPr>
          <w:p w14:paraId="02EC4467"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Sample size (16 patients)</w:t>
            </w:r>
          </w:p>
        </w:tc>
      </w:tr>
      <w:tr w:rsidR="00895FCF" w:rsidRPr="007C6EBB" w14:paraId="0903AA7E"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17CF995E"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13</w:t>
            </w:r>
          </w:p>
        </w:tc>
        <w:tc>
          <w:tcPr>
            <w:tcW w:w="7938" w:type="dxa"/>
            <w:tcBorders>
              <w:top w:val="single" w:sz="4" w:space="0" w:color="auto"/>
              <w:left w:val="nil"/>
              <w:bottom w:val="single" w:sz="4" w:space="0" w:color="auto"/>
              <w:right w:val="single" w:sz="8" w:space="0" w:color="auto"/>
            </w:tcBorders>
            <w:shd w:val="clear" w:color="auto" w:fill="auto"/>
            <w:vAlign w:val="center"/>
          </w:tcPr>
          <w:p w14:paraId="123B6C57"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eastAsia="es-ES"/>
              </w:rPr>
              <w:t xml:space="preserve">Fuentes Ramón, Flores Tania, Navarro Pablo, Salamanca Carlos, Beltrán Víctor, Borie Eduardo. </w:t>
            </w:r>
            <w:r w:rsidRPr="008A0EA9">
              <w:rPr>
                <w:color w:val="000000"/>
                <w:sz w:val="20"/>
                <w:szCs w:val="20"/>
                <w:lang w:val="en-US" w:eastAsia="es-ES"/>
              </w:rPr>
              <w:t>Assessment of buccal bone thickness of aesthetic maxillary region: A cone-beam computed tomography study. J Periodontal Implant Sci 2015;45(5):162–8. Doi: 10.5051/jpis.2015.45.5.162.</w:t>
            </w:r>
          </w:p>
        </w:tc>
        <w:tc>
          <w:tcPr>
            <w:tcW w:w="1985" w:type="dxa"/>
            <w:tcBorders>
              <w:top w:val="single" w:sz="4" w:space="0" w:color="auto"/>
              <w:left w:val="nil"/>
              <w:bottom w:val="single" w:sz="4" w:space="0" w:color="auto"/>
              <w:right w:val="single" w:sz="8" w:space="0" w:color="auto"/>
            </w:tcBorders>
            <w:shd w:val="clear" w:color="auto" w:fill="auto"/>
            <w:vAlign w:val="center"/>
          </w:tcPr>
          <w:p w14:paraId="0CB7FA22"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Non reproducible way of measuring</w:t>
            </w:r>
          </w:p>
        </w:tc>
      </w:tr>
      <w:tr w:rsidR="00895FCF" w:rsidRPr="007C6EBB" w14:paraId="557C61E0" w14:textId="77777777" w:rsidTr="00D0079C">
        <w:trPr>
          <w:trHeight w:val="640"/>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6CB069D4"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14</w:t>
            </w:r>
          </w:p>
        </w:tc>
        <w:tc>
          <w:tcPr>
            <w:tcW w:w="7938" w:type="dxa"/>
            <w:tcBorders>
              <w:top w:val="single" w:sz="4" w:space="0" w:color="auto"/>
              <w:left w:val="nil"/>
              <w:bottom w:val="single" w:sz="4" w:space="0" w:color="auto"/>
              <w:right w:val="single" w:sz="8" w:space="0" w:color="auto"/>
            </w:tcBorders>
            <w:shd w:val="clear" w:color="auto" w:fill="auto"/>
            <w:vAlign w:val="center"/>
          </w:tcPr>
          <w:p w14:paraId="46D8E3D9"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Germec-Cakan Derya, Tozlu Murat, Ozdemir Fulya. Cortical bone thickness of the adult alveolar process--a retrospective CBCT study. Aust Orthod J 2014;30(1):54–60.</w:t>
            </w:r>
          </w:p>
        </w:tc>
        <w:tc>
          <w:tcPr>
            <w:tcW w:w="1985" w:type="dxa"/>
            <w:tcBorders>
              <w:top w:val="single" w:sz="4" w:space="0" w:color="auto"/>
              <w:left w:val="nil"/>
              <w:bottom w:val="single" w:sz="4" w:space="0" w:color="auto"/>
              <w:right w:val="single" w:sz="8" w:space="0" w:color="auto"/>
            </w:tcBorders>
            <w:shd w:val="clear" w:color="auto" w:fill="auto"/>
            <w:vAlign w:val="center"/>
          </w:tcPr>
          <w:p w14:paraId="09A9E329"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Analyzing ridge thickness, not facial alveolar bone at maxillary teeth</w:t>
            </w:r>
          </w:p>
        </w:tc>
      </w:tr>
      <w:tr w:rsidR="00895FCF" w:rsidRPr="007C6EBB" w14:paraId="57502066"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1FC3C13E"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15</w:t>
            </w:r>
          </w:p>
        </w:tc>
        <w:tc>
          <w:tcPr>
            <w:tcW w:w="7938" w:type="dxa"/>
            <w:tcBorders>
              <w:top w:val="single" w:sz="4" w:space="0" w:color="auto"/>
              <w:left w:val="nil"/>
              <w:bottom w:val="single" w:sz="4" w:space="0" w:color="auto"/>
              <w:right w:val="single" w:sz="8" w:space="0" w:color="auto"/>
            </w:tcBorders>
            <w:shd w:val="clear" w:color="auto" w:fill="auto"/>
            <w:vAlign w:val="center"/>
          </w:tcPr>
          <w:p w14:paraId="33D92C75"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Giglou K., Batal H., Mehra P. Does Sagittal Root Position Affect Buccal or Palatal Bone Thickness in the Anterior Esthetic Zone? J Oral Maxillofac Surg 2017;75(10):e354–5. Doi: 10.1016/j.joms.2017.07.049.</w:t>
            </w:r>
          </w:p>
        </w:tc>
        <w:tc>
          <w:tcPr>
            <w:tcW w:w="1985" w:type="dxa"/>
            <w:tcBorders>
              <w:top w:val="single" w:sz="4" w:space="0" w:color="auto"/>
              <w:left w:val="nil"/>
              <w:bottom w:val="single" w:sz="4" w:space="0" w:color="auto"/>
              <w:right w:val="single" w:sz="8" w:space="0" w:color="auto"/>
            </w:tcBorders>
            <w:shd w:val="clear" w:color="auto" w:fill="auto"/>
            <w:vAlign w:val="center"/>
          </w:tcPr>
          <w:p w14:paraId="2D8B628A"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Non reproducible way of measuring</w:t>
            </w:r>
          </w:p>
        </w:tc>
      </w:tr>
      <w:tr w:rsidR="00895FCF" w:rsidRPr="008A0EA9" w14:paraId="2ED98F3C"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37F7C1D8"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16</w:t>
            </w:r>
          </w:p>
        </w:tc>
        <w:tc>
          <w:tcPr>
            <w:tcW w:w="7938" w:type="dxa"/>
            <w:tcBorders>
              <w:top w:val="single" w:sz="4" w:space="0" w:color="auto"/>
              <w:left w:val="nil"/>
              <w:bottom w:val="single" w:sz="4" w:space="0" w:color="auto"/>
              <w:right w:val="single" w:sz="8" w:space="0" w:color="auto"/>
            </w:tcBorders>
            <w:shd w:val="clear" w:color="auto" w:fill="auto"/>
            <w:vAlign w:val="center"/>
          </w:tcPr>
          <w:p w14:paraId="36D45EAD"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Gonen Zeynep Burcin, Alkan Alper, Ekizer Abdullah, Kutuk Nukhet, Tasdemir Zekeriya. Evaluation of Vestibular Bone Thickness in Class I Malocclusion Treatment With Corticotomy-Assisted Rapid Orthodontics. J Craniofac Surg 2019;30(8):e727–33. Doi: 10.1097/SCS.0000000000005736.</w:t>
            </w:r>
          </w:p>
        </w:tc>
        <w:tc>
          <w:tcPr>
            <w:tcW w:w="1985" w:type="dxa"/>
            <w:tcBorders>
              <w:top w:val="single" w:sz="4" w:space="0" w:color="auto"/>
              <w:left w:val="nil"/>
              <w:bottom w:val="single" w:sz="4" w:space="0" w:color="auto"/>
              <w:right w:val="single" w:sz="8" w:space="0" w:color="auto"/>
            </w:tcBorders>
            <w:shd w:val="clear" w:color="auto" w:fill="auto"/>
            <w:vAlign w:val="center"/>
          </w:tcPr>
          <w:p w14:paraId="0C40D935"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 xml:space="preserve">Orthodontic treatment with corticotomies </w:t>
            </w:r>
          </w:p>
        </w:tc>
      </w:tr>
      <w:tr w:rsidR="00895FCF" w:rsidRPr="007C6EBB" w14:paraId="6B0C6044"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6B58C77D"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17</w:t>
            </w:r>
          </w:p>
        </w:tc>
        <w:tc>
          <w:tcPr>
            <w:tcW w:w="7938" w:type="dxa"/>
            <w:tcBorders>
              <w:top w:val="single" w:sz="4" w:space="0" w:color="auto"/>
              <w:left w:val="nil"/>
              <w:bottom w:val="single" w:sz="4" w:space="0" w:color="auto"/>
              <w:right w:val="single" w:sz="8" w:space="0" w:color="auto"/>
            </w:tcBorders>
            <w:shd w:val="clear" w:color="auto" w:fill="auto"/>
            <w:vAlign w:val="center"/>
          </w:tcPr>
          <w:p w14:paraId="47E9E651"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Jin G. C., Kim K. D., Roh B. D., Lee C. Y., Lee S. J. Buccal bone plate thickness of the Asian people. J Endod 2005;31(6):430–4. Doi: 10.1097/01.don.0000145430.35906.fa.</w:t>
            </w:r>
          </w:p>
        </w:tc>
        <w:tc>
          <w:tcPr>
            <w:tcW w:w="1985" w:type="dxa"/>
            <w:tcBorders>
              <w:top w:val="single" w:sz="4" w:space="0" w:color="auto"/>
              <w:left w:val="nil"/>
              <w:bottom w:val="single" w:sz="4" w:space="0" w:color="auto"/>
              <w:right w:val="single" w:sz="8" w:space="0" w:color="auto"/>
            </w:tcBorders>
            <w:shd w:val="clear" w:color="auto" w:fill="auto"/>
            <w:vAlign w:val="center"/>
          </w:tcPr>
          <w:p w14:paraId="73359E72"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Non reproducible way of measuring</w:t>
            </w:r>
          </w:p>
        </w:tc>
      </w:tr>
      <w:tr w:rsidR="00895FCF" w:rsidRPr="008A0EA9" w14:paraId="1F8DC54E"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54D5FD6C"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18</w:t>
            </w:r>
          </w:p>
        </w:tc>
        <w:tc>
          <w:tcPr>
            <w:tcW w:w="7938" w:type="dxa"/>
            <w:tcBorders>
              <w:top w:val="single" w:sz="4" w:space="0" w:color="auto"/>
              <w:left w:val="nil"/>
              <w:bottom w:val="single" w:sz="4" w:space="0" w:color="auto"/>
              <w:right w:val="single" w:sz="8" w:space="0" w:color="auto"/>
            </w:tcBorders>
            <w:shd w:val="clear" w:color="auto" w:fill="auto"/>
            <w:vAlign w:val="center"/>
          </w:tcPr>
          <w:p w14:paraId="306807A7"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Jin Seong Ho, Park Jun Beom, Kim Namryang, et al. The thickness of alveolar bone at the maxillary canine and premolar teeth in normal occlusion. J Periodontal Implant Sci 2012;42(5):173–8. Doi: 10.5051/jpis.2012.42.5.173.</w:t>
            </w:r>
          </w:p>
        </w:tc>
        <w:tc>
          <w:tcPr>
            <w:tcW w:w="1985" w:type="dxa"/>
            <w:tcBorders>
              <w:top w:val="single" w:sz="4" w:space="0" w:color="auto"/>
              <w:left w:val="nil"/>
              <w:bottom w:val="single" w:sz="4" w:space="0" w:color="auto"/>
              <w:right w:val="single" w:sz="8" w:space="0" w:color="auto"/>
            </w:tcBorders>
            <w:shd w:val="clear" w:color="auto" w:fill="auto"/>
            <w:vAlign w:val="center"/>
          </w:tcPr>
          <w:p w14:paraId="21FA6F55"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Sample size (20 patients)</w:t>
            </w:r>
          </w:p>
        </w:tc>
      </w:tr>
      <w:tr w:rsidR="00895FCF" w:rsidRPr="008A0EA9" w14:paraId="39E04896"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1CD7085F"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19</w:t>
            </w:r>
          </w:p>
        </w:tc>
        <w:tc>
          <w:tcPr>
            <w:tcW w:w="7938" w:type="dxa"/>
            <w:tcBorders>
              <w:top w:val="single" w:sz="4" w:space="0" w:color="auto"/>
              <w:left w:val="nil"/>
              <w:bottom w:val="single" w:sz="4" w:space="0" w:color="auto"/>
              <w:right w:val="single" w:sz="8" w:space="0" w:color="auto"/>
            </w:tcBorders>
            <w:shd w:val="clear" w:color="auto" w:fill="auto"/>
            <w:vAlign w:val="center"/>
          </w:tcPr>
          <w:p w14:paraId="0068DF7C"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Kim Yun Jeong, Park Ji Man, Kim Sungtae, et al. New method of assessing the relationship between buccal bone thickness and gingival thickness. J Periodontal Implant Sci 2016;46(6):372–81. Doi: 10.5051/jpis.2016.46.6.372.</w:t>
            </w:r>
          </w:p>
        </w:tc>
        <w:tc>
          <w:tcPr>
            <w:tcW w:w="1985" w:type="dxa"/>
            <w:tcBorders>
              <w:top w:val="single" w:sz="4" w:space="0" w:color="auto"/>
              <w:left w:val="nil"/>
              <w:bottom w:val="single" w:sz="4" w:space="0" w:color="auto"/>
              <w:right w:val="single" w:sz="8" w:space="0" w:color="auto"/>
            </w:tcBorders>
            <w:shd w:val="clear" w:color="auto" w:fill="auto"/>
            <w:vAlign w:val="center"/>
          </w:tcPr>
          <w:p w14:paraId="525249A6"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Sample size (20 patients)</w:t>
            </w:r>
          </w:p>
        </w:tc>
      </w:tr>
      <w:tr w:rsidR="00895FCF" w:rsidRPr="008A0EA9" w14:paraId="4558C646"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6C4D7E34"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20</w:t>
            </w:r>
          </w:p>
        </w:tc>
        <w:tc>
          <w:tcPr>
            <w:tcW w:w="7938" w:type="dxa"/>
            <w:tcBorders>
              <w:top w:val="single" w:sz="4" w:space="0" w:color="auto"/>
              <w:left w:val="nil"/>
              <w:bottom w:val="single" w:sz="4" w:space="0" w:color="auto"/>
              <w:right w:val="single" w:sz="8" w:space="0" w:color="auto"/>
            </w:tcBorders>
            <w:shd w:val="clear" w:color="auto" w:fill="auto"/>
            <w:vAlign w:val="center"/>
          </w:tcPr>
          <w:p w14:paraId="73EF7751"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La Rocca Andres Pascual, Alemany Antonio Santos, Levi Paul, Juan Monica Vicario, Molina Jose Nart, Weisgold Arnold S. Anterior maxillary and mandibular biotype: Relationship between gingival thickness and width with respect to underlying bone thickness. Implant Dent 2012;21(6):507–15. Doi: 10.1097/ID.0b013e318271d487.</w:t>
            </w:r>
          </w:p>
        </w:tc>
        <w:tc>
          <w:tcPr>
            <w:tcW w:w="1985" w:type="dxa"/>
            <w:tcBorders>
              <w:top w:val="single" w:sz="4" w:space="0" w:color="auto"/>
              <w:left w:val="nil"/>
              <w:bottom w:val="single" w:sz="4" w:space="0" w:color="auto"/>
              <w:right w:val="single" w:sz="8" w:space="0" w:color="auto"/>
            </w:tcBorders>
            <w:shd w:val="clear" w:color="auto" w:fill="auto"/>
            <w:vAlign w:val="center"/>
          </w:tcPr>
          <w:p w14:paraId="44C143F4"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Sample size (15 patients)</w:t>
            </w:r>
          </w:p>
        </w:tc>
      </w:tr>
      <w:tr w:rsidR="00895FCF" w:rsidRPr="008A0EA9" w14:paraId="10BB789B"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79BB551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21</w:t>
            </w:r>
          </w:p>
        </w:tc>
        <w:tc>
          <w:tcPr>
            <w:tcW w:w="7938" w:type="dxa"/>
            <w:tcBorders>
              <w:top w:val="single" w:sz="4" w:space="0" w:color="auto"/>
              <w:left w:val="nil"/>
              <w:bottom w:val="single" w:sz="4" w:space="0" w:color="auto"/>
              <w:right w:val="single" w:sz="8" w:space="0" w:color="auto"/>
            </w:tcBorders>
            <w:shd w:val="clear" w:color="auto" w:fill="auto"/>
            <w:vAlign w:val="center"/>
          </w:tcPr>
          <w:p w14:paraId="22BBBE74"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Lee Seung Lok, Kim Hee Jung, Son Mee Kyoung, Chung Chae Heon. Anthropometric analysis of maxillary anterior buccal bone of Korean adults using cone-beam CT. J Adv Prosthodont 2010;2(3):92–6. Doi: 10.4047/jap.2010.2.3.92.</w:t>
            </w:r>
          </w:p>
        </w:tc>
        <w:tc>
          <w:tcPr>
            <w:tcW w:w="1985" w:type="dxa"/>
            <w:tcBorders>
              <w:top w:val="single" w:sz="4" w:space="0" w:color="auto"/>
              <w:left w:val="nil"/>
              <w:bottom w:val="single" w:sz="4" w:space="0" w:color="auto"/>
              <w:right w:val="single" w:sz="8" w:space="0" w:color="auto"/>
            </w:tcBorders>
            <w:shd w:val="clear" w:color="auto" w:fill="auto"/>
            <w:vAlign w:val="center"/>
          </w:tcPr>
          <w:p w14:paraId="1786280F"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Sample size (20 patients)</w:t>
            </w:r>
          </w:p>
        </w:tc>
      </w:tr>
      <w:tr w:rsidR="00895FCF" w:rsidRPr="007C6EBB" w14:paraId="767F07BF"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030E8BC8"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22</w:t>
            </w:r>
          </w:p>
        </w:tc>
        <w:tc>
          <w:tcPr>
            <w:tcW w:w="7938" w:type="dxa"/>
            <w:tcBorders>
              <w:top w:val="single" w:sz="4" w:space="0" w:color="auto"/>
              <w:left w:val="nil"/>
              <w:bottom w:val="single" w:sz="4" w:space="0" w:color="auto"/>
              <w:right w:val="single" w:sz="8" w:space="0" w:color="auto"/>
            </w:tcBorders>
            <w:shd w:val="clear" w:color="auto" w:fill="auto"/>
            <w:vAlign w:val="center"/>
          </w:tcPr>
          <w:p w14:paraId="60153758"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Ozdemir Fulya, Tozlu Murat, Germec-Cakan Derya. Cortical bone thickness of the alveolar process measured with cone-beam computed tomography in patients with different facial types. Am J Orthod Dentofac Orthop 2013;143(2):190–6. Doi: 10.1016/j.ajodo.2012.09.013.</w:t>
            </w:r>
          </w:p>
        </w:tc>
        <w:tc>
          <w:tcPr>
            <w:tcW w:w="1985" w:type="dxa"/>
            <w:tcBorders>
              <w:top w:val="single" w:sz="4" w:space="0" w:color="auto"/>
              <w:left w:val="nil"/>
              <w:bottom w:val="single" w:sz="4" w:space="0" w:color="auto"/>
              <w:right w:val="single" w:sz="8" w:space="0" w:color="auto"/>
            </w:tcBorders>
            <w:shd w:val="clear" w:color="auto" w:fill="auto"/>
            <w:vAlign w:val="center"/>
          </w:tcPr>
          <w:p w14:paraId="28F913F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Analyzing ridge thickness, not facial alveolar bone at maxillary teeth</w:t>
            </w:r>
          </w:p>
        </w:tc>
      </w:tr>
      <w:tr w:rsidR="00895FCF" w:rsidRPr="008A0EA9" w14:paraId="6F3F68CE"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02592C9E"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23</w:t>
            </w:r>
          </w:p>
        </w:tc>
        <w:tc>
          <w:tcPr>
            <w:tcW w:w="7938" w:type="dxa"/>
            <w:tcBorders>
              <w:top w:val="single" w:sz="4" w:space="0" w:color="auto"/>
              <w:left w:val="nil"/>
              <w:bottom w:val="single" w:sz="4" w:space="0" w:color="auto"/>
              <w:right w:val="single" w:sz="8" w:space="0" w:color="auto"/>
            </w:tcBorders>
            <w:shd w:val="clear" w:color="auto" w:fill="auto"/>
            <w:vAlign w:val="center"/>
          </w:tcPr>
          <w:p w14:paraId="32115130"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eastAsia="es-ES"/>
              </w:rPr>
              <w:t xml:space="preserve">Pascual Andrés, Barallat Lucía, Santos Antonio, et al. </w:t>
            </w:r>
            <w:r w:rsidRPr="008A0EA9">
              <w:rPr>
                <w:color w:val="000000"/>
                <w:sz w:val="20"/>
                <w:szCs w:val="20"/>
                <w:lang w:val="en-US" w:eastAsia="es-ES"/>
              </w:rPr>
              <w:t>Comparison of Periodontal Biotypes Between Maxillary and Mandibular Anterior Teeth: A Clinical and Radiographic Study. Int J Periodontics Restorative Dent 2017;37(4):533–9. Doi: 10.11607/prd.2848.</w:t>
            </w:r>
          </w:p>
        </w:tc>
        <w:tc>
          <w:tcPr>
            <w:tcW w:w="1985" w:type="dxa"/>
            <w:tcBorders>
              <w:top w:val="single" w:sz="4" w:space="0" w:color="auto"/>
              <w:left w:val="nil"/>
              <w:bottom w:val="single" w:sz="4" w:space="0" w:color="auto"/>
              <w:right w:val="single" w:sz="8" w:space="0" w:color="auto"/>
            </w:tcBorders>
            <w:shd w:val="clear" w:color="auto" w:fill="auto"/>
            <w:vAlign w:val="center"/>
          </w:tcPr>
          <w:p w14:paraId="5D646339"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Sample size (15 patients)</w:t>
            </w:r>
          </w:p>
        </w:tc>
      </w:tr>
      <w:tr w:rsidR="00895FCF" w:rsidRPr="007C6EBB" w14:paraId="4BE19211"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6EA4A4A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24</w:t>
            </w:r>
          </w:p>
        </w:tc>
        <w:tc>
          <w:tcPr>
            <w:tcW w:w="7938" w:type="dxa"/>
            <w:tcBorders>
              <w:top w:val="single" w:sz="4" w:space="0" w:color="auto"/>
              <w:left w:val="nil"/>
              <w:bottom w:val="single" w:sz="4" w:space="0" w:color="auto"/>
              <w:right w:val="single" w:sz="8" w:space="0" w:color="auto"/>
            </w:tcBorders>
            <w:shd w:val="clear" w:color="auto" w:fill="auto"/>
            <w:vAlign w:val="center"/>
          </w:tcPr>
          <w:p w14:paraId="3D4D0085"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Ramanauskaite Ausra, Becker K., Kassira H. C., Becker J., Sader R., Schwarz F. The dimensions of the facial alveolar bone at tooth sites with local pathologies: a retrospective cone-beam CT analysis. Clin Oral Investig 2019:10.1007/s00784-019-03057–x. Doi: 10.1007/s00784-019-03057-x.</w:t>
            </w:r>
          </w:p>
        </w:tc>
        <w:tc>
          <w:tcPr>
            <w:tcW w:w="1985" w:type="dxa"/>
            <w:tcBorders>
              <w:top w:val="single" w:sz="4" w:space="0" w:color="auto"/>
              <w:left w:val="nil"/>
              <w:bottom w:val="single" w:sz="4" w:space="0" w:color="auto"/>
              <w:right w:val="single" w:sz="8" w:space="0" w:color="auto"/>
            </w:tcBorders>
            <w:shd w:val="clear" w:color="auto" w:fill="auto"/>
            <w:vAlign w:val="center"/>
          </w:tcPr>
          <w:p w14:paraId="4E19B92B"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Teeth included with endodontic treatment, periapical infection, and local pathologies</w:t>
            </w:r>
          </w:p>
        </w:tc>
      </w:tr>
      <w:tr w:rsidR="00895FCF" w:rsidRPr="007C6EBB" w14:paraId="3D835CC0"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27AD8226"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25</w:t>
            </w:r>
          </w:p>
        </w:tc>
        <w:tc>
          <w:tcPr>
            <w:tcW w:w="7938" w:type="dxa"/>
            <w:tcBorders>
              <w:top w:val="single" w:sz="4" w:space="0" w:color="auto"/>
              <w:left w:val="nil"/>
              <w:bottom w:val="single" w:sz="4" w:space="0" w:color="auto"/>
              <w:right w:val="single" w:sz="8" w:space="0" w:color="auto"/>
            </w:tcBorders>
            <w:shd w:val="clear" w:color="auto" w:fill="auto"/>
            <w:vAlign w:val="center"/>
          </w:tcPr>
          <w:p w14:paraId="4666BBD4" w14:textId="77777777" w:rsidR="00895FCF" w:rsidRPr="008A0EA9" w:rsidRDefault="00895FCF" w:rsidP="008A0EA9">
            <w:pPr>
              <w:spacing w:line="360" w:lineRule="auto"/>
              <w:jc w:val="center"/>
              <w:rPr>
                <w:color w:val="000000"/>
                <w:sz w:val="20"/>
                <w:szCs w:val="20"/>
                <w:lang w:eastAsia="es-ES"/>
              </w:rPr>
            </w:pPr>
            <w:r w:rsidRPr="008A0EA9">
              <w:rPr>
                <w:color w:val="000000"/>
                <w:sz w:val="20"/>
                <w:szCs w:val="20"/>
                <w:lang w:eastAsia="es-ES"/>
              </w:rPr>
              <w:t xml:space="preserve">Rojo-Sanchis Julio, Peñarrocha-Oltra David, Peñarrocha-Diago Miguel, Zaragozí-Alonso Regino. </w:t>
            </w:r>
            <w:r w:rsidRPr="008A0EA9">
              <w:rPr>
                <w:color w:val="000000"/>
                <w:sz w:val="20"/>
                <w:szCs w:val="20"/>
                <w:lang w:val="en-US" w:eastAsia="es-ES"/>
              </w:rPr>
              <w:t xml:space="preserve">Relation between the distance from the cementoenamel junction to the bone crest and the thickness of the facial bone in anterior maxillary teeth: A cross-sectional tomographic study. </w:t>
            </w:r>
            <w:r w:rsidRPr="008A0EA9">
              <w:rPr>
                <w:color w:val="000000"/>
                <w:sz w:val="20"/>
                <w:szCs w:val="20"/>
                <w:lang w:eastAsia="es-ES"/>
              </w:rPr>
              <w:t>Med Oral Patol Oral y Cir Bucal 2019;24(3):e409–15. Doi: 10.4317/medoral.22802.</w:t>
            </w:r>
          </w:p>
        </w:tc>
        <w:tc>
          <w:tcPr>
            <w:tcW w:w="1985" w:type="dxa"/>
            <w:tcBorders>
              <w:top w:val="single" w:sz="4" w:space="0" w:color="auto"/>
              <w:left w:val="nil"/>
              <w:bottom w:val="single" w:sz="4" w:space="0" w:color="auto"/>
              <w:right w:val="single" w:sz="8" w:space="0" w:color="auto"/>
            </w:tcBorders>
            <w:shd w:val="clear" w:color="auto" w:fill="auto"/>
            <w:vAlign w:val="center"/>
          </w:tcPr>
          <w:p w14:paraId="6E408D8D"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Teeth included with different periodontal status</w:t>
            </w:r>
          </w:p>
        </w:tc>
      </w:tr>
      <w:tr w:rsidR="00895FCF" w:rsidRPr="007C6EBB" w14:paraId="422B7146"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7389F568"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26</w:t>
            </w:r>
          </w:p>
        </w:tc>
        <w:tc>
          <w:tcPr>
            <w:tcW w:w="7938" w:type="dxa"/>
            <w:tcBorders>
              <w:top w:val="single" w:sz="4" w:space="0" w:color="auto"/>
              <w:left w:val="nil"/>
              <w:bottom w:val="single" w:sz="4" w:space="0" w:color="auto"/>
              <w:right w:val="single" w:sz="8" w:space="0" w:color="auto"/>
            </w:tcBorders>
            <w:shd w:val="clear" w:color="auto" w:fill="auto"/>
            <w:vAlign w:val="center"/>
          </w:tcPr>
          <w:p w14:paraId="0E9897D0"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Sadek Mais M., Sabet Noha E., Hassan Islam T. Alveolar bone mapping in subjects with different vertical facial dimensions. Eur J Orthod 2014;37(2):194–201. Doi: 10.1093/ejo/cju034.</w:t>
            </w:r>
          </w:p>
        </w:tc>
        <w:tc>
          <w:tcPr>
            <w:tcW w:w="1985" w:type="dxa"/>
            <w:tcBorders>
              <w:top w:val="single" w:sz="4" w:space="0" w:color="auto"/>
              <w:left w:val="nil"/>
              <w:bottom w:val="single" w:sz="4" w:space="0" w:color="auto"/>
              <w:right w:val="single" w:sz="8" w:space="0" w:color="auto"/>
            </w:tcBorders>
            <w:shd w:val="clear" w:color="auto" w:fill="auto"/>
            <w:vAlign w:val="center"/>
          </w:tcPr>
          <w:p w14:paraId="0F04B1F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Analyzing ridge thickness, not facial alveolar bone at maxillary teeth</w:t>
            </w:r>
          </w:p>
        </w:tc>
      </w:tr>
      <w:tr w:rsidR="00895FCF" w:rsidRPr="007C6EBB" w14:paraId="2F034E5E"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17A55489"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27</w:t>
            </w:r>
          </w:p>
        </w:tc>
        <w:tc>
          <w:tcPr>
            <w:tcW w:w="7938" w:type="dxa"/>
            <w:tcBorders>
              <w:top w:val="single" w:sz="4" w:space="0" w:color="auto"/>
              <w:left w:val="nil"/>
              <w:bottom w:val="single" w:sz="4" w:space="0" w:color="auto"/>
              <w:right w:val="single" w:sz="8" w:space="0" w:color="auto"/>
            </w:tcBorders>
            <w:shd w:val="clear" w:color="auto" w:fill="auto"/>
            <w:vAlign w:val="center"/>
          </w:tcPr>
          <w:p w14:paraId="3CA8D7E6"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eastAsia="es-ES"/>
              </w:rPr>
              <w:t xml:space="preserve">Sendyk Michelle, de Paiva João Batista, Abrão Jorge, Rino Neto José. </w:t>
            </w:r>
            <w:r w:rsidRPr="008A0EA9">
              <w:rPr>
                <w:color w:val="000000"/>
                <w:sz w:val="20"/>
                <w:szCs w:val="20"/>
                <w:lang w:val="en-US" w:eastAsia="es-ES"/>
              </w:rPr>
              <w:t>Correlation between buccolingual tooth inclination and alveolar bone thickness in subjects with Class III dentofacial deformities. Am J Orthod Dentofac Orthop 2017;152(1):66–79. Doi: 10.1016/j.ajodo.2016.12.014.</w:t>
            </w:r>
          </w:p>
        </w:tc>
        <w:tc>
          <w:tcPr>
            <w:tcW w:w="1985" w:type="dxa"/>
            <w:tcBorders>
              <w:top w:val="single" w:sz="4" w:space="0" w:color="auto"/>
              <w:left w:val="nil"/>
              <w:bottom w:val="single" w:sz="4" w:space="0" w:color="auto"/>
              <w:right w:val="single" w:sz="8" w:space="0" w:color="auto"/>
            </w:tcBorders>
            <w:shd w:val="clear" w:color="auto" w:fill="auto"/>
            <w:vAlign w:val="center"/>
          </w:tcPr>
          <w:p w14:paraId="346F5B0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Non reproducible way of measuring</w:t>
            </w:r>
          </w:p>
        </w:tc>
      </w:tr>
      <w:tr w:rsidR="00895FCF" w:rsidRPr="008A0EA9" w14:paraId="7116D849"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2CE2428B"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28</w:t>
            </w:r>
          </w:p>
        </w:tc>
        <w:tc>
          <w:tcPr>
            <w:tcW w:w="7938" w:type="dxa"/>
            <w:tcBorders>
              <w:top w:val="single" w:sz="4" w:space="0" w:color="auto"/>
              <w:left w:val="nil"/>
              <w:bottom w:val="single" w:sz="4" w:space="0" w:color="auto"/>
              <w:right w:val="single" w:sz="8" w:space="0" w:color="auto"/>
            </w:tcBorders>
            <w:shd w:val="clear" w:color="auto" w:fill="auto"/>
            <w:vAlign w:val="center"/>
          </w:tcPr>
          <w:p w14:paraId="7F1F9287"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eastAsia="es-ES"/>
              </w:rPr>
              <w:t xml:space="preserve">Sendyk Michelle, Linhares Daniele Sigal, Pannuti Claudio Mendes, de Paiva João Batista, Neto José Rino. </w:t>
            </w:r>
            <w:r w:rsidRPr="008A0EA9">
              <w:rPr>
                <w:color w:val="000000"/>
                <w:sz w:val="20"/>
                <w:szCs w:val="20"/>
                <w:lang w:val="en-US" w:eastAsia="es-ES"/>
              </w:rPr>
              <w:t>Effect of orthodontic treatment on alveolar bone thickness in adults: A systematic review. Dental Press J Orthod 2019;24(4):34–45. Doi: 10.1590/2177-6709.24.4.034-045.oar.</w:t>
            </w:r>
          </w:p>
        </w:tc>
        <w:tc>
          <w:tcPr>
            <w:tcW w:w="1985" w:type="dxa"/>
            <w:tcBorders>
              <w:top w:val="single" w:sz="4" w:space="0" w:color="auto"/>
              <w:left w:val="nil"/>
              <w:bottom w:val="single" w:sz="4" w:space="0" w:color="auto"/>
              <w:right w:val="single" w:sz="8" w:space="0" w:color="auto"/>
            </w:tcBorders>
            <w:shd w:val="clear" w:color="auto" w:fill="auto"/>
            <w:vAlign w:val="center"/>
          </w:tcPr>
          <w:p w14:paraId="7945428B"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Patients with orthodontic treatment</w:t>
            </w:r>
          </w:p>
        </w:tc>
      </w:tr>
      <w:tr w:rsidR="00895FCF" w:rsidRPr="007C6EBB" w14:paraId="5AFB7D28"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14746A39"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29</w:t>
            </w:r>
          </w:p>
        </w:tc>
        <w:tc>
          <w:tcPr>
            <w:tcW w:w="7938" w:type="dxa"/>
            <w:tcBorders>
              <w:top w:val="single" w:sz="4" w:space="0" w:color="auto"/>
              <w:left w:val="nil"/>
              <w:bottom w:val="single" w:sz="4" w:space="0" w:color="auto"/>
              <w:right w:val="single" w:sz="8" w:space="0" w:color="auto"/>
            </w:tcBorders>
            <w:shd w:val="clear" w:color="auto" w:fill="auto"/>
            <w:vAlign w:val="center"/>
          </w:tcPr>
          <w:p w14:paraId="511BD05E"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Shen Jian wei, He Fu ming, Jiang Qiao hong, Shan Hai qin. [Measurement of facial bone wall thickness of maxillary anterior teeth and premolars on cone beam computed tomography images]. Zhejiang Da Xue Xue Bao Yi Xue Ban 2012;41(3):234–8.</w:t>
            </w:r>
          </w:p>
        </w:tc>
        <w:tc>
          <w:tcPr>
            <w:tcW w:w="1985" w:type="dxa"/>
            <w:tcBorders>
              <w:top w:val="single" w:sz="4" w:space="0" w:color="auto"/>
              <w:left w:val="nil"/>
              <w:bottom w:val="single" w:sz="4" w:space="0" w:color="auto"/>
              <w:right w:val="single" w:sz="8" w:space="0" w:color="auto"/>
            </w:tcBorders>
            <w:shd w:val="clear" w:color="auto" w:fill="auto"/>
            <w:vAlign w:val="center"/>
          </w:tcPr>
          <w:p w14:paraId="331580D0"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Non reproducible way of measuring</w:t>
            </w:r>
          </w:p>
        </w:tc>
      </w:tr>
      <w:tr w:rsidR="00895FCF" w:rsidRPr="007C6EBB" w14:paraId="499EFE12"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7CFD6050"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30</w:t>
            </w:r>
          </w:p>
        </w:tc>
        <w:tc>
          <w:tcPr>
            <w:tcW w:w="7938" w:type="dxa"/>
            <w:tcBorders>
              <w:top w:val="single" w:sz="4" w:space="0" w:color="auto"/>
              <w:left w:val="nil"/>
              <w:bottom w:val="single" w:sz="4" w:space="0" w:color="auto"/>
              <w:right w:val="single" w:sz="8" w:space="0" w:color="auto"/>
            </w:tcBorders>
            <w:shd w:val="clear" w:color="auto" w:fill="auto"/>
            <w:vAlign w:val="center"/>
          </w:tcPr>
          <w:p w14:paraId="1F64D5C6"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eastAsia="es-ES"/>
              </w:rPr>
              <w:t xml:space="preserve">Vera Carolina, De Kok Ingeborg J, Reinhold Dominik, et al. </w:t>
            </w:r>
            <w:r w:rsidRPr="008A0EA9">
              <w:rPr>
                <w:color w:val="000000"/>
                <w:sz w:val="20"/>
                <w:szCs w:val="20"/>
                <w:lang w:val="en-US" w:eastAsia="es-ES"/>
              </w:rPr>
              <w:t>Evaluation of buccal alveolar bone dimension of maxillary anterior and premolar teeth: a cone beam computed tomography investigation. Int J Oral Maxillofac Implants 2012;27(6):1514–9.</w:t>
            </w:r>
          </w:p>
        </w:tc>
        <w:tc>
          <w:tcPr>
            <w:tcW w:w="1985" w:type="dxa"/>
            <w:tcBorders>
              <w:top w:val="single" w:sz="4" w:space="0" w:color="auto"/>
              <w:left w:val="nil"/>
              <w:bottom w:val="single" w:sz="4" w:space="0" w:color="auto"/>
              <w:right w:val="single" w:sz="8" w:space="0" w:color="auto"/>
            </w:tcBorders>
            <w:shd w:val="clear" w:color="auto" w:fill="auto"/>
            <w:vAlign w:val="center"/>
          </w:tcPr>
          <w:p w14:paraId="7A69D861"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Patients with abscences and dental implants in the anterior maxillae</w:t>
            </w:r>
          </w:p>
        </w:tc>
      </w:tr>
      <w:tr w:rsidR="00895FCF" w:rsidRPr="008A0EA9" w14:paraId="0FB17792"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7385C3B0"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31</w:t>
            </w:r>
          </w:p>
        </w:tc>
        <w:tc>
          <w:tcPr>
            <w:tcW w:w="7938" w:type="dxa"/>
            <w:tcBorders>
              <w:top w:val="single" w:sz="4" w:space="0" w:color="auto"/>
              <w:left w:val="nil"/>
              <w:bottom w:val="single" w:sz="4" w:space="0" w:color="auto"/>
              <w:right w:val="single" w:sz="8" w:space="0" w:color="auto"/>
            </w:tcBorders>
            <w:shd w:val="clear" w:color="auto" w:fill="auto"/>
            <w:vAlign w:val="center"/>
          </w:tcPr>
          <w:p w14:paraId="6DB13E41"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Yang Gang, Hu Wen jie, Cao Jie, Liu Deng gao. [Measurement of sagittal root position and the thickness of the facial and palatal alveolar bone of maxillary anterior teeth]. Zhonghua Kou Qiang Yi Xue Za Zhi 2013;48(12):716–20.</w:t>
            </w:r>
          </w:p>
        </w:tc>
        <w:tc>
          <w:tcPr>
            <w:tcW w:w="1985" w:type="dxa"/>
            <w:tcBorders>
              <w:top w:val="single" w:sz="4" w:space="0" w:color="auto"/>
              <w:left w:val="nil"/>
              <w:bottom w:val="single" w:sz="4" w:space="0" w:color="auto"/>
              <w:right w:val="single" w:sz="8" w:space="0" w:color="auto"/>
            </w:tcBorders>
            <w:shd w:val="clear" w:color="auto" w:fill="auto"/>
            <w:vAlign w:val="center"/>
          </w:tcPr>
          <w:p w14:paraId="43AE459D"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Sample size (23 patients)</w:t>
            </w:r>
          </w:p>
        </w:tc>
      </w:tr>
      <w:tr w:rsidR="00895FCF" w:rsidRPr="008A0EA9" w14:paraId="78C3569D"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2644E638"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32</w:t>
            </w:r>
          </w:p>
        </w:tc>
        <w:tc>
          <w:tcPr>
            <w:tcW w:w="7938" w:type="dxa"/>
            <w:tcBorders>
              <w:top w:val="single" w:sz="4" w:space="0" w:color="auto"/>
              <w:left w:val="nil"/>
              <w:bottom w:val="single" w:sz="4" w:space="0" w:color="auto"/>
              <w:right w:val="single" w:sz="8" w:space="0" w:color="auto"/>
            </w:tcBorders>
            <w:shd w:val="clear" w:color="auto" w:fill="auto"/>
            <w:vAlign w:val="center"/>
          </w:tcPr>
          <w:p w14:paraId="3C40C571"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Yodthong Nuengrutai, Charoemratrote Chairat, Leethanakul Chidchanok. Factors related to alveolar bone thickness during upper incisor retraction. Angle Orthod 2013;83(3):394–401. Doi: 10.2319/062912-534.1.</w:t>
            </w:r>
          </w:p>
        </w:tc>
        <w:tc>
          <w:tcPr>
            <w:tcW w:w="1985" w:type="dxa"/>
            <w:tcBorders>
              <w:top w:val="single" w:sz="4" w:space="0" w:color="auto"/>
              <w:left w:val="nil"/>
              <w:bottom w:val="single" w:sz="4" w:space="0" w:color="auto"/>
              <w:right w:val="single" w:sz="8" w:space="0" w:color="auto"/>
            </w:tcBorders>
            <w:shd w:val="clear" w:color="auto" w:fill="auto"/>
            <w:vAlign w:val="center"/>
          </w:tcPr>
          <w:p w14:paraId="1BE3446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Patients with orthodontic treatment</w:t>
            </w:r>
          </w:p>
        </w:tc>
      </w:tr>
      <w:tr w:rsidR="00895FCF" w:rsidRPr="008A0EA9" w14:paraId="53BC4E96"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78DEBE44"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33</w:t>
            </w:r>
          </w:p>
        </w:tc>
        <w:tc>
          <w:tcPr>
            <w:tcW w:w="7938" w:type="dxa"/>
            <w:tcBorders>
              <w:top w:val="single" w:sz="4" w:space="0" w:color="auto"/>
              <w:left w:val="nil"/>
              <w:bottom w:val="single" w:sz="4" w:space="0" w:color="auto"/>
              <w:right w:val="single" w:sz="8" w:space="0" w:color="auto"/>
            </w:tcBorders>
            <w:shd w:val="clear" w:color="auto" w:fill="auto"/>
            <w:vAlign w:val="center"/>
          </w:tcPr>
          <w:p w14:paraId="1436330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Younes Faris, Eghbali Aryan, Raes Margot, De Bruyckere Thomas, Cosyn Jan, De Bruyn Hugo. Relationship between buccal bone and gingival thickness revisited using non-invasive registration methods. Clin Oral Implants Res 2016;27(5):523–8. Doi: 10.1111/clr.12618.</w:t>
            </w:r>
          </w:p>
        </w:tc>
        <w:tc>
          <w:tcPr>
            <w:tcW w:w="1985" w:type="dxa"/>
            <w:tcBorders>
              <w:top w:val="single" w:sz="4" w:space="0" w:color="auto"/>
              <w:left w:val="nil"/>
              <w:bottom w:val="single" w:sz="4" w:space="0" w:color="auto"/>
              <w:right w:val="single" w:sz="8" w:space="0" w:color="auto"/>
            </w:tcBorders>
            <w:shd w:val="clear" w:color="auto" w:fill="auto"/>
            <w:vAlign w:val="center"/>
          </w:tcPr>
          <w:p w14:paraId="7E4FBAC0"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Sample size (21 patients)</w:t>
            </w:r>
          </w:p>
        </w:tc>
      </w:tr>
      <w:tr w:rsidR="00895FCF" w:rsidRPr="007C6EBB" w14:paraId="67107FEC" w14:textId="77777777" w:rsidTr="00D0079C">
        <w:trPr>
          <w:trHeight w:val="829"/>
          <w:jc w:val="center"/>
        </w:trPr>
        <w:tc>
          <w:tcPr>
            <w:tcW w:w="557" w:type="dxa"/>
            <w:tcBorders>
              <w:top w:val="single" w:sz="4" w:space="0" w:color="auto"/>
              <w:left w:val="single" w:sz="8" w:space="0" w:color="auto"/>
              <w:bottom w:val="single" w:sz="4" w:space="0" w:color="auto"/>
              <w:right w:val="single" w:sz="8" w:space="0" w:color="auto"/>
            </w:tcBorders>
            <w:shd w:val="clear" w:color="000000" w:fill="A6A6A6"/>
            <w:noWrap/>
            <w:vAlign w:val="center"/>
          </w:tcPr>
          <w:p w14:paraId="7A1FADA0"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34</w:t>
            </w:r>
          </w:p>
        </w:tc>
        <w:tc>
          <w:tcPr>
            <w:tcW w:w="7938" w:type="dxa"/>
            <w:tcBorders>
              <w:top w:val="single" w:sz="4" w:space="0" w:color="auto"/>
              <w:left w:val="nil"/>
              <w:bottom w:val="single" w:sz="4" w:space="0" w:color="auto"/>
              <w:right w:val="single" w:sz="8" w:space="0" w:color="auto"/>
            </w:tcBorders>
            <w:shd w:val="clear" w:color="auto" w:fill="auto"/>
            <w:vAlign w:val="center"/>
          </w:tcPr>
          <w:p w14:paraId="2C54CADD"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Zhang Wenjian, Skrypczak Adam, Weltman Robin. Anterior maxilla alveolar ridge dimension and morphology measurement by cone beam computerized tomography (CBCT) for immediate implant treatment planning. BMC Oral Health 2015;15(1):65. Doi: 10.1186/s12903-015-0055-1.</w:t>
            </w:r>
          </w:p>
        </w:tc>
        <w:tc>
          <w:tcPr>
            <w:tcW w:w="1985" w:type="dxa"/>
            <w:tcBorders>
              <w:top w:val="single" w:sz="4" w:space="0" w:color="auto"/>
              <w:left w:val="nil"/>
              <w:bottom w:val="single" w:sz="4" w:space="0" w:color="auto"/>
              <w:right w:val="single" w:sz="8" w:space="0" w:color="auto"/>
            </w:tcBorders>
            <w:shd w:val="clear" w:color="auto" w:fill="auto"/>
            <w:vAlign w:val="center"/>
          </w:tcPr>
          <w:p w14:paraId="4BF73DF3" w14:textId="77777777" w:rsidR="00895FCF" w:rsidRPr="008A0EA9" w:rsidRDefault="00895FCF" w:rsidP="008A0EA9">
            <w:pPr>
              <w:spacing w:line="360" w:lineRule="auto"/>
              <w:jc w:val="center"/>
              <w:rPr>
                <w:color w:val="000000"/>
                <w:sz w:val="20"/>
                <w:szCs w:val="20"/>
                <w:lang w:val="en-US" w:eastAsia="es-ES"/>
              </w:rPr>
            </w:pPr>
            <w:r w:rsidRPr="008A0EA9">
              <w:rPr>
                <w:color w:val="000000"/>
                <w:sz w:val="20"/>
                <w:szCs w:val="20"/>
                <w:lang w:val="en-US" w:eastAsia="es-ES"/>
              </w:rPr>
              <w:t>Analyzing ridge thickness, not facial alveolar bone at maxillary teeth</w:t>
            </w:r>
          </w:p>
        </w:tc>
      </w:tr>
    </w:tbl>
    <w:p w14:paraId="3FE497CF" w14:textId="77777777" w:rsidR="00875CA3" w:rsidRPr="008A0EA9" w:rsidRDefault="00875CA3" w:rsidP="008A0EA9">
      <w:pPr>
        <w:pStyle w:val="Ttulo1"/>
        <w:spacing w:line="360" w:lineRule="auto"/>
        <w:rPr>
          <w:rFonts w:ascii="Times New Roman" w:eastAsia="Calibri" w:hAnsi="Times New Roman"/>
          <w:sz w:val="24"/>
          <w:szCs w:val="24"/>
          <w:lang w:val="en-US"/>
        </w:rPr>
        <w:sectPr w:rsidR="00875CA3" w:rsidRPr="008A0EA9" w:rsidSect="008A0EA9">
          <w:type w:val="continuous"/>
          <w:pgSz w:w="11900" w:h="16840" w:code="9"/>
          <w:pgMar w:top="720" w:right="720" w:bottom="720" w:left="720" w:header="708" w:footer="708" w:gutter="0"/>
          <w:cols w:space="708"/>
          <w:docGrid w:linePitch="360"/>
        </w:sectPr>
      </w:pPr>
    </w:p>
    <w:p w14:paraId="4C11EE03" w14:textId="2EF767F2" w:rsidR="003308B3" w:rsidRPr="008A0EA9" w:rsidRDefault="003308B3" w:rsidP="008A0EA9">
      <w:pPr>
        <w:spacing w:line="360" w:lineRule="auto"/>
        <w:ind w:firstLine="708"/>
        <w:contextualSpacing/>
        <w:jc w:val="both"/>
        <w:rPr>
          <w:rFonts w:eastAsia="Calibri"/>
          <w:lang w:val="en-US"/>
        </w:rPr>
      </w:pPr>
    </w:p>
    <w:sectPr w:rsidR="003308B3" w:rsidRPr="008A0EA9" w:rsidSect="008A0EA9">
      <w:headerReference w:type="even" r:id="rId8"/>
      <w:headerReference w:type="default" r:id="rId9"/>
      <w:type w:val="continuous"/>
      <w:pgSz w:w="11900"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862F9" w14:textId="77777777" w:rsidR="001D026D" w:rsidRDefault="001D026D" w:rsidP="000B0992">
      <w:r>
        <w:separator/>
      </w:r>
    </w:p>
  </w:endnote>
  <w:endnote w:type="continuationSeparator" w:id="0">
    <w:p w14:paraId="643327EE" w14:textId="77777777" w:rsidR="001D026D" w:rsidRDefault="001D026D" w:rsidP="000B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180CC" w14:textId="77777777" w:rsidR="001D026D" w:rsidRDefault="001D026D" w:rsidP="000B0992">
      <w:r>
        <w:separator/>
      </w:r>
    </w:p>
  </w:footnote>
  <w:footnote w:type="continuationSeparator" w:id="0">
    <w:p w14:paraId="78920C13" w14:textId="77777777" w:rsidR="001D026D" w:rsidRDefault="001D026D" w:rsidP="000B0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2064365052"/>
      <w:docPartObj>
        <w:docPartGallery w:val="Page Numbers (Top of Page)"/>
        <w:docPartUnique/>
      </w:docPartObj>
    </w:sdtPr>
    <w:sdtEndPr>
      <w:rPr>
        <w:rStyle w:val="Nmerodepgina"/>
      </w:rPr>
    </w:sdtEndPr>
    <w:sdtContent>
      <w:p w14:paraId="3B109644" w14:textId="77777777" w:rsidR="00D87A20" w:rsidRDefault="00D87A20" w:rsidP="00D87A20">
        <w:pPr>
          <w:pStyle w:val="Encabezado1"/>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661816E" w14:textId="77777777" w:rsidR="00D87A20" w:rsidRDefault="00D87A20" w:rsidP="00D87A20">
    <w:pPr>
      <w:pStyle w:val="Encabezado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628167531"/>
      <w:docPartObj>
        <w:docPartGallery w:val="Page Numbers (Top of Page)"/>
        <w:docPartUnique/>
      </w:docPartObj>
    </w:sdtPr>
    <w:sdtEndPr>
      <w:rPr>
        <w:rStyle w:val="Nmerodepgina"/>
      </w:rPr>
    </w:sdtEndPr>
    <w:sdtContent>
      <w:p w14:paraId="04CB1567" w14:textId="77777777" w:rsidR="00D87A20" w:rsidRDefault="00D87A20" w:rsidP="00D87A20">
        <w:pPr>
          <w:pStyle w:val="Encabezado1"/>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8A0EA9">
          <w:rPr>
            <w:rStyle w:val="Nmerodepgina"/>
            <w:noProof/>
          </w:rPr>
          <w:t>18</w:t>
        </w:r>
        <w:r>
          <w:rPr>
            <w:rStyle w:val="Nmerodepgina"/>
          </w:rPr>
          <w:fldChar w:fldCharType="end"/>
        </w:r>
      </w:p>
    </w:sdtContent>
  </w:sdt>
  <w:p w14:paraId="7E00BB0C" w14:textId="77777777" w:rsidR="00D87A20" w:rsidRDefault="00D87A20" w:rsidP="00D87A20">
    <w:pPr>
      <w:pStyle w:val="Encabezado1"/>
      <w:tabs>
        <w:tab w:val="clear" w:pos="4252"/>
        <w:tab w:val="clear" w:pos="8504"/>
        <w:tab w:val="left" w:pos="1273"/>
      </w:tabs>
      <w:ind w:right="360"/>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C649A"/>
    <w:multiLevelType w:val="hybridMultilevel"/>
    <w:tmpl w:val="8758DF3A"/>
    <w:lvl w:ilvl="0" w:tplc="040A000F">
      <w:start w:val="1"/>
      <w:numFmt w:val="decimal"/>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 w15:restartNumberingAfterBreak="0">
    <w:nsid w:val="11907142"/>
    <w:multiLevelType w:val="hybridMultilevel"/>
    <w:tmpl w:val="DC36BC8E"/>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15:restartNumberingAfterBreak="0">
    <w:nsid w:val="56815841"/>
    <w:multiLevelType w:val="hybridMultilevel"/>
    <w:tmpl w:val="EB4C6D78"/>
    <w:lvl w:ilvl="0" w:tplc="D03C36D4">
      <w:numFmt w:val="bullet"/>
      <w:lvlText w:val="-"/>
      <w:lvlJc w:val="left"/>
      <w:pPr>
        <w:ind w:left="720" w:hanging="360"/>
      </w:pPr>
      <w:rPr>
        <w:rFonts w:ascii="Times New Roman" w:eastAsiaTheme="minorHAnsi" w:hAnsi="Times New Roman" w:cs="Times New Roman" w:hint="default"/>
        <w:i w:val="0"/>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CB42517"/>
    <w:multiLevelType w:val="hybridMultilevel"/>
    <w:tmpl w:val="5B786C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6187D93"/>
    <w:multiLevelType w:val="hybridMultilevel"/>
    <w:tmpl w:val="46BACB3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70025E0C"/>
    <w:multiLevelType w:val="hybridMultilevel"/>
    <w:tmpl w:val="6B4CD86C"/>
    <w:lvl w:ilvl="0" w:tplc="E08A8984">
      <w:start w:val="1"/>
      <w:numFmt w:val="decimal"/>
      <w:lvlText w:val="%1."/>
      <w:lvlJc w:val="left"/>
      <w:pPr>
        <w:tabs>
          <w:tab w:val="num" w:pos="360"/>
        </w:tabs>
        <w:ind w:left="360" w:hanging="360"/>
      </w:pPr>
      <w:rPr>
        <w:rFonts w:ascii="Times New Roman" w:eastAsia="Times New Roman" w:hAnsi="Times New Roman" w:cs="Times New Roman"/>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n-GB" w:vendorID="64" w:dllVersion="6" w:nlCheck="1" w:checkStyle="1"/>
  <w:activeWritingStyle w:appName="MSWord" w:lang="en-US" w:vendorID="64" w:dllVersion="131078" w:nlCheck="1" w:checkStyle="1"/>
  <w:activeWritingStyle w:appName="MSWord" w:lang="es-ES" w:vendorID="64" w:dllVersion="131078" w:nlCheck="1" w:checkStyle="1"/>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4E5"/>
    <w:rsid w:val="00012137"/>
    <w:rsid w:val="00016C3C"/>
    <w:rsid w:val="00021FFF"/>
    <w:rsid w:val="00024262"/>
    <w:rsid w:val="00031076"/>
    <w:rsid w:val="00041F62"/>
    <w:rsid w:val="00045ADC"/>
    <w:rsid w:val="00046D66"/>
    <w:rsid w:val="00052F35"/>
    <w:rsid w:val="0005626E"/>
    <w:rsid w:val="00060551"/>
    <w:rsid w:val="00060E06"/>
    <w:rsid w:val="00072A84"/>
    <w:rsid w:val="00074644"/>
    <w:rsid w:val="00074B9C"/>
    <w:rsid w:val="00076570"/>
    <w:rsid w:val="00076D4D"/>
    <w:rsid w:val="00090AAA"/>
    <w:rsid w:val="00095275"/>
    <w:rsid w:val="00095987"/>
    <w:rsid w:val="00095A4C"/>
    <w:rsid w:val="000B0992"/>
    <w:rsid w:val="000B3786"/>
    <w:rsid w:val="000C1263"/>
    <w:rsid w:val="000D6888"/>
    <w:rsid w:val="000E351F"/>
    <w:rsid w:val="000E4640"/>
    <w:rsid w:val="000E5DED"/>
    <w:rsid w:val="000F57C4"/>
    <w:rsid w:val="00115055"/>
    <w:rsid w:val="00127484"/>
    <w:rsid w:val="00135335"/>
    <w:rsid w:val="001355F4"/>
    <w:rsid w:val="001536BD"/>
    <w:rsid w:val="00165412"/>
    <w:rsid w:val="0016690D"/>
    <w:rsid w:val="001700F5"/>
    <w:rsid w:val="00171E22"/>
    <w:rsid w:val="001726BD"/>
    <w:rsid w:val="00173781"/>
    <w:rsid w:val="001822A2"/>
    <w:rsid w:val="00185119"/>
    <w:rsid w:val="001925D0"/>
    <w:rsid w:val="00192809"/>
    <w:rsid w:val="001A652A"/>
    <w:rsid w:val="001A662C"/>
    <w:rsid w:val="001C2835"/>
    <w:rsid w:val="001C78C8"/>
    <w:rsid w:val="001D026D"/>
    <w:rsid w:val="001D1CA6"/>
    <w:rsid w:val="001D2A23"/>
    <w:rsid w:val="001E6231"/>
    <w:rsid w:val="001F0310"/>
    <w:rsid w:val="001F3145"/>
    <w:rsid w:val="002035D0"/>
    <w:rsid w:val="002145B7"/>
    <w:rsid w:val="002146AB"/>
    <w:rsid w:val="00214F31"/>
    <w:rsid w:val="002177D3"/>
    <w:rsid w:val="00221EBD"/>
    <w:rsid w:val="00243292"/>
    <w:rsid w:val="00243512"/>
    <w:rsid w:val="002455E5"/>
    <w:rsid w:val="00266935"/>
    <w:rsid w:val="00267550"/>
    <w:rsid w:val="00274E3C"/>
    <w:rsid w:val="00276281"/>
    <w:rsid w:val="0028185D"/>
    <w:rsid w:val="00282F47"/>
    <w:rsid w:val="002A7569"/>
    <w:rsid w:val="002F3F62"/>
    <w:rsid w:val="002F467D"/>
    <w:rsid w:val="00301209"/>
    <w:rsid w:val="00302C89"/>
    <w:rsid w:val="003038B5"/>
    <w:rsid w:val="00306E3E"/>
    <w:rsid w:val="00311916"/>
    <w:rsid w:val="003308B3"/>
    <w:rsid w:val="003358A7"/>
    <w:rsid w:val="00337B54"/>
    <w:rsid w:val="00347120"/>
    <w:rsid w:val="003661F6"/>
    <w:rsid w:val="0037179F"/>
    <w:rsid w:val="0038185A"/>
    <w:rsid w:val="00383745"/>
    <w:rsid w:val="003A3CB3"/>
    <w:rsid w:val="003B1BA2"/>
    <w:rsid w:val="003B2984"/>
    <w:rsid w:val="003B5113"/>
    <w:rsid w:val="003B562B"/>
    <w:rsid w:val="003B5F88"/>
    <w:rsid w:val="003C1500"/>
    <w:rsid w:val="003C1960"/>
    <w:rsid w:val="003D5C08"/>
    <w:rsid w:val="003E45F1"/>
    <w:rsid w:val="003E4659"/>
    <w:rsid w:val="003E4B6D"/>
    <w:rsid w:val="0040012E"/>
    <w:rsid w:val="004002A6"/>
    <w:rsid w:val="00401AE3"/>
    <w:rsid w:val="00412540"/>
    <w:rsid w:val="0042084E"/>
    <w:rsid w:val="00422904"/>
    <w:rsid w:val="00423024"/>
    <w:rsid w:val="004301E8"/>
    <w:rsid w:val="00430285"/>
    <w:rsid w:val="00435826"/>
    <w:rsid w:val="004362C1"/>
    <w:rsid w:val="00440374"/>
    <w:rsid w:val="00447F30"/>
    <w:rsid w:val="00452284"/>
    <w:rsid w:val="00461B31"/>
    <w:rsid w:val="00464B79"/>
    <w:rsid w:val="00470FD5"/>
    <w:rsid w:val="00473791"/>
    <w:rsid w:val="00477745"/>
    <w:rsid w:val="004839B5"/>
    <w:rsid w:val="00493808"/>
    <w:rsid w:val="004A1E2C"/>
    <w:rsid w:val="004A528C"/>
    <w:rsid w:val="004B781E"/>
    <w:rsid w:val="004C11FB"/>
    <w:rsid w:val="004C2A48"/>
    <w:rsid w:val="004C696C"/>
    <w:rsid w:val="004C6AC9"/>
    <w:rsid w:val="004C7593"/>
    <w:rsid w:val="004E4450"/>
    <w:rsid w:val="0050049D"/>
    <w:rsid w:val="00500C11"/>
    <w:rsid w:val="00504E95"/>
    <w:rsid w:val="0051601B"/>
    <w:rsid w:val="00516A04"/>
    <w:rsid w:val="005350A1"/>
    <w:rsid w:val="00556C4D"/>
    <w:rsid w:val="0056030B"/>
    <w:rsid w:val="00563768"/>
    <w:rsid w:val="0056544A"/>
    <w:rsid w:val="00574AF0"/>
    <w:rsid w:val="005903B2"/>
    <w:rsid w:val="005977E9"/>
    <w:rsid w:val="005B068C"/>
    <w:rsid w:val="005B16DD"/>
    <w:rsid w:val="005B25CE"/>
    <w:rsid w:val="005B33B3"/>
    <w:rsid w:val="005C1424"/>
    <w:rsid w:val="005E2CE4"/>
    <w:rsid w:val="005E4044"/>
    <w:rsid w:val="006000F9"/>
    <w:rsid w:val="00603204"/>
    <w:rsid w:val="0061465C"/>
    <w:rsid w:val="00617188"/>
    <w:rsid w:val="006328EB"/>
    <w:rsid w:val="00637F35"/>
    <w:rsid w:val="006419EB"/>
    <w:rsid w:val="006424FC"/>
    <w:rsid w:val="00643F2A"/>
    <w:rsid w:val="00645E49"/>
    <w:rsid w:val="00655DD2"/>
    <w:rsid w:val="006660B5"/>
    <w:rsid w:val="00670D96"/>
    <w:rsid w:val="00671D7E"/>
    <w:rsid w:val="00673572"/>
    <w:rsid w:val="00680CED"/>
    <w:rsid w:val="006A0252"/>
    <w:rsid w:val="006A0496"/>
    <w:rsid w:val="006A5487"/>
    <w:rsid w:val="006B08A9"/>
    <w:rsid w:val="006B22B1"/>
    <w:rsid w:val="006B27F7"/>
    <w:rsid w:val="006C3BB6"/>
    <w:rsid w:val="006C3CAE"/>
    <w:rsid w:val="006C510A"/>
    <w:rsid w:val="006C5951"/>
    <w:rsid w:val="006D45DC"/>
    <w:rsid w:val="006E1973"/>
    <w:rsid w:val="006F104D"/>
    <w:rsid w:val="006F2CF5"/>
    <w:rsid w:val="006F3FA9"/>
    <w:rsid w:val="006F416B"/>
    <w:rsid w:val="006F47FB"/>
    <w:rsid w:val="007025E0"/>
    <w:rsid w:val="0070261D"/>
    <w:rsid w:val="00702696"/>
    <w:rsid w:val="00702C91"/>
    <w:rsid w:val="007045F6"/>
    <w:rsid w:val="007047A3"/>
    <w:rsid w:val="007049AA"/>
    <w:rsid w:val="007067B6"/>
    <w:rsid w:val="00706D30"/>
    <w:rsid w:val="007074C2"/>
    <w:rsid w:val="00712AFD"/>
    <w:rsid w:val="00716ABA"/>
    <w:rsid w:val="00727C2C"/>
    <w:rsid w:val="00730A11"/>
    <w:rsid w:val="007315C9"/>
    <w:rsid w:val="00741271"/>
    <w:rsid w:val="00744DE0"/>
    <w:rsid w:val="00746EA5"/>
    <w:rsid w:val="00750ED0"/>
    <w:rsid w:val="00752341"/>
    <w:rsid w:val="007532B3"/>
    <w:rsid w:val="0076060E"/>
    <w:rsid w:val="00767A38"/>
    <w:rsid w:val="0077306F"/>
    <w:rsid w:val="00776BFC"/>
    <w:rsid w:val="007828AB"/>
    <w:rsid w:val="00784596"/>
    <w:rsid w:val="00785ED5"/>
    <w:rsid w:val="00790970"/>
    <w:rsid w:val="00790AB5"/>
    <w:rsid w:val="007935D4"/>
    <w:rsid w:val="007A0B09"/>
    <w:rsid w:val="007A14FF"/>
    <w:rsid w:val="007A7A2A"/>
    <w:rsid w:val="007A7F37"/>
    <w:rsid w:val="007B4709"/>
    <w:rsid w:val="007B6284"/>
    <w:rsid w:val="007C2036"/>
    <w:rsid w:val="007C5A59"/>
    <w:rsid w:val="007C6EBB"/>
    <w:rsid w:val="007D6660"/>
    <w:rsid w:val="007E17D0"/>
    <w:rsid w:val="007E19DE"/>
    <w:rsid w:val="007F3564"/>
    <w:rsid w:val="008039AF"/>
    <w:rsid w:val="0080731D"/>
    <w:rsid w:val="00807A6B"/>
    <w:rsid w:val="00811B7A"/>
    <w:rsid w:val="00811C5B"/>
    <w:rsid w:val="00820D00"/>
    <w:rsid w:val="00822AA6"/>
    <w:rsid w:val="00824195"/>
    <w:rsid w:val="00826402"/>
    <w:rsid w:val="00834FB8"/>
    <w:rsid w:val="008476CE"/>
    <w:rsid w:val="008506AA"/>
    <w:rsid w:val="00850BF7"/>
    <w:rsid w:val="00853144"/>
    <w:rsid w:val="008559B7"/>
    <w:rsid w:val="00857CD2"/>
    <w:rsid w:val="00875CA3"/>
    <w:rsid w:val="0089242E"/>
    <w:rsid w:val="00892516"/>
    <w:rsid w:val="00895FCF"/>
    <w:rsid w:val="0089733F"/>
    <w:rsid w:val="008A0EA9"/>
    <w:rsid w:val="008A3B19"/>
    <w:rsid w:val="008A7A12"/>
    <w:rsid w:val="008B00DC"/>
    <w:rsid w:val="008B06A3"/>
    <w:rsid w:val="008C370A"/>
    <w:rsid w:val="008D7476"/>
    <w:rsid w:val="008E4870"/>
    <w:rsid w:val="008E6D2F"/>
    <w:rsid w:val="008F1396"/>
    <w:rsid w:val="008F6B61"/>
    <w:rsid w:val="009000D1"/>
    <w:rsid w:val="00903F25"/>
    <w:rsid w:val="00904539"/>
    <w:rsid w:val="0090732B"/>
    <w:rsid w:val="009106CC"/>
    <w:rsid w:val="009146DA"/>
    <w:rsid w:val="00921CDA"/>
    <w:rsid w:val="00927A64"/>
    <w:rsid w:val="00936CBD"/>
    <w:rsid w:val="009404C3"/>
    <w:rsid w:val="00943720"/>
    <w:rsid w:val="00946B48"/>
    <w:rsid w:val="009530A4"/>
    <w:rsid w:val="00960B8A"/>
    <w:rsid w:val="00966BB6"/>
    <w:rsid w:val="009677D4"/>
    <w:rsid w:val="0098200E"/>
    <w:rsid w:val="00982EB4"/>
    <w:rsid w:val="009935A6"/>
    <w:rsid w:val="009A6F55"/>
    <w:rsid w:val="009B0888"/>
    <w:rsid w:val="009B1A9F"/>
    <w:rsid w:val="009B6EF4"/>
    <w:rsid w:val="009C2D75"/>
    <w:rsid w:val="009C3292"/>
    <w:rsid w:val="009D3CD3"/>
    <w:rsid w:val="009E2726"/>
    <w:rsid w:val="009E2BDF"/>
    <w:rsid w:val="009F20B8"/>
    <w:rsid w:val="009F7813"/>
    <w:rsid w:val="00A044A4"/>
    <w:rsid w:val="00A17680"/>
    <w:rsid w:val="00A225DD"/>
    <w:rsid w:val="00A3008D"/>
    <w:rsid w:val="00A34DA8"/>
    <w:rsid w:val="00A604B4"/>
    <w:rsid w:val="00A7402E"/>
    <w:rsid w:val="00A75F17"/>
    <w:rsid w:val="00A77177"/>
    <w:rsid w:val="00A84A6E"/>
    <w:rsid w:val="00A903C1"/>
    <w:rsid w:val="00AB1365"/>
    <w:rsid w:val="00AC45EB"/>
    <w:rsid w:val="00AD2108"/>
    <w:rsid w:val="00AD791B"/>
    <w:rsid w:val="00AE04D2"/>
    <w:rsid w:val="00AE3BAD"/>
    <w:rsid w:val="00B17365"/>
    <w:rsid w:val="00B20A84"/>
    <w:rsid w:val="00B224BB"/>
    <w:rsid w:val="00B2258F"/>
    <w:rsid w:val="00B304D2"/>
    <w:rsid w:val="00B317EB"/>
    <w:rsid w:val="00B33E34"/>
    <w:rsid w:val="00B35ACC"/>
    <w:rsid w:val="00B4161E"/>
    <w:rsid w:val="00B45AE5"/>
    <w:rsid w:val="00B536D9"/>
    <w:rsid w:val="00B627A1"/>
    <w:rsid w:val="00B72718"/>
    <w:rsid w:val="00B84F64"/>
    <w:rsid w:val="00B84FB9"/>
    <w:rsid w:val="00B877B2"/>
    <w:rsid w:val="00B97B9D"/>
    <w:rsid w:val="00B97E7E"/>
    <w:rsid w:val="00BA3576"/>
    <w:rsid w:val="00BA466F"/>
    <w:rsid w:val="00BA75B0"/>
    <w:rsid w:val="00BB502D"/>
    <w:rsid w:val="00BC274C"/>
    <w:rsid w:val="00BC4AB5"/>
    <w:rsid w:val="00BC719F"/>
    <w:rsid w:val="00BD36BC"/>
    <w:rsid w:val="00BE4E8E"/>
    <w:rsid w:val="00BF232D"/>
    <w:rsid w:val="00C10F86"/>
    <w:rsid w:val="00C15496"/>
    <w:rsid w:val="00C1687D"/>
    <w:rsid w:val="00C31180"/>
    <w:rsid w:val="00C31FFE"/>
    <w:rsid w:val="00C324D2"/>
    <w:rsid w:val="00C3459F"/>
    <w:rsid w:val="00C34C28"/>
    <w:rsid w:val="00C362BD"/>
    <w:rsid w:val="00C40F6F"/>
    <w:rsid w:val="00C5036A"/>
    <w:rsid w:val="00C51B5B"/>
    <w:rsid w:val="00C63324"/>
    <w:rsid w:val="00C710EB"/>
    <w:rsid w:val="00C8335A"/>
    <w:rsid w:val="00C860C5"/>
    <w:rsid w:val="00C86421"/>
    <w:rsid w:val="00C91C03"/>
    <w:rsid w:val="00C9296C"/>
    <w:rsid w:val="00CA11D2"/>
    <w:rsid w:val="00CA570D"/>
    <w:rsid w:val="00CB0996"/>
    <w:rsid w:val="00CB2AB7"/>
    <w:rsid w:val="00CC6CA8"/>
    <w:rsid w:val="00CC7574"/>
    <w:rsid w:val="00CC7818"/>
    <w:rsid w:val="00CD36BF"/>
    <w:rsid w:val="00CD38A1"/>
    <w:rsid w:val="00CD3DCF"/>
    <w:rsid w:val="00CD7AFC"/>
    <w:rsid w:val="00CE542F"/>
    <w:rsid w:val="00CF7C85"/>
    <w:rsid w:val="00D10AF3"/>
    <w:rsid w:val="00D13152"/>
    <w:rsid w:val="00D13E85"/>
    <w:rsid w:val="00D146E0"/>
    <w:rsid w:val="00D1679F"/>
    <w:rsid w:val="00D3725F"/>
    <w:rsid w:val="00D4538E"/>
    <w:rsid w:val="00D47A68"/>
    <w:rsid w:val="00D50A94"/>
    <w:rsid w:val="00D6276A"/>
    <w:rsid w:val="00D659DB"/>
    <w:rsid w:val="00D7510D"/>
    <w:rsid w:val="00D84163"/>
    <w:rsid w:val="00D84AB2"/>
    <w:rsid w:val="00D85C32"/>
    <w:rsid w:val="00D86452"/>
    <w:rsid w:val="00D86A2F"/>
    <w:rsid w:val="00D87A20"/>
    <w:rsid w:val="00D93F23"/>
    <w:rsid w:val="00DD062C"/>
    <w:rsid w:val="00DD7BCB"/>
    <w:rsid w:val="00DE1423"/>
    <w:rsid w:val="00DE14E5"/>
    <w:rsid w:val="00DE4E1B"/>
    <w:rsid w:val="00DE579B"/>
    <w:rsid w:val="00DF215A"/>
    <w:rsid w:val="00E045B2"/>
    <w:rsid w:val="00E05025"/>
    <w:rsid w:val="00E06462"/>
    <w:rsid w:val="00E108C5"/>
    <w:rsid w:val="00E1403E"/>
    <w:rsid w:val="00E22391"/>
    <w:rsid w:val="00E230BB"/>
    <w:rsid w:val="00E24243"/>
    <w:rsid w:val="00E248C8"/>
    <w:rsid w:val="00E33B55"/>
    <w:rsid w:val="00E4571D"/>
    <w:rsid w:val="00E531BC"/>
    <w:rsid w:val="00E55905"/>
    <w:rsid w:val="00E576BB"/>
    <w:rsid w:val="00E57D37"/>
    <w:rsid w:val="00E62B11"/>
    <w:rsid w:val="00E71BAC"/>
    <w:rsid w:val="00E773DC"/>
    <w:rsid w:val="00E8070E"/>
    <w:rsid w:val="00E86BEB"/>
    <w:rsid w:val="00E954A1"/>
    <w:rsid w:val="00EA4909"/>
    <w:rsid w:val="00EB68B9"/>
    <w:rsid w:val="00EC3CEF"/>
    <w:rsid w:val="00ED12A2"/>
    <w:rsid w:val="00EE0D1A"/>
    <w:rsid w:val="00EE4966"/>
    <w:rsid w:val="00EE565F"/>
    <w:rsid w:val="00EF08AC"/>
    <w:rsid w:val="00EF40F7"/>
    <w:rsid w:val="00F02B28"/>
    <w:rsid w:val="00F102E7"/>
    <w:rsid w:val="00F14225"/>
    <w:rsid w:val="00F20786"/>
    <w:rsid w:val="00F20CD7"/>
    <w:rsid w:val="00F36D10"/>
    <w:rsid w:val="00F370C6"/>
    <w:rsid w:val="00F47BE3"/>
    <w:rsid w:val="00F524D7"/>
    <w:rsid w:val="00F54368"/>
    <w:rsid w:val="00F63A41"/>
    <w:rsid w:val="00F7464F"/>
    <w:rsid w:val="00F83217"/>
    <w:rsid w:val="00F876B4"/>
    <w:rsid w:val="00F95C93"/>
    <w:rsid w:val="00FA0056"/>
    <w:rsid w:val="00FA0895"/>
    <w:rsid w:val="00FA09B7"/>
    <w:rsid w:val="00FA0C53"/>
    <w:rsid w:val="00FA49CA"/>
    <w:rsid w:val="00FA7008"/>
    <w:rsid w:val="00FB5CA2"/>
    <w:rsid w:val="00FC04CA"/>
    <w:rsid w:val="00FD04F2"/>
    <w:rsid w:val="00FD0EDF"/>
    <w:rsid w:val="00FD1B06"/>
    <w:rsid w:val="00FD2B16"/>
    <w:rsid w:val="00FD4897"/>
    <w:rsid w:val="00FD4E35"/>
    <w:rsid w:val="00FD5995"/>
    <w:rsid w:val="00FD6E50"/>
    <w:rsid w:val="00FE363E"/>
    <w:rsid w:val="00FE444B"/>
    <w:rsid w:val="00FE72C0"/>
    <w:rsid w:val="00FF545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DB11E"/>
  <w15:docId w15:val="{891667F3-F99F-9F41-9452-D78B7629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A2F"/>
    <w:rPr>
      <w:rFonts w:ascii="Times New Roman" w:eastAsia="Times New Roman" w:hAnsi="Times New Roman" w:cs="Times New Roman"/>
      <w:lang w:val="es-ES" w:eastAsia="es-ES_tradnl"/>
    </w:rPr>
  </w:style>
  <w:style w:type="paragraph" w:styleId="Ttulo1">
    <w:name w:val="heading 1"/>
    <w:basedOn w:val="Normal"/>
    <w:link w:val="Ttulo1Car"/>
    <w:uiPriority w:val="9"/>
    <w:qFormat/>
    <w:rsid w:val="000B0992"/>
    <w:pPr>
      <w:spacing w:before="100" w:beforeAutospacing="1" w:after="100" w:afterAutospacing="1"/>
      <w:outlineLvl w:val="0"/>
    </w:pPr>
    <w:rPr>
      <w:rFonts w:ascii="Times" w:hAnsi="Times"/>
      <w:b/>
      <w:bCs/>
      <w:kern w:val="36"/>
      <w:sz w:val="48"/>
      <w:szCs w:val="48"/>
      <w:lang w:eastAsia="es-ES"/>
    </w:rPr>
  </w:style>
  <w:style w:type="paragraph" w:styleId="Ttulo2">
    <w:name w:val="heading 2"/>
    <w:basedOn w:val="Normal"/>
    <w:next w:val="Normal"/>
    <w:link w:val="Ttulo2Car"/>
    <w:uiPriority w:val="9"/>
    <w:semiHidden/>
    <w:unhideWhenUsed/>
    <w:qFormat/>
    <w:rsid w:val="003308B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B0992"/>
    <w:rPr>
      <w:rFonts w:ascii="Times" w:eastAsia="Times New Roman" w:hAnsi="Times" w:cs="Times New Roman"/>
      <w:b/>
      <w:bCs/>
      <w:kern w:val="36"/>
      <w:sz w:val="48"/>
      <w:szCs w:val="48"/>
      <w:lang w:eastAsia="es-ES"/>
    </w:rPr>
  </w:style>
  <w:style w:type="character" w:customStyle="1" w:styleId="Ttulo2Car">
    <w:name w:val="Título 2 Car"/>
    <w:basedOn w:val="Fuentedeprrafopredeter"/>
    <w:link w:val="Ttulo2"/>
    <w:uiPriority w:val="9"/>
    <w:semiHidden/>
    <w:rsid w:val="003308B3"/>
    <w:rPr>
      <w:rFonts w:asciiTheme="majorHAnsi" w:eastAsiaTheme="majorEastAsia" w:hAnsiTheme="majorHAnsi" w:cstheme="majorBidi"/>
      <w:color w:val="2F5496" w:themeColor="accent1" w:themeShade="BF"/>
      <w:sz w:val="26"/>
      <w:szCs w:val="26"/>
      <w:lang w:val="es-ES" w:eastAsia="es-ES_tradnl"/>
    </w:rPr>
  </w:style>
  <w:style w:type="character" w:customStyle="1" w:styleId="Arialnarrow12">
    <w:name w:val="Arial_narrow_12"/>
    <w:basedOn w:val="Fuentedeprrafopredeter"/>
    <w:qFormat/>
    <w:rsid w:val="00617188"/>
    <w:rPr>
      <w:rFonts w:ascii="Arial Narrow" w:hAnsi="Arial Narrow"/>
      <w:i/>
      <w:color w:val="auto"/>
      <w:sz w:val="24"/>
      <w:lang w:val="es-ES_tradnl"/>
    </w:rPr>
  </w:style>
  <w:style w:type="paragraph" w:styleId="Encabezado">
    <w:name w:val="header"/>
    <w:basedOn w:val="Normal"/>
    <w:link w:val="EncabezadoCar"/>
    <w:uiPriority w:val="99"/>
    <w:unhideWhenUsed/>
    <w:rsid w:val="000B0992"/>
    <w:pPr>
      <w:tabs>
        <w:tab w:val="center" w:pos="4252"/>
        <w:tab w:val="right" w:pos="8504"/>
      </w:tabs>
    </w:pPr>
    <w:rPr>
      <w:rFonts w:asciiTheme="minorHAnsi" w:hAnsiTheme="minorHAnsi" w:cstheme="minorBidi"/>
      <w:lang w:val="en-GB" w:eastAsia="en-US"/>
    </w:rPr>
  </w:style>
  <w:style w:type="character" w:customStyle="1" w:styleId="EncabezadoCar">
    <w:name w:val="Encabezado Car"/>
    <w:basedOn w:val="Fuentedeprrafopredeter"/>
    <w:link w:val="Encabezado"/>
    <w:uiPriority w:val="99"/>
    <w:rsid w:val="000B0992"/>
    <w:rPr>
      <w:lang w:val="en-GB"/>
    </w:rPr>
  </w:style>
  <w:style w:type="paragraph" w:styleId="Piedepgina">
    <w:name w:val="footer"/>
    <w:basedOn w:val="Normal"/>
    <w:link w:val="PiedepginaCar"/>
    <w:uiPriority w:val="99"/>
    <w:unhideWhenUsed/>
    <w:rsid w:val="000B0992"/>
    <w:pPr>
      <w:tabs>
        <w:tab w:val="center" w:pos="4252"/>
        <w:tab w:val="right" w:pos="8504"/>
      </w:tabs>
    </w:pPr>
    <w:rPr>
      <w:rFonts w:asciiTheme="minorHAnsi" w:hAnsiTheme="minorHAnsi" w:cstheme="minorBidi"/>
      <w:lang w:val="en-GB" w:eastAsia="en-US"/>
    </w:rPr>
  </w:style>
  <w:style w:type="character" w:customStyle="1" w:styleId="PiedepginaCar">
    <w:name w:val="Pie de página Car"/>
    <w:basedOn w:val="Fuentedeprrafopredeter"/>
    <w:link w:val="Piedepgina"/>
    <w:uiPriority w:val="99"/>
    <w:rsid w:val="000B0992"/>
    <w:rPr>
      <w:lang w:val="en-GB"/>
    </w:rPr>
  </w:style>
  <w:style w:type="paragraph" w:styleId="NormalWeb">
    <w:name w:val="Normal (Web)"/>
    <w:basedOn w:val="Normal"/>
    <w:uiPriority w:val="99"/>
    <w:unhideWhenUsed/>
    <w:rsid w:val="006660B5"/>
    <w:pPr>
      <w:spacing w:before="100" w:beforeAutospacing="1" w:after="100" w:afterAutospacing="1"/>
    </w:pPr>
  </w:style>
  <w:style w:type="table" w:styleId="Tablaconcuadrcula">
    <w:name w:val="Table Grid"/>
    <w:basedOn w:val="Tablanormal"/>
    <w:uiPriority w:val="39"/>
    <w:rsid w:val="00760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50ED0"/>
    <w:rPr>
      <w:rFonts w:ascii="Helvetica" w:hAnsi="Helvetica"/>
      <w:sz w:val="11"/>
      <w:szCs w:val="11"/>
    </w:rPr>
  </w:style>
  <w:style w:type="paragraph" w:customStyle="1" w:styleId="Normal1">
    <w:name w:val="Normal1"/>
    <w:rsid w:val="008506AA"/>
    <w:rPr>
      <w:rFonts w:ascii="Times New Roman" w:eastAsia="Times New Roman" w:hAnsi="Times New Roman" w:cs="Times New Roman"/>
      <w:color w:val="000000"/>
      <w:lang w:eastAsia="es-ES"/>
    </w:rPr>
  </w:style>
  <w:style w:type="paragraph" w:styleId="Prrafodelista">
    <w:name w:val="List Paragraph"/>
    <w:basedOn w:val="Normal"/>
    <w:uiPriority w:val="34"/>
    <w:qFormat/>
    <w:rsid w:val="00EE565F"/>
    <w:pPr>
      <w:ind w:left="720"/>
      <w:contextualSpacing/>
    </w:pPr>
    <w:rPr>
      <w:rFonts w:asciiTheme="minorHAnsi" w:hAnsiTheme="minorHAnsi" w:cstheme="minorBidi"/>
      <w:lang w:val="en-GB" w:eastAsia="en-US"/>
    </w:rPr>
  </w:style>
  <w:style w:type="paragraph" w:styleId="Textodeglobo">
    <w:name w:val="Balloon Text"/>
    <w:basedOn w:val="Normal"/>
    <w:link w:val="TextodegloboCar"/>
    <w:uiPriority w:val="99"/>
    <w:semiHidden/>
    <w:unhideWhenUsed/>
    <w:rsid w:val="00CC7818"/>
    <w:rPr>
      <w:rFonts w:ascii="Tahoma" w:hAnsi="Tahoma" w:cs="Tahoma"/>
      <w:sz w:val="16"/>
      <w:szCs w:val="16"/>
    </w:rPr>
  </w:style>
  <w:style w:type="character" w:customStyle="1" w:styleId="TextodegloboCar">
    <w:name w:val="Texto de globo Car"/>
    <w:basedOn w:val="Fuentedeprrafopredeter"/>
    <w:link w:val="Textodeglobo"/>
    <w:uiPriority w:val="99"/>
    <w:semiHidden/>
    <w:rsid w:val="00CC7818"/>
    <w:rPr>
      <w:rFonts w:ascii="Tahoma" w:hAnsi="Tahoma" w:cs="Tahoma"/>
      <w:sz w:val="16"/>
      <w:szCs w:val="16"/>
      <w:lang w:eastAsia="es-ES_tradnl"/>
    </w:rPr>
  </w:style>
  <w:style w:type="character" w:styleId="Hipervnculo">
    <w:name w:val="Hyperlink"/>
    <w:basedOn w:val="Fuentedeprrafopredeter"/>
    <w:uiPriority w:val="99"/>
    <w:unhideWhenUsed/>
    <w:rsid w:val="003A3CB3"/>
    <w:rPr>
      <w:color w:val="0563C1" w:themeColor="hyperlink"/>
      <w:u w:val="single"/>
    </w:rPr>
  </w:style>
  <w:style w:type="character" w:styleId="Hipervnculovisitado">
    <w:name w:val="FollowedHyperlink"/>
    <w:basedOn w:val="Fuentedeprrafopredeter"/>
    <w:uiPriority w:val="99"/>
    <w:semiHidden/>
    <w:unhideWhenUsed/>
    <w:rsid w:val="009B6EF4"/>
    <w:rPr>
      <w:color w:val="954F72"/>
      <w:u w:val="single"/>
    </w:rPr>
  </w:style>
  <w:style w:type="paragraph" w:customStyle="1" w:styleId="msonormal0">
    <w:name w:val="msonormal"/>
    <w:basedOn w:val="Normal"/>
    <w:rsid w:val="009B6EF4"/>
    <w:pPr>
      <w:spacing w:before="100" w:beforeAutospacing="1" w:after="100" w:afterAutospacing="1"/>
    </w:pPr>
  </w:style>
  <w:style w:type="paragraph" w:customStyle="1" w:styleId="font0">
    <w:name w:val="font0"/>
    <w:basedOn w:val="Normal"/>
    <w:rsid w:val="009B6EF4"/>
    <w:pPr>
      <w:spacing w:before="100" w:beforeAutospacing="1" w:after="100" w:afterAutospacing="1"/>
    </w:pPr>
    <w:rPr>
      <w:rFonts w:ascii="Calibri" w:hAnsi="Calibri"/>
      <w:color w:val="000000"/>
    </w:rPr>
  </w:style>
  <w:style w:type="paragraph" w:customStyle="1" w:styleId="font5">
    <w:name w:val="font5"/>
    <w:basedOn w:val="Normal"/>
    <w:rsid w:val="009B6EF4"/>
    <w:pPr>
      <w:spacing w:before="100" w:beforeAutospacing="1" w:after="100" w:afterAutospacing="1"/>
    </w:pPr>
    <w:rPr>
      <w:rFonts w:ascii="Calibri" w:hAnsi="Calibri"/>
      <w:i/>
      <w:iCs/>
      <w:color w:val="000000"/>
    </w:rPr>
  </w:style>
  <w:style w:type="paragraph" w:customStyle="1" w:styleId="font6">
    <w:name w:val="font6"/>
    <w:basedOn w:val="Normal"/>
    <w:rsid w:val="009B6EF4"/>
    <w:pPr>
      <w:spacing w:before="100" w:beforeAutospacing="1" w:after="100" w:afterAutospacing="1"/>
    </w:pPr>
    <w:rPr>
      <w:rFonts w:ascii="Calibri" w:hAnsi="Calibri"/>
      <w:color w:val="000000"/>
    </w:rPr>
  </w:style>
  <w:style w:type="paragraph" w:customStyle="1" w:styleId="font7">
    <w:name w:val="font7"/>
    <w:basedOn w:val="Normal"/>
    <w:rsid w:val="009B6EF4"/>
    <w:pPr>
      <w:spacing w:before="100" w:beforeAutospacing="1" w:after="100" w:afterAutospacing="1"/>
    </w:pPr>
    <w:rPr>
      <w:rFonts w:ascii="Calibri" w:hAnsi="Calibri"/>
      <w:color w:val="000000"/>
      <w:sz w:val="28"/>
      <w:szCs w:val="28"/>
    </w:rPr>
  </w:style>
  <w:style w:type="paragraph" w:customStyle="1" w:styleId="font8">
    <w:name w:val="font8"/>
    <w:basedOn w:val="Normal"/>
    <w:rsid w:val="009B6EF4"/>
    <w:pPr>
      <w:spacing w:before="100" w:beforeAutospacing="1" w:after="100" w:afterAutospacing="1"/>
    </w:pPr>
    <w:rPr>
      <w:rFonts w:ascii="Calibri" w:hAnsi="Calibri"/>
      <w:i/>
      <w:iCs/>
      <w:color w:val="000000"/>
      <w:sz w:val="28"/>
      <w:szCs w:val="28"/>
    </w:rPr>
  </w:style>
  <w:style w:type="paragraph" w:customStyle="1" w:styleId="xl65">
    <w:name w:val="xl65"/>
    <w:basedOn w:val="Normal"/>
    <w:rsid w:val="009B6EF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66">
    <w:name w:val="xl66"/>
    <w:basedOn w:val="Normal"/>
    <w:rsid w:val="009B6E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9B6E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Normal"/>
    <w:rsid w:val="009B6EF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
    <w:rsid w:val="009B6EF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al"/>
    <w:rsid w:val="009B6EF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9B6EF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72">
    <w:name w:val="xl72"/>
    <w:basedOn w:val="Normal"/>
    <w:rsid w:val="009B6EF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styleId="HTMLconformatoprevio">
    <w:name w:val="HTML Preformatted"/>
    <w:basedOn w:val="Normal"/>
    <w:link w:val="HTMLconformatoprevioCar"/>
    <w:uiPriority w:val="99"/>
    <w:unhideWhenUsed/>
    <w:rsid w:val="003E4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3E4B6D"/>
    <w:rPr>
      <w:rFonts w:ascii="Courier New" w:eastAsia="Times New Roman" w:hAnsi="Courier New" w:cs="Courier New"/>
      <w:sz w:val="20"/>
      <w:szCs w:val="20"/>
      <w:lang w:val="es-ES" w:eastAsia="es-ES_tradnl"/>
    </w:rPr>
  </w:style>
  <w:style w:type="paragraph" w:customStyle="1" w:styleId="font9">
    <w:name w:val="font9"/>
    <w:basedOn w:val="Normal"/>
    <w:rsid w:val="003B2984"/>
    <w:pPr>
      <w:spacing w:before="100" w:beforeAutospacing="1" w:after="100" w:afterAutospacing="1"/>
    </w:pPr>
    <w:rPr>
      <w:rFonts w:ascii="Calibri" w:hAnsi="Calibri" w:cs="Calibri"/>
      <w:i/>
      <w:iCs/>
      <w:color w:val="000000"/>
      <w:sz w:val="15"/>
      <w:szCs w:val="15"/>
    </w:rPr>
  </w:style>
  <w:style w:type="paragraph" w:customStyle="1" w:styleId="font10">
    <w:name w:val="font10"/>
    <w:basedOn w:val="Normal"/>
    <w:rsid w:val="003B2984"/>
    <w:pPr>
      <w:spacing w:before="100" w:beforeAutospacing="1" w:after="100" w:afterAutospacing="1"/>
    </w:pPr>
    <w:rPr>
      <w:rFonts w:ascii="Calibri" w:hAnsi="Calibri" w:cs="Calibri"/>
      <w:color w:val="000000"/>
      <w:sz w:val="20"/>
      <w:szCs w:val="20"/>
    </w:rPr>
  </w:style>
  <w:style w:type="paragraph" w:customStyle="1" w:styleId="font11">
    <w:name w:val="font11"/>
    <w:basedOn w:val="Normal"/>
    <w:rsid w:val="003B2984"/>
    <w:pPr>
      <w:spacing w:before="100" w:beforeAutospacing="1" w:after="100" w:afterAutospacing="1"/>
    </w:pPr>
    <w:rPr>
      <w:rFonts w:ascii="Calibri" w:hAnsi="Calibri" w:cs="Calibri"/>
      <w:i/>
      <w:iCs/>
      <w:color w:val="000000"/>
      <w:sz w:val="20"/>
      <w:szCs w:val="20"/>
    </w:rPr>
  </w:style>
  <w:style w:type="paragraph" w:customStyle="1" w:styleId="xl73">
    <w:name w:val="xl73"/>
    <w:basedOn w:val="Normal"/>
    <w:rsid w:val="003B2984"/>
    <w:pPr>
      <w:pBdr>
        <w:left w:val="single" w:sz="8" w:space="0" w:color="auto"/>
        <w:right w:val="single" w:sz="8" w:space="0" w:color="auto"/>
      </w:pBdr>
      <w:shd w:val="clear" w:color="000000" w:fill="A6A6A6"/>
      <w:spacing w:before="100" w:beforeAutospacing="1" w:after="100" w:afterAutospacing="1"/>
      <w:jc w:val="center"/>
      <w:textAlignment w:val="center"/>
    </w:pPr>
    <w:rPr>
      <w:b/>
      <w:bCs/>
      <w:color w:val="000000"/>
      <w:sz w:val="22"/>
      <w:szCs w:val="22"/>
    </w:rPr>
  </w:style>
  <w:style w:type="paragraph" w:customStyle="1" w:styleId="xl74">
    <w:name w:val="xl74"/>
    <w:basedOn w:val="Normal"/>
    <w:rsid w:val="003B2984"/>
    <w:pPr>
      <w:pBdr>
        <w:left w:val="single" w:sz="8" w:space="0" w:color="auto"/>
        <w:bottom w:val="single" w:sz="8" w:space="0" w:color="000000"/>
        <w:right w:val="single" w:sz="8" w:space="0" w:color="auto"/>
      </w:pBdr>
      <w:shd w:val="clear" w:color="000000" w:fill="A6A6A6"/>
      <w:spacing w:before="100" w:beforeAutospacing="1" w:after="100" w:afterAutospacing="1"/>
      <w:jc w:val="center"/>
      <w:textAlignment w:val="center"/>
    </w:pPr>
    <w:rPr>
      <w:b/>
      <w:bCs/>
      <w:color w:val="000000"/>
      <w:sz w:val="22"/>
      <w:szCs w:val="22"/>
    </w:rPr>
  </w:style>
  <w:style w:type="paragraph" w:customStyle="1" w:styleId="xl75">
    <w:name w:val="xl75"/>
    <w:basedOn w:val="Normal"/>
    <w:rsid w:val="003B298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6">
    <w:name w:val="xl76"/>
    <w:basedOn w:val="Normal"/>
    <w:rsid w:val="003B298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7">
    <w:name w:val="xl77"/>
    <w:basedOn w:val="Normal"/>
    <w:rsid w:val="003B2984"/>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78">
    <w:name w:val="xl78"/>
    <w:basedOn w:val="Normal"/>
    <w:rsid w:val="003B2984"/>
    <w:pPr>
      <w:pBdr>
        <w:top w:val="single" w:sz="8" w:space="0" w:color="auto"/>
        <w:left w:val="single" w:sz="8" w:space="0" w:color="auto"/>
        <w:right w:val="single" w:sz="8" w:space="0" w:color="auto"/>
      </w:pBdr>
      <w:shd w:val="clear" w:color="000000" w:fill="A6A6A6"/>
      <w:spacing w:before="100" w:beforeAutospacing="1" w:after="100" w:afterAutospacing="1"/>
      <w:jc w:val="center"/>
      <w:textAlignment w:val="center"/>
    </w:pPr>
    <w:rPr>
      <w:b/>
      <w:bCs/>
      <w:color w:val="000000"/>
      <w:sz w:val="20"/>
      <w:szCs w:val="20"/>
    </w:rPr>
  </w:style>
  <w:style w:type="paragraph" w:customStyle="1" w:styleId="xl79">
    <w:name w:val="xl79"/>
    <w:basedOn w:val="Normal"/>
    <w:rsid w:val="003B2984"/>
    <w:pPr>
      <w:pBdr>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b/>
      <w:bCs/>
      <w:color w:val="000000"/>
      <w:sz w:val="20"/>
      <w:szCs w:val="20"/>
    </w:rPr>
  </w:style>
  <w:style w:type="paragraph" w:customStyle="1" w:styleId="font12">
    <w:name w:val="font12"/>
    <w:basedOn w:val="Normal"/>
    <w:rsid w:val="009B0888"/>
    <w:pPr>
      <w:spacing w:before="100" w:beforeAutospacing="1" w:after="100" w:afterAutospacing="1"/>
    </w:pPr>
    <w:rPr>
      <w:rFonts w:ascii="Calibri" w:hAnsi="Calibri" w:cs="Calibri"/>
      <w:color w:val="000000"/>
      <w:sz w:val="15"/>
      <w:szCs w:val="15"/>
    </w:rPr>
  </w:style>
  <w:style w:type="paragraph" w:customStyle="1" w:styleId="font13">
    <w:name w:val="font13"/>
    <w:basedOn w:val="Normal"/>
    <w:rsid w:val="009B0888"/>
    <w:pPr>
      <w:spacing w:before="100" w:beforeAutospacing="1" w:after="100" w:afterAutospacing="1"/>
    </w:pPr>
    <w:rPr>
      <w:rFonts w:ascii="Calibri" w:hAnsi="Calibri" w:cs="Calibri"/>
      <w:i/>
      <w:iCs/>
      <w:color w:val="000000"/>
      <w:sz w:val="15"/>
      <w:szCs w:val="15"/>
    </w:rPr>
  </w:style>
  <w:style w:type="character" w:styleId="Refdecomentario">
    <w:name w:val="annotation reference"/>
    <w:basedOn w:val="Fuentedeprrafopredeter"/>
    <w:uiPriority w:val="99"/>
    <w:semiHidden/>
    <w:unhideWhenUsed/>
    <w:rsid w:val="00BC4AB5"/>
    <w:rPr>
      <w:sz w:val="16"/>
      <w:szCs w:val="16"/>
    </w:rPr>
  </w:style>
  <w:style w:type="paragraph" w:styleId="Textocomentario">
    <w:name w:val="annotation text"/>
    <w:basedOn w:val="Normal"/>
    <w:link w:val="TextocomentarioCar"/>
    <w:uiPriority w:val="99"/>
    <w:unhideWhenUsed/>
    <w:rsid w:val="00BC4AB5"/>
    <w:rPr>
      <w:sz w:val="20"/>
      <w:szCs w:val="20"/>
    </w:rPr>
  </w:style>
  <w:style w:type="character" w:customStyle="1" w:styleId="TextocomentarioCar">
    <w:name w:val="Texto comentario Car"/>
    <w:basedOn w:val="Fuentedeprrafopredeter"/>
    <w:link w:val="Textocomentario"/>
    <w:uiPriority w:val="99"/>
    <w:rsid w:val="00BC4AB5"/>
    <w:rPr>
      <w:rFonts w:ascii="Times New Roman" w:eastAsia="Times New Roman" w:hAnsi="Times New Roman" w:cs="Times New Roman"/>
      <w:sz w:val="20"/>
      <w:szCs w:val="20"/>
      <w:lang w:val="es-ES" w:eastAsia="es-ES_tradnl"/>
    </w:rPr>
  </w:style>
  <w:style w:type="paragraph" w:styleId="Asuntodelcomentario">
    <w:name w:val="annotation subject"/>
    <w:basedOn w:val="Textocomentario"/>
    <w:next w:val="Textocomentario"/>
    <w:link w:val="AsuntodelcomentarioCar"/>
    <w:uiPriority w:val="99"/>
    <w:semiHidden/>
    <w:unhideWhenUsed/>
    <w:rsid w:val="00BC4AB5"/>
    <w:rPr>
      <w:b/>
      <w:bCs/>
    </w:rPr>
  </w:style>
  <w:style w:type="character" w:customStyle="1" w:styleId="AsuntodelcomentarioCar">
    <w:name w:val="Asunto del comentario Car"/>
    <w:basedOn w:val="TextocomentarioCar"/>
    <w:link w:val="Asuntodelcomentario"/>
    <w:uiPriority w:val="99"/>
    <w:semiHidden/>
    <w:rsid w:val="00BC4AB5"/>
    <w:rPr>
      <w:rFonts w:ascii="Times New Roman" w:eastAsia="Times New Roman" w:hAnsi="Times New Roman" w:cs="Times New Roman"/>
      <w:b/>
      <w:bCs/>
      <w:sz w:val="20"/>
      <w:szCs w:val="20"/>
      <w:lang w:val="es-ES" w:eastAsia="es-ES_tradnl"/>
    </w:rPr>
  </w:style>
  <w:style w:type="character" w:styleId="Nmerodepgina">
    <w:name w:val="page number"/>
    <w:basedOn w:val="Fuentedeprrafopredeter"/>
    <w:uiPriority w:val="99"/>
    <w:semiHidden/>
    <w:unhideWhenUsed/>
    <w:rsid w:val="00946B48"/>
  </w:style>
  <w:style w:type="paragraph" w:customStyle="1" w:styleId="Encabezado1">
    <w:name w:val="Encabezado1"/>
    <w:basedOn w:val="Normal"/>
    <w:next w:val="Encabezado"/>
    <w:uiPriority w:val="99"/>
    <w:unhideWhenUsed/>
    <w:rsid w:val="00946B48"/>
    <w:pPr>
      <w:tabs>
        <w:tab w:val="center" w:pos="4252"/>
        <w:tab w:val="right" w:pos="8504"/>
      </w:tabs>
    </w:pPr>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615">
      <w:bodyDiv w:val="1"/>
      <w:marLeft w:val="0"/>
      <w:marRight w:val="0"/>
      <w:marTop w:val="0"/>
      <w:marBottom w:val="0"/>
      <w:divBdr>
        <w:top w:val="none" w:sz="0" w:space="0" w:color="auto"/>
        <w:left w:val="none" w:sz="0" w:space="0" w:color="auto"/>
        <w:bottom w:val="none" w:sz="0" w:space="0" w:color="auto"/>
        <w:right w:val="none" w:sz="0" w:space="0" w:color="auto"/>
      </w:divBdr>
    </w:div>
    <w:div w:id="3825836">
      <w:bodyDiv w:val="1"/>
      <w:marLeft w:val="0"/>
      <w:marRight w:val="0"/>
      <w:marTop w:val="0"/>
      <w:marBottom w:val="0"/>
      <w:divBdr>
        <w:top w:val="none" w:sz="0" w:space="0" w:color="auto"/>
        <w:left w:val="none" w:sz="0" w:space="0" w:color="auto"/>
        <w:bottom w:val="none" w:sz="0" w:space="0" w:color="auto"/>
        <w:right w:val="none" w:sz="0" w:space="0" w:color="auto"/>
      </w:divBdr>
    </w:div>
    <w:div w:id="27028593">
      <w:bodyDiv w:val="1"/>
      <w:marLeft w:val="0"/>
      <w:marRight w:val="0"/>
      <w:marTop w:val="0"/>
      <w:marBottom w:val="0"/>
      <w:divBdr>
        <w:top w:val="none" w:sz="0" w:space="0" w:color="auto"/>
        <w:left w:val="none" w:sz="0" w:space="0" w:color="auto"/>
        <w:bottom w:val="none" w:sz="0" w:space="0" w:color="auto"/>
        <w:right w:val="none" w:sz="0" w:space="0" w:color="auto"/>
      </w:divBdr>
    </w:div>
    <w:div w:id="41752455">
      <w:bodyDiv w:val="1"/>
      <w:marLeft w:val="0"/>
      <w:marRight w:val="0"/>
      <w:marTop w:val="0"/>
      <w:marBottom w:val="0"/>
      <w:divBdr>
        <w:top w:val="none" w:sz="0" w:space="0" w:color="auto"/>
        <w:left w:val="none" w:sz="0" w:space="0" w:color="auto"/>
        <w:bottom w:val="none" w:sz="0" w:space="0" w:color="auto"/>
        <w:right w:val="none" w:sz="0" w:space="0" w:color="auto"/>
      </w:divBdr>
    </w:div>
    <w:div w:id="109208931">
      <w:bodyDiv w:val="1"/>
      <w:marLeft w:val="0"/>
      <w:marRight w:val="0"/>
      <w:marTop w:val="0"/>
      <w:marBottom w:val="0"/>
      <w:divBdr>
        <w:top w:val="none" w:sz="0" w:space="0" w:color="auto"/>
        <w:left w:val="none" w:sz="0" w:space="0" w:color="auto"/>
        <w:bottom w:val="none" w:sz="0" w:space="0" w:color="auto"/>
        <w:right w:val="none" w:sz="0" w:space="0" w:color="auto"/>
      </w:divBdr>
    </w:div>
    <w:div w:id="140923005">
      <w:bodyDiv w:val="1"/>
      <w:marLeft w:val="0"/>
      <w:marRight w:val="0"/>
      <w:marTop w:val="0"/>
      <w:marBottom w:val="0"/>
      <w:divBdr>
        <w:top w:val="none" w:sz="0" w:space="0" w:color="auto"/>
        <w:left w:val="none" w:sz="0" w:space="0" w:color="auto"/>
        <w:bottom w:val="none" w:sz="0" w:space="0" w:color="auto"/>
        <w:right w:val="none" w:sz="0" w:space="0" w:color="auto"/>
      </w:divBdr>
    </w:div>
    <w:div w:id="179319603">
      <w:bodyDiv w:val="1"/>
      <w:marLeft w:val="0"/>
      <w:marRight w:val="0"/>
      <w:marTop w:val="0"/>
      <w:marBottom w:val="0"/>
      <w:divBdr>
        <w:top w:val="none" w:sz="0" w:space="0" w:color="auto"/>
        <w:left w:val="none" w:sz="0" w:space="0" w:color="auto"/>
        <w:bottom w:val="none" w:sz="0" w:space="0" w:color="auto"/>
        <w:right w:val="none" w:sz="0" w:space="0" w:color="auto"/>
      </w:divBdr>
    </w:div>
    <w:div w:id="184633203">
      <w:bodyDiv w:val="1"/>
      <w:marLeft w:val="0"/>
      <w:marRight w:val="0"/>
      <w:marTop w:val="0"/>
      <w:marBottom w:val="0"/>
      <w:divBdr>
        <w:top w:val="none" w:sz="0" w:space="0" w:color="auto"/>
        <w:left w:val="none" w:sz="0" w:space="0" w:color="auto"/>
        <w:bottom w:val="none" w:sz="0" w:space="0" w:color="auto"/>
        <w:right w:val="none" w:sz="0" w:space="0" w:color="auto"/>
      </w:divBdr>
    </w:div>
    <w:div w:id="229734096">
      <w:bodyDiv w:val="1"/>
      <w:marLeft w:val="0"/>
      <w:marRight w:val="0"/>
      <w:marTop w:val="0"/>
      <w:marBottom w:val="0"/>
      <w:divBdr>
        <w:top w:val="none" w:sz="0" w:space="0" w:color="auto"/>
        <w:left w:val="none" w:sz="0" w:space="0" w:color="auto"/>
        <w:bottom w:val="none" w:sz="0" w:space="0" w:color="auto"/>
        <w:right w:val="none" w:sz="0" w:space="0" w:color="auto"/>
      </w:divBdr>
    </w:div>
    <w:div w:id="233198003">
      <w:bodyDiv w:val="1"/>
      <w:marLeft w:val="0"/>
      <w:marRight w:val="0"/>
      <w:marTop w:val="0"/>
      <w:marBottom w:val="0"/>
      <w:divBdr>
        <w:top w:val="none" w:sz="0" w:space="0" w:color="auto"/>
        <w:left w:val="none" w:sz="0" w:space="0" w:color="auto"/>
        <w:bottom w:val="none" w:sz="0" w:space="0" w:color="auto"/>
        <w:right w:val="none" w:sz="0" w:space="0" w:color="auto"/>
      </w:divBdr>
    </w:div>
    <w:div w:id="252400566">
      <w:bodyDiv w:val="1"/>
      <w:marLeft w:val="0"/>
      <w:marRight w:val="0"/>
      <w:marTop w:val="0"/>
      <w:marBottom w:val="0"/>
      <w:divBdr>
        <w:top w:val="none" w:sz="0" w:space="0" w:color="auto"/>
        <w:left w:val="none" w:sz="0" w:space="0" w:color="auto"/>
        <w:bottom w:val="none" w:sz="0" w:space="0" w:color="auto"/>
        <w:right w:val="none" w:sz="0" w:space="0" w:color="auto"/>
      </w:divBdr>
    </w:div>
    <w:div w:id="285551084">
      <w:bodyDiv w:val="1"/>
      <w:marLeft w:val="0"/>
      <w:marRight w:val="0"/>
      <w:marTop w:val="0"/>
      <w:marBottom w:val="0"/>
      <w:divBdr>
        <w:top w:val="none" w:sz="0" w:space="0" w:color="auto"/>
        <w:left w:val="none" w:sz="0" w:space="0" w:color="auto"/>
        <w:bottom w:val="none" w:sz="0" w:space="0" w:color="auto"/>
        <w:right w:val="none" w:sz="0" w:space="0" w:color="auto"/>
      </w:divBdr>
    </w:div>
    <w:div w:id="296881769">
      <w:bodyDiv w:val="1"/>
      <w:marLeft w:val="0"/>
      <w:marRight w:val="0"/>
      <w:marTop w:val="0"/>
      <w:marBottom w:val="0"/>
      <w:divBdr>
        <w:top w:val="none" w:sz="0" w:space="0" w:color="auto"/>
        <w:left w:val="none" w:sz="0" w:space="0" w:color="auto"/>
        <w:bottom w:val="none" w:sz="0" w:space="0" w:color="auto"/>
        <w:right w:val="none" w:sz="0" w:space="0" w:color="auto"/>
      </w:divBdr>
    </w:div>
    <w:div w:id="305359591">
      <w:bodyDiv w:val="1"/>
      <w:marLeft w:val="0"/>
      <w:marRight w:val="0"/>
      <w:marTop w:val="0"/>
      <w:marBottom w:val="0"/>
      <w:divBdr>
        <w:top w:val="none" w:sz="0" w:space="0" w:color="auto"/>
        <w:left w:val="none" w:sz="0" w:space="0" w:color="auto"/>
        <w:bottom w:val="none" w:sz="0" w:space="0" w:color="auto"/>
        <w:right w:val="none" w:sz="0" w:space="0" w:color="auto"/>
      </w:divBdr>
    </w:div>
    <w:div w:id="324362042">
      <w:bodyDiv w:val="1"/>
      <w:marLeft w:val="0"/>
      <w:marRight w:val="0"/>
      <w:marTop w:val="0"/>
      <w:marBottom w:val="0"/>
      <w:divBdr>
        <w:top w:val="none" w:sz="0" w:space="0" w:color="auto"/>
        <w:left w:val="none" w:sz="0" w:space="0" w:color="auto"/>
        <w:bottom w:val="none" w:sz="0" w:space="0" w:color="auto"/>
        <w:right w:val="none" w:sz="0" w:space="0" w:color="auto"/>
      </w:divBdr>
    </w:div>
    <w:div w:id="350568676">
      <w:bodyDiv w:val="1"/>
      <w:marLeft w:val="0"/>
      <w:marRight w:val="0"/>
      <w:marTop w:val="0"/>
      <w:marBottom w:val="0"/>
      <w:divBdr>
        <w:top w:val="none" w:sz="0" w:space="0" w:color="auto"/>
        <w:left w:val="none" w:sz="0" w:space="0" w:color="auto"/>
        <w:bottom w:val="none" w:sz="0" w:space="0" w:color="auto"/>
        <w:right w:val="none" w:sz="0" w:space="0" w:color="auto"/>
      </w:divBdr>
    </w:div>
    <w:div w:id="363756399">
      <w:bodyDiv w:val="1"/>
      <w:marLeft w:val="0"/>
      <w:marRight w:val="0"/>
      <w:marTop w:val="0"/>
      <w:marBottom w:val="0"/>
      <w:divBdr>
        <w:top w:val="none" w:sz="0" w:space="0" w:color="auto"/>
        <w:left w:val="none" w:sz="0" w:space="0" w:color="auto"/>
        <w:bottom w:val="none" w:sz="0" w:space="0" w:color="auto"/>
        <w:right w:val="none" w:sz="0" w:space="0" w:color="auto"/>
      </w:divBdr>
    </w:div>
    <w:div w:id="376439073">
      <w:bodyDiv w:val="1"/>
      <w:marLeft w:val="0"/>
      <w:marRight w:val="0"/>
      <w:marTop w:val="0"/>
      <w:marBottom w:val="0"/>
      <w:divBdr>
        <w:top w:val="none" w:sz="0" w:space="0" w:color="auto"/>
        <w:left w:val="none" w:sz="0" w:space="0" w:color="auto"/>
        <w:bottom w:val="none" w:sz="0" w:space="0" w:color="auto"/>
        <w:right w:val="none" w:sz="0" w:space="0" w:color="auto"/>
      </w:divBdr>
    </w:div>
    <w:div w:id="379599195">
      <w:bodyDiv w:val="1"/>
      <w:marLeft w:val="0"/>
      <w:marRight w:val="0"/>
      <w:marTop w:val="0"/>
      <w:marBottom w:val="0"/>
      <w:divBdr>
        <w:top w:val="none" w:sz="0" w:space="0" w:color="auto"/>
        <w:left w:val="none" w:sz="0" w:space="0" w:color="auto"/>
        <w:bottom w:val="none" w:sz="0" w:space="0" w:color="auto"/>
        <w:right w:val="none" w:sz="0" w:space="0" w:color="auto"/>
      </w:divBdr>
    </w:div>
    <w:div w:id="381639855">
      <w:bodyDiv w:val="1"/>
      <w:marLeft w:val="0"/>
      <w:marRight w:val="0"/>
      <w:marTop w:val="0"/>
      <w:marBottom w:val="0"/>
      <w:divBdr>
        <w:top w:val="none" w:sz="0" w:space="0" w:color="auto"/>
        <w:left w:val="none" w:sz="0" w:space="0" w:color="auto"/>
        <w:bottom w:val="none" w:sz="0" w:space="0" w:color="auto"/>
        <w:right w:val="none" w:sz="0" w:space="0" w:color="auto"/>
      </w:divBdr>
    </w:div>
    <w:div w:id="383528535">
      <w:bodyDiv w:val="1"/>
      <w:marLeft w:val="0"/>
      <w:marRight w:val="0"/>
      <w:marTop w:val="0"/>
      <w:marBottom w:val="0"/>
      <w:divBdr>
        <w:top w:val="none" w:sz="0" w:space="0" w:color="auto"/>
        <w:left w:val="none" w:sz="0" w:space="0" w:color="auto"/>
        <w:bottom w:val="none" w:sz="0" w:space="0" w:color="auto"/>
        <w:right w:val="none" w:sz="0" w:space="0" w:color="auto"/>
      </w:divBdr>
    </w:div>
    <w:div w:id="438649555">
      <w:bodyDiv w:val="1"/>
      <w:marLeft w:val="0"/>
      <w:marRight w:val="0"/>
      <w:marTop w:val="0"/>
      <w:marBottom w:val="0"/>
      <w:divBdr>
        <w:top w:val="none" w:sz="0" w:space="0" w:color="auto"/>
        <w:left w:val="none" w:sz="0" w:space="0" w:color="auto"/>
        <w:bottom w:val="none" w:sz="0" w:space="0" w:color="auto"/>
        <w:right w:val="none" w:sz="0" w:space="0" w:color="auto"/>
      </w:divBdr>
    </w:div>
    <w:div w:id="439107552">
      <w:bodyDiv w:val="1"/>
      <w:marLeft w:val="0"/>
      <w:marRight w:val="0"/>
      <w:marTop w:val="0"/>
      <w:marBottom w:val="0"/>
      <w:divBdr>
        <w:top w:val="none" w:sz="0" w:space="0" w:color="auto"/>
        <w:left w:val="none" w:sz="0" w:space="0" w:color="auto"/>
        <w:bottom w:val="none" w:sz="0" w:space="0" w:color="auto"/>
        <w:right w:val="none" w:sz="0" w:space="0" w:color="auto"/>
      </w:divBdr>
    </w:div>
    <w:div w:id="442263459">
      <w:bodyDiv w:val="1"/>
      <w:marLeft w:val="0"/>
      <w:marRight w:val="0"/>
      <w:marTop w:val="0"/>
      <w:marBottom w:val="0"/>
      <w:divBdr>
        <w:top w:val="none" w:sz="0" w:space="0" w:color="auto"/>
        <w:left w:val="none" w:sz="0" w:space="0" w:color="auto"/>
        <w:bottom w:val="none" w:sz="0" w:space="0" w:color="auto"/>
        <w:right w:val="none" w:sz="0" w:space="0" w:color="auto"/>
      </w:divBdr>
    </w:div>
    <w:div w:id="494417668">
      <w:bodyDiv w:val="1"/>
      <w:marLeft w:val="0"/>
      <w:marRight w:val="0"/>
      <w:marTop w:val="0"/>
      <w:marBottom w:val="0"/>
      <w:divBdr>
        <w:top w:val="none" w:sz="0" w:space="0" w:color="auto"/>
        <w:left w:val="none" w:sz="0" w:space="0" w:color="auto"/>
        <w:bottom w:val="none" w:sz="0" w:space="0" w:color="auto"/>
        <w:right w:val="none" w:sz="0" w:space="0" w:color="auto"/>
      </w:divBdr>
    </w:div>
    <w:div w:id="516702605">
      <w:bodyDiv w:val="1"/>
      <w:marLeft w:val="0"/>
      <w:marRight w:val="0"/>
      <w:marTop w:val="0"/>
      <w:marBottom w:val="0"/>
      <w:divBdr>
        <w:top w:val="none" w:sz="0" w:space="0" w:color="auto"/>
        <w:left w:val="none" w:sz="0" w:space="0" w:color="auto"/>
        <w:bottom w:val="none" w:sz="0" w:space="0" w:color="auto"/>
        <w:right w:val="none" w:sz="0" w:space="0" w:color="auto"/>
      </w:divBdr>
    </w:div>
    <w:div w:id="518200470">
      <w:bodyDiv w:val="1"/>
      <w:marLeft w:val="0"/>
      <w:marRight w:val="0"/>
      <w:marTop w:val="0"/>
      <w:marBottom w:val="0"/>
      <w:divBdr>
        <w:top w:val="none" w:sz="0" w:space="0" w:color="auto"/>
        <w:left w:val="none" w:sz="0" w:space="0" w:color="auto"/>
        <w:bottom w:val="none" w:sz="0" w:space="0" w:color="auto"/>
        <w:right w:val="none" w:sz="0" w:space="0" w:color="auto"/>
      </w:divBdr>
    </w:div>
    <w:div w:id="532498826">
      <w:bodyDiv w:val="1"/>
      <w:marLeft w:val="0"/>
      <w:marRight w:val="0"/>
      <w:marTop w:val="0"/>
      <w:marBottom w:val="0"/>
      <w:divBdr>
        <w:top w:val="none" w:sz="0" w:space="0" w:color="auto"/>
        <w:left w:val="none" w:sz="0" w:space="0" w:color="auto"/>
        <w:bottom w:val="none" w:sz="0" w:space="0" w:color="auto"/>
        <w:right w:val="none" w:sz="0" w:space="0" w:color="auto"/>
      </w:divBdr>
    </w:div>
    <w:div w:id="549148631">
      <w:bodyDiv w:val="1"/>
      <w:marLeft w:val="0"/>
      <w:marRight w:val="0"/>
      <w:marTop w:val="0"/>
      <w:marBottom w:val="0"/>
      <w:divBdr>
        <w:top w:val="none" w:sz="0" w:space="0" w:color="auto"/>
        <w:left w:val="none" w:sz="0" w:space="0" w:color="auto"/>
        <w:bottom w:val="none" w:sz="0" w:space="0" w:color="auto"/>
        <w:right w:val="none" w:sz="0" w:space="0" w:color="auto"/>
      </w:divBdr>
    </w:div>
    <w:div w:id="599679993">
      <w:bodyDiv w:val="1"/>
      <w:marLeft w:val="0"/>
      <w:marRight w:val="0"/>
      <w:marTop w:val="0"/>
      <w:marBottom w:val="0"/>
      <w:divBdr>
        <w:top w:val="none" w:sz="0" w:space="0" w:color="auto"/>
        <w:left w:val="none" w:sz="0" w:space="0" w:color="auto"/>
        <w:bottom w:val="none" w:sz="0" w:space="0" w:color="auto"/>
        <w:right w:val="none" w:sz="0" w:space="0" w:color="auto"/>
      </w:divBdr>
    </w:div>
    <w:div w:id="605969137">
      <w:bodyDiv w:val="1"/>
      <w:marLeft w:val="0"/>
      <w:marRight w:val="0"/>
      <w:marTop w:val="0"/>
      <w:marBottom w:val="0"/>
      <w:divBdr>
        <w:top w:val="none" w:sz="0" w:space="0" w:color="auto"/>
        <w:left w:val="none" w:sz="0" w:space="0" w:color="auto"/>
        <w:bottom w:val="none" w:sz="0" w:space="0" w:color="auto"/>
        <w:right w:val="none" w:sz="0" w:space="0" w:color="auto"/>
      </w:divBdr>
    </w:div>
    <w:div w:id="640187623">
      <w:bodyDiv w:val="1"/>
      <w:marLeft w:val="0"/>
      <w:marRight w:val="0"/>
      <w:marTop w:val="0"/>
      <w:marBottom w:val="0"/>
      <w:divBdr>
        <w:top w:val="none" w:sz="0" w:space="0" w:color="auto"/>
        <w:left w:val="none" w:sz="0" w:space="0" w:color="auto"/>
        <w:bottom w:val="none" w:sz="0" w:space="0" w:color="auto"/>
        <w:right w:val="none" w:sz="0" w:space="0" w:color="auto"/>
      </w:divBdr>
    </w:div>
    <w:div w:id="642349269">
      <w:bodyDiv w:val="1"/>
      <w:marLeft w:val="0"/>
      <w:marRight w:val="0"/>
      <w:marTop w:val="0"/>
      <w:marBottom w:val="0"/>
      <w:divBdr>
        <w:top w:val="none" w:sz="0" w:space="0" w:color="auto"/>
        <w:left w:val="none" w:sz="0" w:space="0" w:color="auto"/>
        <w:bottom w:val="none" w:sz="0" w:space="0" w:color="auto"/>
        <w:right w:val="none" w:sz="0" w:space="0" w:color="auto"/>
      </w:divBdr>
    </w:div>
    <w:div w:id="727801614">
      <w:bodyDiv w:val="1"/>
      <w:marLeft w:val="0"/>
      <w:marRight w:val="0"/>
      <w:marTop w:val="0"/>
      <w:marBottom w:val="0"/>
      <w:divBdr>
        <w:top w:val="none" w:sz="0" w:space="0" w:color="auto"/>
        <w:left w:val="none" w:sz="0" w:space="0" w:color="auto"/>
        <w:bottom w:val="none" w:sz="0" w:space="0" w:color="auto"/>
        <w:right w:val="none" w:sz="0" w:space="0" w:color="auto"/>
      </w:divBdr>
    </w:div>
    <w:div w:id="749231178">
      <w:bodyDiv w:val="1"/>
      <w:marLeft w:val="0"/>
      <w:marRight w:val="0"/>
      <w:marTop w:val="0"/>
      <w:marBottom w:val="0"/>
      <w:divBdr>
        <w:top w:val="none" w:sz="0" w:space="0" w:color="auto"/>
        <w:left w:val="none" w:sz="0" w:space="0" w:color="auto"/>
        <w:bottom w:val="none" w:sz="0" w:space="0" w:color="auto"/>
        <w:right w:val="none" w:sz="0" w:space="0" w:color="auto"/>
      </w:divBdr>
    </w:div>
    <w:div w:id="775247123">
      <w:bodyDiv w:val="1"/>
      <w:marLeft w:val="0"/>
      <w:marRight w:val="0"/>
      <w:marTop w:val="0"/>
      <w:marBottom w:val="0"/>
      <w:divBdr>
        <w:top w:val="none" w:sz="0" w:space="0" w:color="auto"/>
        <w:left w:val="none" w:sz="0" w:space="0" w:color="auto"/>
        <w:bottom w:val="none" w:sz="0" w:space="0" w:color="auto"/>
        <w:right w:val="none" w:sz="0" w:space="0" w:color="auto"/>
      </w:divBdr>
    </w:div>
    <w:div w:id="883641887">
      <w:bodyDiv w:val="1"/>
      <w:marLeft w:val="0"/>
      <w:marRight w:val="0"/>
      <w:marTop w:val="0"/>
      <w:marBottom w:val="0"/>
      <w:divBdr>
        <w:top w:val="none" w:sz="0" w:space="0" w:color="auto"/>
        <w:left w:val="none" w:sz="0" w:space="0" w:color="auto"/>
        <w:bottom w:val="none" w:sz="0" w:space="0" w:color="auto"/>
        <w:right w:val="none" w:sz="0" w:space="0" w:color="auto"/>
      </w:divBdr>
    </w:div>
    <w:div w:id="902790902">
      <w:bodyDiv w:val="1"/>
      <w:marLeft w:val="0"/>
      <w:marRight w:val="0"/>
      <w:marTop w:val="0"/>
      <w:marBottom w:val="0"/>
      <w:divBdr>
        <w:top w:val="none" w:sz="0" w:space="0" w:color="auto"/>
        <w:left w:val="none" w:sz="0" w:space="0" w:color="auto"/>
        <w:bottom w:val="none" w:sz="0" w:space="0" w:color="auto"/>
        <w:right w:val="none" w:sz="0" w:space="0" w:color="auto"/>
      </w:divBdr>
    </w:div>
    <w:div w:id="918712757">
      <w:bodyDiv w:val="1"/>
      <w:marLeft w:val="0"/>
      <w:marRight w:val="0"/>
      <w:marTop w:val="0"/>
      <w:marBottom w:val="0"/>
      <w:divBdr>
        <w:top w:val="none" w:sz="0" w:space="0" w:color="auto"/>
        <w:left w:val="none" w:sz="0" w:space="0" w:color="auto"/>
        <w:bottom w:val="none" w:sz="0" w:space="0" w:color="auto"/>
        <w:right w:val="none" w:sz="0" w:space="0" w:color="auto"/>
      </w:divBdr>
    </w:div>
    <w:div w:id="920288646">
      <w:bodyDiv w:val="1"/>
      <w:marLeft w:val="0"/>
      <w:marRight w:val="0"/>
      <w:marTop w:val="0"/>
      <w:marBottom w:val="0"/>
      <w:divBdr>
        <w:top w:val="none" w:sz="0" w:space="0" w:color="auto"/>
        <w:left w:val="none" w:sz="0" w:space="0" w:color="auto"/>
        <w:bottom w:val="none" w:sz="0" w:space="0" w:color="auto"/>
        <w:right w:val="none" w:sz="0" w:space="0" w:color="auto"/>
      </w:divBdr>
    </w:div>
    <w:div w:id="956831359">
      <w:bodyDiv w:val="1"/>
      <w:marLeft w:val="0"/>
      <w:marRight w:val="0"/>
      <w:marTop w:val="0"/>
      <w:marBottom w:val="0"/>
      <w:divBdr>
        <w:top w:val="none" w:sz="0" w:space="0" w:color="auto"/>
        <w:left w:val="none" w:sz="0" w:space="0" w:color="auto"/>
        <w:bottom w:val="none" w:sz="0" w:space="0" w:color="auto"/>
        <w:right w:val="none" w:sz="0" w:space="0" w:color="auto"/>
      </w:divBdr>
    </w:div>
    <w:div w:id="985427845">
      <w:bodyDiv w:val="1"/>
      <w:marLeft w:val="0"/>
      <w:marRight w:val="0"/>
      <w:marTop w:val="0"/>
      <w:marBottom w:val="0"/>
      <w:divBdr>
        <w:top w:val="none" w:sz="0" w:space="0" w:color="auto"/>
        <w:left w:val="none" w:sz="0" w:space="0" w:color="auto"/>
        <w:bottom w:val="none" w:sz="0" w:space="0" w:color="auto"/>
        <w:right w:val="none" w:sz="0" w:space="0" w:color="auto"/>
      </w:divBdr>
    </w:div>
    <w:div w:id="999505584">
      <w:bodyDiv w:val="1"/>
      <w:marLeft w:val="0"/>
      <w:marRight w:val="0"/>
      <w:marTop w:val="0"/>
      <w:marBottom w:val="0"/>
      <w:divBdr>
        <w:top w:val="none" w:sz="0" w:space="0" w:color="auto"/>
        <w:left w:val="none" w:sz="0" w:space="0" w:color="auto"/>
        <w:bottom w:val="none" w:sz="0" w:space="0" w:color="auto"/>
        <w:right w:val="none" w:sz="0" w:space="0" w:color="auto"/>
      </w:divBdr>
    </w:div>
    <w:div w:id="1012033355">
      <w:bodyDiv w:val="1"/>
      <w:marLeft w:val="0"/>
      <w:marRight w:val="0"/>
      <w:marTop w:val="0"/>
      <w:marBottom w:val="0"/>
      <w:divBdr>
        <w:top w:val="none" w:sz="0" w:space="0" w:color="auto"/>
        <w:left w:val="none" w:sz="0" w:space="0" w:color="auto"/>
        <w:bottom w:val="none" w:sz="0" w:space="0" w:color="auto"/>
        <w:right w:val="none" w:sz="0" w:space="0" w:color="auto"/>
      </w:divBdr>
    </w:div>
    <w:div w:id="1028065876">
      <w:bodyDiv w:val="1"/>
      <w:marLeft w:val="0"/>
      <w:marRight w:val="0"/>
      <w:marTop w:val="0"/>
      <w:marBottom w:val="0"/>
      <w:divBdr>
        <w:top w:val="none" w:sz="0" w:space="0" w:color="auto"/>
        <w:left w:val="none" w:sz="0" w:space="0" w:color="auto"/>
        <w:bottom w:val="none" w:sz="0" w:space="0" w:color="auto"/>
        <w:right w:val="none" w:sz="0" w:space="0" w:color="auto"/>
      </w:divBdr>
    </w:div>
    <w:div w:id="1050882292">
      <w:bodyDiv w:val="1"/>
      <w:marLeft w:val="0"/>
      <w:marRight w:val="0"/>
      <w:marTop w:val="0"/>
      <w:marBottom w:val="0"/>
      <w:divBdr>
        <w:top w:val="none" w:sz="0" w:space="0" w:color="auto"/>
        <w:left w:val="none" w:sz="0" w:space="0" w:color="auto"/>
        <w:bottom w:val="none" w:sz="0" w:space="0" w:color="auto"/>
        <w:right w:val="none" w:sz="0" w:space="0" w:color="auto"/>
      </w:divBdr>
    </w:div>
    <w:div w:id="1057822088">
      <w:bodyDiv w:val="1"/>
      <w:marLeft w:val="0"/>
      <w:marRight w:val="0"/>
      <w:marTop w:val="0"/>
      <w:marBottom w:val="0"/>
      <w:divBdr>
        <w:top w:val="none" w:sz="0" w:space="0" w:color="auto"/>
        <w:left w:val="none" w:sz="0" w:space="0" w:color="auto"/>
        <w:bottom w:val="none" w:sz="0" w:space="0" w:color="auto"/>
        <w:right w:val="none" w:sz="0" w:space="0" w:color="auto"/>
      </w:divBdr>
    </w:div>
    <w:div w:id="1065955383">
      <w:bodyDiv w:val="1"/>
      <w:marLeft w:val="0"/>
      <w:marRight w:val="0"/>
      <w:marTop w:val="0"/>
      <w:marBottom w:val="0"/>
      <w:divBdr>
        <w:top w:val="none" w:sz="0" w:space="0" w:color="auto"/>
        <w:left w:val="none" w:sz="0" w:space="0" w:color="auto"/>
        <w:bottom w:val="none" w:sz="0" w:space="0" w:color="auto"/>
        <w:right w:val="none" w:sz="0" w:space="0" w:color="auto"/>
      </w:divBdr>
    </w:div>
    <w:div w:id="1086222847">
      <w:bodyDiv w:val="1"/>
      <w:marLeft w:val="0"/>
      <w:marRight w:val="0"/>
      <w:marTop w:val="0"/>
      <w:marBottom w:val="0"/>
      <w:divBdr>
        <w:top w:val="none" w:sz="0" w:space="0" w:color="auto"/>
        <w:left w:val="none" w:sz="0" w:space="0" w:color="auto"/>
        <w:bottom w:val="none" w:sz="0" w:space="0" w:color="auto"/>
        <w:right w:val="none" w:sz="0" w:space="0" w:color="auto"/>
      </w:divBdr>
    </w:div>
    <w:div w:id="1087001974">
      <w:bodyDiv w:val="1"/>
      <w:marLeft w:val="0"/>
      <w:marRight w:val="0"/>
      <w:marTop w:val="0"/>
      <w:marBottom w:val="0"/>
      <w:divBdr>
        <w:top w:val="none" w:sz="0" w:space="0" w:color="auto"/>
        <w:left w:val="none" w:sz="0" w:space="0" w:color="auto"/>
        <w:bottom w:val="none" w:sz="0" w:space="0" w:color="auto"/>
        <w:right w:val="none" w:sz="0" w:space="0" w:color="auto"/>
      </w:divBdr>
    </w:div>
    <w:div w:id="1097285060">
      <w:bodyDiv w:val="1"/>
      <w:marLeft w:val="0"/>
      <w:marRight w:val="0"/>
      <w:marTop w:val="0"/>
      <w:marBottom w:val="0"/>
      <w:divBdr>
        <w:top w:val="none" w:sz="0" w:space="0" w:color="auto"/>
        <w:left w:val="none" w:sz="0" w:space="0" w:color="auto"/>
        <w:bottom w:val="none" w:sz="0" w:space="0" w:color="auto"/>
        <w:right w:val="none" w:sz="0" w:space="0" w:color="auto"/>
      </w:divBdr>
    </w:div>
    <w:div w:id="1110710604">
      <w:bodyDiv w:val="1"/>
      <w:marLeft w:val="0"/>
      <w:marRight w:val="0"/>
      <w:marTop w:val="0"/>
      <w:marBottom w:val="0"/>
      <w:divBdr>
        <w:top w:val="none" w:sz="0" w:space="0" w:color="auto"/>
        <w:left w:val="none" w:sz="0" w:space="0" w:color="auto"/>
        <w:bottom w:val="none" w:sz="0" w:space="0" w:color="auto"/>
        <w:right w:val="none" w:sz="0" w:space="0" w:color="auto"/>
      </w:divBdr>
    </w:div>
    <w:div w:id="1114399659">
      <w:bodyDiv w:val="1"/>
      <w:marLeft w:val="0"/>
      <w:marRight w:val="0"/>
      <w:marTop w:val="0"/>
      <w:marBottom w:val="0"/>
      <w:divBdr>
        <w:top w:val="none" w:sz="0" w:space="0" w:color="auto"/>
        <w:left w:val="none" w:sz="0" w:space="0" w:color="auto"/>
        <w:bottom w:val="none" w:sz="0" w:space="0" w:color="auto"/>
        <w:right w:val="none" w:sz="0" w:space="0" w:color="auto"/>
      </w:divBdr>
    </w:div>
    <w:div w:id="1117723026">
      <w:bodyDiv w:val="1"/>
      <w:marLeft w:val="0"/>
      <w:marRight w:val="0"/>
      <w:marTop w:val="0"/>
      <w:marBottom w:val="0"/>
      <w:divBdr>
        <w:top w:val="none" w:sz="0" w:space="0" w:color="auto"/>
        <w:left w:val="none" w:sz="0" w:space="0" w:color="auto"/>
        <w:bottom w:val="none" w:sz="0" w:space="0" w:color="auto"/>
        <w:right w:val="none" w:sz="0" w:space="0" w:color="auto"/>
      </w:divBdr>
    </w:div>
    <w:div w:id="1165048145">
      <w:bodyDiv w:val="1"/>
      <w:marLeft w:val="0"/>
      <w:marRight w:val="0"/>
      <w:marTop w:val="0"/>
      <w:marBottom w:val="0"/>
      <w:divBdr>
        <w:top w:val="none" w:sz="0" w:space="0" w:color="auto"/>
        <w:left w:val="none" w:sz="0" w:space="0" w:color="auto"/>
        <w:bottom w:val="none" w:sz="0" w:space="0" w:color="auto"/>
        <w:right w:val="none" w:sz="0" w:space="0" w:color="auto"/>
      </w:divBdr>
    </w:div>
    <w:div w:id="1167096672">
      <w:bodyDiv w:val="1"/>
      <w:marLeft w:val="0"/>
      <w:marRight w:val="0"/>
      <w:marTop w:val="0"/>
      <w:marBottom w:val="0"/>
      <w:divBdr>
        <w:top w:val="none" w:sz="0" w:space="0" w:color="auto"/>
        <w:left w:val="none" w:sz="0" w:space="0" w:color="auto"/>
        <w:bottom w:val="none" w:sz="0" w:space="0" w:color="auto"/>
        <w:right w:val="none" w:sz="0" w:space="0" w:color="auto"/>
      </w:divBdr>
    </w:div>
    <w:div w:id="1168256328">
      <w:bodyDiv w:val="1"/>
      <w:marLeft w:val="0"/>
      <w:marRight w:val="0"/>
      <w:marTop w:val="0"/>
      <w:marBottom w:val="0"/>
      <w:divBdr>
        <w:top w:val="none" w:sz="0" w:space="0" w:color="auto"/>
        <w:left w:val="none" w:sz="0" w:space="0" w:color="auto"/>
        <w:bottom w:val="none" w:sz="0" w:space="0" w:color="auto"/>
        <w:right w:val="none" w:sz="0" w:space="0" w:color="auto"/>
      </w:divBdr>
    </w:div>
    <w:div w:id="1204289658">
      <w:bodyDiv w:val="1"/>
      <w:marLeft w:val="0"/>
      <w:marRight w:val="0"/>
      <w:marTop w:val="0"/>
      <w:marBottom w:val="0"/>
      <w:divBdr>
        <w:top w:val="none" w:sz="0" w:space="0" w:color="auto"/>
        <w:left w:val="none" w:sz="0" w:space="0" w:color="auto"/>
        <w:bottom w:val="none" w:sz="0" w:space="0" w:color="auto"/>
        <w:right w:val="none" w:sz="0" w:space="0" w:color="auto"/>
      </w:divBdr>
    </w:div>
    <w:div w:id="1222129499">
      <w:bodyDiv w:val="1"/>
      <w:marLeft w:val="0"/>
      <w:marRight w:val="0"/>
      <w:marTop w:val="0"/>
      <w:marBottom w:val="0"/>
      <w:divBdr>
        <w:top w:val="none" w:sz="0" w:space="0" w:color="auto"/>
        <w:left w:val="none" w:sz="0" w:space="0" w:color="auto"/>
        <w:bottom w:val="none" w:sz="0" w:space="0" w:color="auto"/>
        <w:right w:val="none" w:sz="0" w:space="0" w:color="auto"/>
      </w:divBdr>
    </w:div>
    <w:div w:id="1241449433">
      <w:bodyDiv w:val="1"/>
      <w:marLeft w:val="0"/>
      <w:marRight w:val="0"/>
      <w:marTop w:val="0"/>
      <w:marBottom w:val="0"/>
      <w:divBdr>
        <w:top w:val="none" w:sz="0" w:space="0" w:color="auto"/>
        <w:left w:val="none" w:sz="0" w:space="0" w:color="auto"/>
        <w:bottom w:val="none" w:sz="0" w:space="0" w:color="auto"/>
        <w:right w:val="none" w:sz="0" w:space="0" w:color="auto"/>
      </w:divBdr>
    </w:div>
    <w:div w:id="1249846364">
      <w:bodyDiv w:val="1"/>
      <w:marLeft w:val="0"/>
      <w:marRight w:val="0"/>
      <w:marTop w:val="0"/>
      <w:marBottom w:val="0"/>
      <w:divBdr>
        <w:top w:val="none" w:sz="0" w:space="0" w:color="auto"/>
        <w:left w:val="none" w:sz="0" w:space="0" w:color="auto"/>
        <w:bottom w:val="none" w:sz="0" w:space="0" w:color="auto"/>
        <w:right w:val="none" w:sz="0" w:space="0" w:color="auto"/>
      </w:divBdr>
    </w:div>
    <w:div w:id="1279414890">
      <w:bodyDiv w:val="1"/>
      <w:marLeft w:val="0"/>
      <w:marRight w:val="0"/>
      <w:marTop w:val="0"/>
      <w:marBottom w:val="0"/>
      <w:divBdr>
        <w:top w:val="none" w:sz="0" w:space="0" w:color="auto"/>
        <w:left w:val="none" w:sz="0" w:space="0" w:color="auto"/>
        <w:bottom w:val="none" w:sz="0" w:space="0" w:color="auto"/>
        <w:right w:val="none" w:sz="0" w:space="0" w:color="auto"/>
      </w:divBdr>
    </w:div>
    <w:div w:id="1285116921">
      <w:bodyDiv w:val="1"/>
      <w:marLeft w:val="0"/>
      <w:marRight w:val="0"/>
      <w:marTop w:val="0"/>
      <w:marBottom w:val="0"/>
      <w:divBdr>
        <w:top w:val="none" w:sz="0" w:space="0" w:color="auto"/>
        <w:left w:val="none" w:sz="0" w:space="0" w:color="auto"/>
        <w:bottom w:val="none" w:sz="0" w:space="0" w:color="auto"/>
        <w:right w:val="none" w:sz="0" w:space="0" w:color="auto"/>
      </w:divBdr>
    </w:div>
    <w:div w:id="1289242561">
      <w:bodyDiv w:val="1"/>
      <w:marLeft w:val="0"/>
      <w:marRight w:val="0"/>
      <w:marTop w:val="0"/>
      <w:marBottom w:val="0"/>
      <w:divBdr>
        <w:top w:val="none" w:sz="0" w:space="0" w:color="auto"/>
        <w:left w:val="none" w:sz="0" w:space="0" w:color="auto"/>
        <w:bottom w:val="none" w:sz="0" w:space="0" w:color="auto"/>
        <w:right w:val="none" w:sz="0" w:space="0" w:color="auto"/>
      </w:divBdr>
    </w:div>
    <w:div w:id="1307590067">
      <w:bodyDiv w:val="1"/>
      <w:marLeft w:val="0"/>
      <w:marRight w:val="0"/>
      <w:marTop w:val="0"/>
      <w:marBottom w:val="0"/>
      <w:divBdr>
        <w:top w:val="none" w:sz="0" w:space="0" w:color="auto"/>
        <w:left w:val="none" w:sz="0" w:space="0" w:color="auto"/>
        <w:bottom w:val="none" w:sz="0" w:space="0" w:color="auto"/>
        <w:right w:val="none" w:sz="0" w:space="0" w:color="auto"/>
      </w:divBdr>
    </w:div>
    <w:div w:id="1310792963">
      <w:bodyDiv w:val="1"/>
      <w:marLeft w:val="0"/>
      <w:marRight w:val="0"/>
      <w:marTop w:val="0"/>
      <w:marBottom w:val="0"/>
      <w:divBdr>
        <w:top w:val="none" w:sz="0" w:space="0" w:color="auto"/>
        <w:left w:val="none" w:sz="0" w:space="0" w:color="auto"/>
        <w:bottom w:val="none" w:sz="0" w:space="0" w:color="auto"/>
        <w:right w:val="none" w:sz="0" w:space="0" w:color="auto"/>
      </w:divBdr>
    </w:div>
    <w:div w:id="1311473071">
      <w:bodyDiv w:val="1"/>
      <w:marLeft w:val="0"/>
      <w:marRight w:val="0"/>
      <w:marTop w:val="0"/>
      <w:marBottom w:val="0"/>
      <w:divBdr>
        <w:top w:val="none" w:sz="0" w:space="0" w:color="auto"/>
        <w:left w:val="none" w:sz="0" w:space="0" w:color="auto"/>
        <w:bottom w:val="none" w:sz="0" w:space="0" w:color="auto"/>
        <w:right w:val="none" w:sz="0" w:space="0" w:color="auto"/>
      </w:divBdr>
    </w:div>
    <w:div w:id="1317297975">
      <w:bodyDiv w:val="1"/>
      <w:marLeft w:val="0"/>
      <w:marRight w:val="0"/>
      <w:marTop w:val="0"/>
      <w:marBottom w:val="0"/>
      <w:divBdr>
        <w:top w:val="none" w:sz="0" w:space="0" w:color="auto"/>
        <w:left w:val="none" w:sz="0" w:space="0" w:color="auto"/>
        <w:bottom w:val="none" w:sz="0" w:space="0" w:color="auto"/>
        <w:right w:val="none" w:sz="0" w:space="0" w:color="auto"/>
      </w:divBdr>
    </w:div>
    <w:div w:id="1318922598">
      <w:bodyDiv w:val="1"/>
      <w:marLeft w:val="0"/>
      <w:marRight w:val="0"/>
      <w:marTop w:val="0"/>
      <w:marBottom w:val="0"/>
      <w:divBdr>
        <w:top w:val="none" w:sz="0" w:space="0" w:color="auto"/>
        <w:left w:val="none" w:sz="0" w:space="0" w:color="auto"/>
        <w:bottom w:val="none" w:sz="0" w:space="0" w:color="auto"/>
        <w:right w:val="none" w:sz="0" w:space="0" w:color="auto"/>
      </w:divBdr>
    </w:div>
    <w:div w:id="1361785005">
      <w:bodyDiv w:val="1"/>
      <w:marLeft w:val="0"/>
      <w:marRight w:val="0"/>
      <w:marTop w:val="0"/>
      <w:marBottom w:val="0"/>
      <w:divBdr>
        <w:top w:val="none" w:sz="0" w:space="0" w:color="auto"/>
        <w:left w:val="none" w:sz="0" w:space="0" w:color="auto"/>
        <w:bottom w:val="none" w:sz="0" w:space="0" w:color="auto"/>
        <w:right w:val="none" w:sz="0" w:space="0" w:color="auto"/>
      </w:divBdr>
    </w:div>
    <w:div w:id="1384252667">
      <w:bodyDiv w:val="1"/>
      <w:marLeft w:val="0"/>
      <w:marRight w:val="0"/>
      <w:marTop w:val="0"/>
      <w:marBottom w:val="0"/>
      <w:divBdr>
        <w:top w:val="none" w:sz="0" w:space="0" w:color="auto"/>
        <w:left w:val="none" w:sz="0" w:space="0" w:color="auto"/>
        <w:bottom w:val="none" w:sz="0" w:space="0" w:color="auto"/>
        <w:right w:val="none" w:sz="0" w:space="0" w:color="auto"/>
      </w:divBdr>
    </w:div>
    <w:div w:id="1390494486">
      <w:bodyDiv w:val="1"/>
      <w:marLeft w:val="0"/>
      <w:marRight w:val="0"/>
      <w:marTop w:val="0"/>
      <w:marBottom w:val="0"/>
      <w:divBdr>
        <w:top w:val="none" w:sz="0" w:space="0" w:color="auto"/>
        <w:left w:val="none" w:sz="0" w:space="0" w:color="auto"/>
        <w:bottom w:val="none" w:sz="0" w:space="0" w:color="auto"/>
        <w:right w:val="none" w:sz="0" w:space="0" w:color="auto"/>
      </w:divBdr>
    </w:div>
    <w:div w:id="1446071966">
      <w:bodyDiv w:val="1"/>
      <w:marLeft w:val="0"/>
      <w:marRight w:val="0"/>
      <w:marTop w:val="0"/>
      <w:marBottom w:val="0"/>
      <w:divBdr>
        <w:top w:val="none" w:sz="0" w:space="0" w:color="auto"/>
        <w:left w:val="none" w:sz="0" w:space="0" w:color="auto"/>
        <w:bottom w:val="none" w:sz="0" w:space="0" w:color="auto"/>
        <w:right w:val="none" w:sz="0" w:space="0" w:color="auto"/>
      </w:divBdr>
      <w:divsChild>
        <w:div w:id="300430739">
          <w:marLeft w:val="0"/>
          <w:marRight w:val="0"/>
          <w:marTop w:val="0"/>
          <w:marBottom w:val="0"/>
          <w:divBdr>
            <w:top w:val="none" w:sz="0" w:space="0" w:color="auto"/>
            <w:left w:val="none" w:sz="0" w:space="0" w:color="auto"/>
            <w:bottom w:val="none" w:sz="0" w:space="0" w:color="auto"/>
            <w:right w:val="none" w:sz="0" w:space="0" w:color="auto"/>
          </w:divBdr>
          <w:divsChild>
            <w:div w:id="1587306153">
              <w:marLeft w:val="0"/>
              <w:marRight w:val="0"/>
              <w:marTop w:val="0"/>
              <w:marBottom w:val="0"/>
              <w:divBdr>
                <w:top w:val="none" w:sz="0" w:space="0" w:color="auto"/>
                <w:left w:val="none" w:sz="0" w:space="0" w:color="auto"/>
                <w:bottom w:val="none" w:sz="0" w:space="0" w:color="auto"/>
                <w:right w:val="none" w:sz="0" w:space="0" w:color="auto"/>
              </w:divBdr>
              <w:divsChild>
                <w:div w:id="11619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651006">
      <w:bodyDiv w:val="1"/>
      <w:marLeft w:val="0"/>
      <w:marRight w:val="0"/>
      <w:marTop w:val="0"/>
      <w:marBottom w:val="0"/>
      <w:divBdr>
        <w:top w:val="none" w:sz="0" w:space="0" w:color="auto"/>
        <w:left w:val="none" w:sz="0" w:space="0" w:color="auto"/>
        <w:bottom w:val="none" w:sz="0" w:space="0" w:color="auto"/>
        <w:right w:val="none" w:sz="0" w:space="0" w:color="auto"/>
      </w:divBdr>
    </w:div>
    <w:div w:id="1468204264">
      <w:bodyDiv w:val="1"/>
      <w:marLeft w:val="0"/>
      <w:marRight w:val="0"/>
      <w:marTop w:val="0"/>
      <w:marBottom w:val="0"/>
      <w:divBdr>
        <w:top w:val="none" w:sz="0" w:space="0" w:color="auto"/>
        <w:left w:val="none" w:sz="0" w:space="0" w:color="auto"/>
        <w:bottom w:val="none" w:sz="0" w:space="0" w:color="auto"/>
        <w:right w:val="none" w:sz="0" w:space="0" w:color="auto"/>
      </w:divBdr>
    </w:div>
    <w:div w:id="1469785166">
      <w:bodyDiv w:val="1"/>
      <w:marLeft w:val="0"/>
      <w:marRight w:val="0"/>
      <w:marTop w:val="0"/>
      <w:marBottom w:val="0"/>
      <w:divBdr>
        <w:top w:val="none" w:sz="0" w:space="0" w:color="auto"/>
        <w:left w:val="none" w:sz="0" w:space="0" w:color="auto"/>
        <w:bottom w:val="none" w:sz="0" w:space="0" w:color="auto"/>
        <w:right w:val="none" w:sz="0" w:space="0" w:color="auto"/>
      </w:divBdr>
    </w:div>
    <w:div w:id="1475639741">
      <w:bodyDiv w:val="1"/>
      <w:marLeft w:val="0"/>
      <w:marRight w:val="0"/>
      <w:marTop w:val="0"/>
      <w:marBottom w:val="0"/>
      <w:divBdr>
        <w:top w:val="none" w:sz="0" w:space="0" w:color="auto"/>
        <w:left w:val="none" w:sz="0" w:space="0" w:color="auto"/>
        <w:bottom w:val="none" w:sz="0" w:space="0" w:color="auto"/>
        <w:right w:val="none" w:sz="0" w:space="0" w:color="auto"/>
      </w:divBdr>
    </w:div>
    <w:div w:id="1482498658">
      <w:bodyDiv w:val="1"/>
      <w:marLeft w:val="0"/>
      <w:marRight w:val="0"/>
      <w:marTop w:val="0"/>
      <w:marBottom w:val="0"/>
      <w:divBdr>
        <w:top w:val="none" w:sz="0" w:space="0" w:color="auto"/>
        <w:left w:val="none" w:sz="0" w:space="0" w:color="auto"/>
        <w:bottom w:val="none" w:sz="0" w:space="0" w:color="auto"/>
        <w:right w:val="none" w:sz="0" w:space="0" w:color="auto"/>
      </w:divBdr>
    </w:div>
    <w:div w:id="1500004986">
      <w:bodyDiv w:val="1"/>
      <w:marLeft w:val="0"/>
      <w:marRight w:val="0"/>
      <w:marTop w:val="0"/>
      <w:marBottom w:val="0"/>
      <w:divBdr>
        <w:top w:val="none" w:sz="0" w:space="0" w:color="auto"/>
        <w:left w:val="none" w:sz="0" w:space="0" w:color="auto"/>
        <w:bottom w:val="none" w:sz="0" w:space="0" w:color="auto"/>
        <w:right w:val="none" w:sz="0" w:space="0" w:color="auto"/>
      </w:divBdr>
    </w:div>
    <w:div w:id="1522204910">
      <w:bodyDiv w:val="1"/>
      <w:marLeft w:val="0"/>
      <w:marRight w:val="0"/>
      <w:marTop w:val="0"/>
      <w:marBottom w:val="0"/>
      <w:divBdr>
        <w:top w:val="none" w:sz="0" w:space="0" w:color="auto"/>
        <w:left w:val="none" w:sz="0" w:space="0" w:color="auto"/>
        <w:bottom w:val="none" w:sz="0" w:space="0" w:color="auto"/>
        <w:right w:val="none" w:sz="0" w:space="0" w:color="auto"/>
      </w:divBdr>
    </w:div>
    <w:div w:id="1536309358">
      <w:bodyDiv w:val="1"/>
      <w:marLeft w:val="0"/>
      <w:marRight w:val="0"/>
      <w:marTop w:val="0"/>
      <w:marBottom w:val="0"/>
      <w:divBdr>
        <w:top w:val="none" w:sz="0" w:space="0" w:color="auto"/>
        <w:left w:val="none" w:sz="0" w:space="0" w:color="auto"/>
        <w:bottom w:val="none" w:sz="0" w:space="0" w:color="auto"/>
        <w:right w:val="none" w:sz="0" w:space="0" w:color="auto"/>
      </w:divBdr>
    </w:div>
    <w:div w:id="1553341910">
      <w:bodyDiv w:val="1"/>
      <w:marLeft w:val="0"/>
      <w:marRight w:val="0"/>
      <w:marTop w:val="0"/>
      <w:marBottom w:val="0"/>
      <w:divBdr>
        <w:top w:val="none" w:sz="0" w:space="0" w:color="auto"/>
        <w:left w:val="none" w:sz="0" w:space="0" w:color="auto"/>
        <w:bottom w:val="none" w:sz="0" w:space="0" w:color="auto"/>
        <w:right w:val="none" w:sz="0" w:space="0" w:color="auto"/>
      </w:divBdr>
    </w:div>
    <w:div w:id="1565409991">
      <w:bodyDiv w:val="1"/>
      <w:marLeft w:val="0"/>
      <w:marRight w:val="0"/>
      <w:marTop w:val="0"/>
      <w:marBottom w:val="0"/>
      <w:divBdr>
        <w:top w:val="none" w:sz="0" w:space="0" w:color="auto"/>
        <w:left w:val="none" w:sz="0" w:space="0" w:color="auto"/>
        <w:bottom w:val="none" w:sz="0" w:space="0" w:color="auto"/>
        <w:right w:val="none" w:sz="0" w:space="0" w:color="auto"/>
      </w:divBdr>
    </w:div>
    <w:div w:id="1587416237">
      <w:bodyDiv w:val="1"/>
      <w:marLeft w:val="0"/>
      <w:marRight w:val="0"/>
      <w:marTop w:val="0"/>
      <w:marBottom w:val="0"/>
      <w:divBdr>
        <w:top w:val="none" w:sz="0" w:space="0" w:color="auto"/>
        <w:left w:val="none" w:sz="0" w:space="0" w:color="auto"/>
        <w:bottom w:val="none" w:sz="0" w:space="0" w:color="auto"/>
        <w:right w:val="none" w:sz="0" w:space="0" w:color="auto"/>
      </w:divBdr>
    </w:div>
    <w:div w:id="1621182380">
      <w:bodyDiv w:val="1"/>
      <w:marLeft w:val="0"/>
      <w:marRight w:val="0"/>
      <w:marTop w:val="0"/>
      <w:marBottom w:val="0"/>
      <w:divBdr>
        <w:top w:val="none" w:sz="0" w:space="0" w:color="auto"/>
        <w:left w:val="none" w:sz="0" w:space="0" w:color="auto"/>
        <w:bottom w:val="none" w:sz="0" w:space="0" w:color="auto"/>
        <w:right w:val="none" w:sz="0" w:space="0" w:color="auto"/>
      </w:divBdr>
    </w:div>
    <w:div w:id="1624921271">
      <w:bodyDiv w:val="1"/>
      <w:marLeft w:val="0"/>
      <w:marRight w:val="0"/>
      <w:marTop w:val="0"/>
      <w:marBottom w:val="0"/>
      <w:divBdr>
        <w:top w:val="none" w:sz="0" w:space="0" w:color="auto"/>
        <w:left w:val="none" w:sz="0" w:space="0" w:color="auto"/>
        <w:bottom w:val="none" w:sz="0" w:space="0" w:color="auto"/>
        <w:right w:val="none" w:sz="0" w:space="0" w:color="auto"/>
      </w:divBdr>
    </w:div>
    <w:div w:id="1628395616">
      <w:bodyDiv w:val="1"/>
      <w:marLeft w:val="0"/>
      <w:marRight w:val="0"/>
      <w:marTop w:val="0"/>
      <w:marBottom w:val="0"/>
      <w:divBdr>
        <w:top w:val="none" w:sz="0" w:space="0" w:color="auto"/>
        <w:left w:val="none" w:sz="0" w:space="0" w:color="auto"/>
        <w:bottom w:val="none" w:sz="0" w:space="0" w:color="auto"/>
        <w:right w:val="none" w:sz="0" w:space="0" w:color="auto"/>
      </w:divBdr>
    </w:div>
    <w:div w:id="1646272187">
      <w:bodyDiv w:val="1"/>
      <w:marLeft w:val="0"/>
      <w:marRight w:val="0"/>
      <w:marTop w:val="0"/>
      <w:marBottom w:val="0"/>
      <w:divBdr>
        <w:top w:val="none" w:sz="0" w:space="0" w:color="auto"/>
        <w:left w:val="none" w:sz="0" w:space="0" w:color="auto"/>
        <w:bottom w:val="none" w:sz="0" w:space="0" w:color="auto"/>
        <w:right w:val="none" w:sz="0" w:space="0" w:color="auto"/>
      </w:divBdr>
    </w:div>
    <w:div w:id="1651835110">
      <w:bodyDiv w:val="1"/>
      <w:marLeft w:val="0"/>
      <w:marRight w:val="0"/>
      <w:marTop w:val="0"/>
      <w:marBottom w:val="0"/>
      <w:divBdr>
        <w:top w:val="none" w:sz="0" w:space="0" w:color="auto"/>
        <w:left w:val="none" w:sz="0" w:space="0" w:color="auto"/>
        <w:bottom w:val="none" w:sz="0" w:space="0" w:color="auto"/>
        <w:right w:val="none" w:sz="0" w:space="0" w:color="auto"/>
      </w:divBdr>
    </w:div>
    <w:div w:id="1666205918">
      <w:bodyDiv w:val="1"/>
      <w:marLeft w:val="0"/>
      <w:marRight w:val="0"/>
      <w:marTop w:val="0"/>
      <w:marBottom w:val="0"/>
      <w:divBdr>
        <w:top w:val="none" w:sz="0" w:space="0" w:color="auto"/>
        <w:left w:val="none" w:sz="0" w:space="0" w:color="auto"/>
        <w:bottom w:val="none" w:sz="0" w:space="0" w:color="auto"/>
        <w:right w:val="none" w:sz="0" w:space="0" w:color="auto"/>
      </w:divBdr>
    </w:div>
    <w:div w:id="1682782027">
      <w:bodyDiv w:val="1"/>
      <w:marLeft w:val="0"/>
      <w:marRight w:val="0"/>
      <w:marTop w:val="0"/>
      <w:marBottom w:val="0"/>
      <w:divBdr>
        <w:top w:val="none" w:sz="0" w:space="0" w:color="auto"/>
        <w:left w:val="none" w:sz="0" w:space="0" w:color="auto"/>
        <w:bottom w:val="none" w:sz="0" w:space="0" w:color="auto"/>
        <w:right w:val="none" w:sz="0" w:space="0" w:color="auto"/>
      </w:divBdr>
    </w:div>
    <w:div w:id="1687632895">
      <w:bodyDiv w:val="1"/>
      <w:marLeft w:val="0"/>
      <w:marRight w:val="0"/>
      <w:marTop w:val="0"/>
      <w:marBottom w:val="0"/>
      <w:divBdr>
        <w:top w:val="none" w:sz="0" w:space="0" w:color="auto"/>
        <w:left w:val="none" w:sz="0" w:space="0" w:color="auto"/>
        <w:bottom w:val="none" w:sz="0" w:space="0" w:color="auto"/>
        <w:right w:val="none" w:sz="0" w:space="0" w:color="auto"/>
      </w:divBdr>
    </w:div>
    <w:div w:id="1717847331">
      <w:bodyDiv w:val="1"/>
      <w:marLeft w:val="0"/>
      <w:marRight w:val="0"/>
      <w:marTop w:val="0"/>
      <w:marBottom w:val="0"/>
      <w:divBdr>
        <w:top w:val="none" w:sz="0" w:space="0" w:color="auto"/>
        <w:left w:val="none" w:sz="0" w:space="0" w:color="auto"/>
        <w:bottom w:val="none" w:sz="0" w:space="0" w:color="auto"/>
        <w:right w:val="none" w:sz="0" w:space="0" w:color="auto"/>
      </w:divBdr>
    </w:div>
    <w:div w:id="1732386005">
      <w:bodyDiv w:val="1"/>
      <w:marLeft w:val="0"/>
      <w:marRight w:val="0"/>
      <w:marTop w:val="0"/>
      <w:marBottom w:val="0"/>
      <w:divBdr>
        <w:top w:val="none" w:sz="0" w:space="0" w:color="auto"/>
        <w:left w:val="none" w:sz="0" w:space="0" w:color="auto"/>
        <w:bottom w:val="none" w:sz="0" w:space="0" w:color="auto"/>
        <w:right w:val="none" w:sz="0" w:space="0" w:color="auto"/>
      </w:divBdr>
    </w:div>
    <w:div w:id="1738280359">
      <w:bodyDiv w:val="1"/>
      <w:marLeft w:val="0"/>
      <w:marRight w:val="0"/>
      <w:marTop w:val="0"/>
      <w:marBottom w:val="0"/>
      <w:divBdr>
        <w:top w:val="none" w:sz="0" w:space="0" w:color="auto"/>
        <w:left w:val="none" w:sz="0" w:space="0" w:color="auto"/>
        <w:bottom w:val="none" w:sz="0" w:space="0" w:color="auto"/>
        <w:right w:val="none" w:sz="0" w:space="0" w:color="auto"/>
      </w:divBdr>
    </w:div>
    <w:div w:id="1761875552">
      <w:bodyDiv w:val="1"/>
      <w:marLeft w:val="0"/>
      <w:marRight w:val="0"/>
      <w:marTop w:val="0"/>
      <w:marBottom w:val="0"/>
      <w:divBdr>
        <w:top w:val="none" w:sz="0" w:space="0" w:color="auto"/>
        <w:left w:val="none" w:sz="0" w:space="0" w:color="auto"/>
        <w:bottom w:val="none" w:sz="0" w:space="0" w:color="auto"/>
        <w:right w:val="none" w:sz="0" w:space="0" w:color="auto"/>
      </w:divBdr>
    </w:div>
    <w:div w:id="1792701962">
      <w:bodyDiv w:val="1"/>
      <w:marLeft w:val="0"/>
      <w:marRight w:val="0"/>
      <w:marTop w:val="0"/>
      <w:marBottom w:val="0"/>
      <w:divBdr>
        <w:top w:val="none" w:sz="0" w:space="0" w:color="auto"/>
        <w:left w:val="none" w:sz="0" w:space="0" w:color="auto"/>
        <w:bottom w:val="none" w:sz="0" w:space="0" w:color="auto"/>
        <w:right w:val="none" w:sz="0" w:space="0" w:color="auto"/>
      </w:divBdr>
    </w:div>
    <w:div w:id="1797480090">
      <w:bodyDiv w:val="1"/>
      <w:marLeft w:val="0"/>
      <w:marRight w:val="0"/>
      <w:marTop w:val="0"/>
      <w:marBottom w:val="0"/>
      <w:divBdr>
        <w:top w:val="none" w:sz="0" w:space="0" w:color="auto"/>
        <w:left w:val="none" w:sz="0" w:space="0" w:color="auto"/>
        <w:bottom w:val="none" w:sz="0" w:space="0" w:color="auto"/>
        <w:right w:val="none" w:sz="0" w:space="0" w:color="auto"/>
      </w:divBdr>
    </w:div>
    <w:div w:id="1810199496">
      <w:bodyDiv w:val="1"/>
      <w:marLeft w:val="0"/>
      <w:marRight w:val="0"/>
      <w:marTop w:val="0"/>
      <w:marBottom w:val="0"/>
      <w:divBdr>
        <w:top w:val="none" w:sz="0" w:space="0" w:color="auto"/>
        <w:left w:val="none" w:sz="0" w:space="0" w:color="auto"/>
        <w:bottom w:val="none" w:sz="0" w:space="0" w:color="auto"/>
        <w:right w:val="none" w:sz="0" w:space="0" w:color="auto"/>
      </w:divBdr>
    </w:div>
    <w:div w:id="1842889442">
      <w:bodyDiv w:val="1"/>
      <w:marLeft w:val="0"/>
      <w:marRight w:val="0"/>
      <w:marTop w:val="0"/>
      <w:marBottom w:val="0"/>
      <w:divBdr>
        <w:top w:val="none" w:sz="0" w:space="0" w:color="auto"/>
        <w:left w:val="none" w:sz="0" w:space="0" w:color="auto"/>
        <w:bottom w:val="none" w:sz="0" w:space="0" w:color="auto"/>
        <w:right w:val="none" w:sz="0" w:space="0" w:color="auto"/>
      </w:divBdr>
      <w:divsChild>
        <w:div w:id="1713188963">
          <w:marLeft w:val="0"/>
          <w:marRight w:val="0"/>
          <w:marTop w:val="225"/>
          <w:marBottom w:val="225"/>
          <w:divBdr>
            <w:top w:val="none" w:sz="0" w:space="0" w:color="auto"/>
            <w:left w:val="none" w:sz="0" w:space="0" w:color="auto"/>
            <w:bottom w:val="none" w:sz="0" w:space="0" w:color="auto"/>
            <w:right w:val="none" w:sz="0" w:space="0" w:color="auto"/>
          </w:divBdr>
          <w:divsChild>
            <w:div w:id="46242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545815">
      <w:bodyDiv w:val="1"/>
      <w:marLeft w:val="0"/>
      <w:marRight w:val="0"/>
      <w:marTop w:val="0"/>
      <w:marBottom w:val="0"/>
      <w:divBdr>
        <w:top w:val="none" w:sz="0" w:space="0" w:color="auto"/>
        <w:left w:val="none" w:sz="0" w:space="0" w:color="auto"/>
        <w:bottom w:val="none" w:sz="0" w:space="0" w:color="auto"/>
        <w:right w:val="none" w:sz="0" w:space="0" w:color="auto"/>
      </w:divBdr>
    </w:div>
    <w:div w:id="1845707485">
      <w:bodyDiv w:val="1"/>
      <w:marLeft w:val="0"/>
      <w:marRight w:val="0"/>
      <w:marTop w:val="0"/>
      <w:marBottom w:val="0"/>
      <w:divBdr>
        <w:top w:val="none" w:sz="0" w:space="0" w:color="auto"/>
        <w:left w:val="none" w:sz="0" w:space="0" w:color="auto"/>
        <w:bottom w:val="none" w:sz="0" w:space="0" w:color="auto"/>
        <w:right w:val="none" w:sz="0" w:space="0" w:color="auto"/>
      </w:divBdr>
    </w:div>
    <w:div w:id="1867131859">
      <w:bodyDiv w:val="1"/>
      <w:marLeft w:val="0"/>
      <w:marRight w:val="0"/>
      <w:marTop w:val="0"/>
      <w:marBottom w:val="0"/>
      <w:divBdr>
        <w:top w:val="none" w:sz="0" w:space="0" w:color="auto"/>
        <w:left w:val="none" w:sz="0" w:space="0" w:color="auto"/>
        <w:bottom w:val="none" w:sz="0" w:space="0" w:color="auto"/>
        <w:right w:val="none" w:sz="0" w:space="0" w:color="auto"/>
      </w:divBdr>
    </w:div>
    <w:div w:id="1869180796">
      <w:bodyDiv w:val="1"/>
      <w:marLeft w:val="0"/>
      <w:marRight w:val="0"/>
      <w:marTop w:val="0"/>
      <w:marBottom w:val="0"/>
      <w:divBdr>
        <w:top w:val="none" w:sz="0" w:space="0" w:color="auto"/>
        <w:left w:val="none" w:sz="0" w:space="0" w:color="auto"/>
        <w:bottom w:val="none" w:sz="0" w:space="0" w:color="auto"/>
        <w:right w:val="none" w:sz="0" w:space="0" w:color="auto"/>
      </w:divBdr>
    </w:div>
    <w:div w:id="1881816395">
      <w:bodyDiv w:val="1"/>
      <w:marLeft w:val="0"/>
      <w:marRight w:val="0"/>
      <w:marTop w:val="0"/>
      <w:marBottom w:val="0"/>
      <w:divBdr>
        <w:top w:val="none" w:sz="0" w:space="0" w:color="auto"/>
        <w:left w:val="none" w:sz="0" w:space="0" w:color="auto"/>
        <w:bottom w:val="none" w:sz="0" w:space="0" w:color="auto"/>
        <w:right w:val="none" w:sz="0" w:space="0" w:color="auto"/>
      </w:divBdr>
    </w:div>
    <w:div w:id="1889605762">
      <w:bodyDiv w:val="1"/>
      <w:marLeft w:val="0"/>
      <w:marRight w:val="0"/>
      <w:marTop w:val="0"/>
      <w:marBottom w:val="0"/>
      <w:divBdr>
        <w:top w:val="none" w:sz="0" w:space="0" w:color="auto"/>
        <w:left w:val="none" w:sz="0" w:space="0" w:color="auto"/>
        <w:bottom w:val="none" w:sz="0" w:space="0" w:color="auto"/>
        <w:right w:val="none" w:sz="0" w:space="0" w:color="auto"/>
      </w:divBdr>
    </w:div>
    <w:div w:id="1896354094">
      <w:bodyDiv w:val="1"/>
      <w:marLeft w:val="0"/>
      <w:marRight w:val="0"/>
      <w:marTop w:val="0"/>
      <w:marBottom w:val="0"/>
      <w:divBdr>
        <w:top w:val="none" w:sz="0" w:space="0" w:color="auto"/>
        <w:left w:val="none" w:sz="0" w:space="0" w:color="auto"/>
        <w:bottom w:val="none" w:sz="0" w:space="0" w:color="auto"/>
        <w:right w:val="none" w:sz="0" w:space="0" w:color="auto"/>
      </w:divBdr>
    </w:div>
    <w:div w:id="1896818990">
      <w:bodyDiv w:val="1"/>
      <w:marLeft w:val="0"/>
      <w:marRight w:val="0"/>
      <w:marTop w:val="0"/>
      <w:marBottom w:val="0"/>
      <w:divBdr>
        <w:top w:val="none" w:sz="0" w:space="0" w:color="auto"/>
        <w:left w:val="none" w:sz="0" w:space="0" w:color="auto"/>
        <w:bottom w:val="none" w:sz="0" w:space="0" w:color="auto"/>
        <w:right w:val="none" w:sz="0" w:space="0" w:color="auto"/>
      </w:divBdr>
    </w:div>
    <w:div w:id="1898394076">
      <w:bodyDiv w:val="1"/>
      <w:marLeft w:val="0"/>
      <w:marRight w:val="0"/>
      <w:marTop w:val="0"/>
      <w:marBottom w:val="0"/>
      <w:divBdr>
        <w:top w:val="none" w:sz="0" w:space="0" w:color="auto"/>
        <w:left w:val="none" w:sz="0" w:space="0" w:color="auto"/>
        <w:bottom w:val="none" w:sz="0" w:space="0" w:color="auto"/>
        <w:right w:val="none" w:sz="0" w:space="0" w:color="auto"/>
      </w:divBdr>
    </w:div>
    <w:div w:id="1917322952">
      <w:bodyDiv w:val="1"/>
      <w:marLeft w:val="0"/>
      <w:marRight w:val="0"/>
      <w:marTop w:val="0"/>
      <w:marBottom w:val="0"/>
      <w:divBdr>
        <w:top w:val="none" w:sz="0" w:space="0" w:color="auto"/>
        <w:left w:val="none" w:sz="0" w:space="0" w:color="auto"/>
        <w:bottom w:val="none" w:sz="0" w:space="0" w:color="auto"/>
        <w:right w:val="none" w:sz="0" w:space="0" w:color="auto"/>
      </w:divBdr>
    </w:div>
    <w:div w:id="1918399660">
      <w:bodyDiv w:val="1"/>
      <w:marLeft w:val="0"/>
      <w:marRight w:val="0"/>
      <w:marTop w:val="0"/>
      <w:marBottom w:val="0"/>
      <w:divBdr>
        <w:top w:val="none" w:sz="0" w:space="0" w:color="auto"/>
        <w:left w:val="none" w:sz="0" w:space="0" w:color="auto"/>
        <w:bottom w:val="none" w:sz="0" w:space="0" w:color="auto"/>
        <w:right w:val="none" w:sz="0" w:space="0" w:color="auto"/>
      </w:divBdr>
    </w:div>
    <w:div w:id="1929075939">
      <w:bodyDiv w:val="1"/>
      <w:marLeft w:val="0"/>
      <w:marRight w:val="0"/>
      <w:marTop w:val="0"/>
      <w:marBottom w:val="0"/>
      <w:divBdr>
        <w:top w:val="none" w:sz="0" w:space="0" w:color="auto"/>
        <w:left w:val="none" w:sz="0" w:space="0" w:color="auto"/>
        <w:bottom w:val="none" w:sz="0" w:space="0" w:color="auto"/>
        <w:right w:val="none" w:sz="0" w:space="0" w:color="auto"/>
      </w:divBdr>
    </w:div>
    <w:div w:id="1930309912">
      <w:bodyDiv w:val="1"/>
      <w:marLeft w:val="0"/>
      <w:marRight w:val="0"/>
      <w:marTop w:val="0"/>
      <w:marBottom w:val="0"/>
      <w:divBdr>
        <w:top w:val="none" w:sz="0" w:space="0" w:color="auto"/>
        <w:left w:val="none" w:sz="0" w:space="0" w:color="auto"/>
        <w:bottom w:val="none" w:sz="0" w:space="0" w:color="auto"/>
        <w:right w:val="none" w:sz="0" w:space="0" w:color="auto"/>
      </w:divBdr>
    </w:div>
    <w:div w:id="1938100540">
      <w:bodyDiv w:val="1"/>
      <w:marLeft w:val="0"/>
      <w:marRight w:val="0"/>
      <w:marTop w:val="0"/>
      <w:marBottom w:val="0"/>
      <w:divBdr>
        <w:top w:val="none" w:sz="0" w:space="0" w:color="auto"/>
        <w:left w:val="none" w:sz="0" w:space="0" w:color="auto"/>
        <w:bottom w:val="none" w:sz="0" w:space="0" w:color="auto"/>
        <w:right w:val="none" w:sz="0" w:space="0" w:color="auto"/>
      </w:divBdr>
    </w:div>
    <w:div w:id="1952740780">
      <w:bodyDiv w:val="1"/>
      <w:marLeft w:val="0"/>
      <w:marRight w:val="0"/>
      <w:marTop w:val="0"/>
      <w:marBottom w:val="0"/>
      <w:divBdr>
        <w:top w:val="none" w:sz="0" w:space="0" w:color="auto"/>
        <w:left w:val="none" w:sz="0" w:space="0" w:color="auto"/>
        <w:bottom w:val="none" w:sz="0" w:space="0" w:color="auto"/>
        <w:right w:val="none" w:sz="0" w:space="0" w:color="auto"/>
      </w:divBdr>
    </w:div>
    <w:div w:id="1980918359">
      <w:bodyDiv w:val="1"/>
      <w:marLeft w:val="0"/>
      <w:marRight w:val="0"/>
      <w:marTop w:val="0"/>
      <w:marBottom w:val="0"/>
      <w:divBdr>
        <w:top w:val="none" w:sz="0" w:space="0" w:color="auto"/>
        <w:left w:val="none" w:sz="0" w:space="0" w:color="auto"/>
        <w:bottom w:val="none" w:sz="0" w:space="0" w:color="auto"/>
        <w:right w:val="none" w:sz="0" w:space="0" w:color="auto"/>
      </w:divBdr>
    </w:div>
    <w:div w:id="1986931029">
      <w:bodyDiv w:val="1"/>
      <w:marLeft w:val="0"/>
      <w:marRight w:val="0"/>
      <w:marTop w:val="0"/>
      <w:marBottom w:val="0"/>
      <w:divBdr>
        <w:top w:val="none" w:sz="0" w:space="0" w:color="auto"/>
        <w:left w:val="none" w:sz="0" w:space="0" w:color="auto"/>
        <w:bottom w:val="none" w:sz="0" w:space="0" w:color="auto"/>
        <w:right w:val="none" w:sz="0" w:space="0" w:color="auto"/>
      </w:divBdr>
    </w:div>
    <w:div w:id="1994871416">
      <w:bodyDiv w:val="1"/>
      <w:marLeft w:val="0"/>
      <w:marRight w:val="0"/>
      <w:marTop w:val="0"/>
      <w:marBottom w:val="0"/>
      <w:divBdr>
        <w:top w:val="none" w:sz="0" w:space="0" w:color="auto"/>
        <w:left w:val="none" w:sz="0" w:space="0" w:color="auto"/>
        <w:bottom w:val="none" w:sz="0" w:space="0" w:color="auto"/>
        <w:right w:val="none" w:sz="0" w:space="0" w:color="auto"/>
      </w:divBdr>
    </w:div>
    <w:div w:id="2005428962">
      <w:bodyDiv w:val="1"/>
      <w:marLeft w:val="0"/>
      <w:marRight w:val="0"/>
      <w:marTop w:val="0"/>
      <w:marBottom w:val="0"/>
      <w:divBdr>
        <w:top w:val="none" w:sz="0" w:space="0" w:color="auto"/>
        <w:left w:val="none" w:sz="0" w:space="0" w:color="auto"/>
        <w:bottom w:val="none" w:sz="0" w:space="0" w:color="auto"/>
        <w:right w:val="none" w:sz="0" w:space="0" w:color="auto"/>
      </w:divBdr>
    </w:div>
    <w:div w:id="2050063541">
      <w:bodyDiv w:val="1"/>
      <w:marLeft w:val="0"/>
      <w:marRight w:val="0"/>
      <w:marTop w:val="0"/>
      <w:marBottom w:val="0"/>
      <w:divBdr>
        <w:top w:val="none" w:sz="0" w:space="0" w:color="auto"/>
        <w:left w:val="none" w:sz="0" w:space="0" w:color="auto"/>
        <w:bottom w:val="none" w:sz="0" w:space="0" w:color="auto"/>
        <w:right w:val="none" w:sz="0" w:space="0" w:color="auto"/>
      </w:divBdr>
    </w:div>
    <w:div w:id="2050718803">
      <w:bodyDiv w:val="1"/>
      <w:marLeft w:val="0"/>
      <w:marRight w:val="0"/>
      <w:marTop w:val="0"/>
      <w:marBottom w:val="0"/>
      <w:divBdr>
        <w:top w:val="none" w:sz="0" w:space="0" w:color="auto"/>
        <w:left w:val="none" w:sz="0" w:space="0" w:color="auto"/>
        <w:bottom w:val="none" w:sz="0" w:space="0" w:color="auto"/>
        <w:right w:val="none" w:sz="0" w:space="0" w:color="auto"/>
      </w:divBdr>
    </w:div>
    <w:div w:id="2074426243">
      <w:bodyDiv w:val="1"/>
      <w:marLeft w:val="0"/>
      <w:marRight w:val="0"/>
      <w:marTop w:val="0"/>
      <w:marBottom w:val="0"/>
      <w:divBdr>
        <w:top w:val="none" w:sz="0" w:space="0" w:color="auto"/>
        <w:left w:val="none" w:sz="0" w:space="0" w:color="auto"/>
        <w:bottom w:val="none" w:sz="0" w:space="0" w:color="auto"/>
        <w:right w:val="none" w:sz="0" w:space="0" w:color="auto"/>
      </w:divBdr>
    </w:div>
    <w:div w:id="2103799059">
      <w:bodyDiv w:val="1"/>
      <w:marLeft w:val="0"/>
      <w:marRight w:val="0"/>
      <w:marTop w:val="0"/>
      <w:marBottom w:val="0"/>
      <w:divBdr>
        <w:top w:val="none" w:sz="0" w:space="0" w:color="auto"/>
        <w:left w:val="none" w:sz="0" w:space="0" w:color="auto"/>
        <w:bottom w:val="none" w:sz="0" w:space="0" w:color="auto"/>
        <w:right w:val="none" w:sz="0" w:space="0" w:color="auto"/>
      </w:divBdr>
    </w:div>
    <w:div w:id="2112043414">
      <w:bodyDiv w:val="1"/>
      <w:marLeft w:val="0"/>
      <w:marRight w:val="0"/>
      <w:marTop w:val="0"/>
      <w:marBottom w:val="0"/>
      <w:divBdr>
        <w:top w:val="none" w:sz="0" w:space="0" w:color="auto"/>
        <w:left w:val="none" w:sz="0" w:space="0" w:color="auto"/>
        <w:bottom w:val="none" w:sz="0" w:space="0" w:color="auto"/>
        <w:right w:val="none" w:sz="0" w:space="0" w:color="auto"/>
      </w:divBdr>
    </w:div>
    <w:div w:id="211971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F04A4CA-CBAB-409A-804D-44A1996FE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1542</Words>
  <Characters>8487</Characters>
  <Application>Microsoft Office Word</Application>
  <DocSecurity>0</DocSecurity>
  <Lines>70</Lines>
  <Paragraphs>20</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
      <vt:lpstr/>
      <vt:lpstr/>
      <vt:lpstr/>
    </vt:vector>
  </TitlesOfParts>
  <Company/>
  <LinksUpToDate>false</LinksUpToDate>
  <CharactersWithSpaces>10009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Julio Rojo Sanchis</cp:lastModifiedBy>
  <cp:revision>24</cp:revision>
  <cp:lastPrinted>2019-10-18T14:10:00Z</cp:lastPrinted>
  <dcterms:created xsi:type="dcterms:W3CDTF">2020-05-14T18:35:00Z</dcterms:created>
  <dcterms:modified xsi:type="dcterms:W3CDTF">2020-06-05T15:35:00Z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http://www.zotero.org/styles/apa-single-spaced</vt:lpwstr>
  </property>
  <property fmtid="{D5CDD505-2E9C-101B-9397-08002B2CF9AE}" pid="5" name="Mendeley Recent Style Name 1_1">
    <vt:lpwstr>American Psychological Association 6th edition (single-spaced bibliography)</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http://www.zotero.org/styles/jama</vt:lpwstr>
  </property>
  <property fmtid="{D5CDD505-2E9C-101B-9397-08002B2CF9AE}" pid="9" name="Mendeley Recent Style Name 3_1">
    <vt:lpwstr>JAMA (The Journal of the American Medical Association)</vt:lpwstr>
  </property>
  <property fmtid="{D5CDD505-2E9C-101B-9397-08002B2CF9AE}" pid="10" name="Mendeley Recent Style Id 4_1">
    <vt:lpwstr>http://www.zotero.org/styles/harvard-kings-college-london</vt:lpwstr>
  </property>
  <property fmtid="{D5CDD505-2E9C-101B-9397-08002B2CF9AE}" pid="11" name="Mendeley Recent Style Name 4_1">
    <vt:lpwstr>King's College London - Harvard</vt:lpwstr>
  </property>
  <property fmtid="{D5CDD505-2E9C-101B-9397-08002B2CF9AE}" pid="12" name="Mendeley Recent Style Id 5_1">
    <vt:lpwstr>http://www.zotero.org/styles/national-library-of-medicine</vt:lpwstr>
  </property>
  <property fmtid="{D5CDD505-2E9C-101B-9397-08002B2CF9AE}" pid="13" name="Mendeley Recent Style Name 5_1">
    <vt:lpwstr>National Library of Medicine</vt:lpwstr>
  </property>
  <property fmtid="{D5CDD505-2E9C-101B-9397-08002B2CF9AE}" pid="14" name="Mendeley Recent Style Id 6_1">
    <vt:lpwstr>http://www.zotero.org/styles/springer-basic-author-date</vt:lpwstr>
  </property>
  <property fmtid="{D5CDD505-2E9C-101B-9397-08002B2CF9AE}" pid="15" name="Mendeley Recent Style Name 6_1">
    <vt:lpwstr>Springer - Basic (author-date)</vt:lpwstr>
  </property>
  <property fmtid="{D5CDD505-2E9C-101B-9397-08002B2CF9AE}" pid="16" name="Mendeley Recent Style Id 7_1">
    <vt:lpwstr>http://www.zotero.org/styles/springer-vancouver-brackets</vt:lpwstr>
  </property>
  <property fmtid="{D5CDD505-2E9C-101B-9397-08002B2CF9AE}" pid="17" name="Mendeley Recent Style Name 7_1">
    <vt:lpwstr>Springer - Vancouver (brackets)</vt:lpwstr>
  </property>
  <property fmtid="{D5CDD505-2E9C-101B-9397-08002B2CF9AE}" pid="18" name="Mendeley Recent Style Id 8_1">
    <vt:lpwstr>http://www.zotero.org/styles/taylor-and-francis-national-library-of-medicine</vt:lpwstr>
  </property>
  <property fmtid="{D5CDD505-2E9C-101B-9397-08002B2CF9AE}" pid="19" name="Mendeley Recent Style Name 8_1">
    <vt:lpwstr>Taylor &amp; Francis - National Library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3ca9e88a-cf3a-3b11-8ed3-ce81abf5014e</vt:lpwstr>
  </property>
  <property fmtid="{D5CDD505-2E9C-101B-9397-08002B2CF9AE}" pid="24" name="Mendeley Citation Style_1">
    <vt:lpwstr>http://www.zotero.org/styles/springer-basic-author-date</vt:lpwstr>
  </property>
</Properties>
</file>