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EAA" w:rsidRDefault="004C3EAA" w:rsidP="004C3EAA">
      <w:pPr>
        <w:spacing w:line="360" w:lineRule="auto"/>
        <w:rPr>
          <w:rFonts w:ascii="Times New Roman" w:hAnsi="Times New Roman" w:cs="Arial"/>
          <w:sz w:val="22"/>
          <w:szCs w:val="16"/>
        </w:rPr>
      </w:pPr>
      <w:r w:rsidRPr="00366D30">
        <w:rPr>
          <w:rFonts w:ascii="Times New Roman" w:hAnsi="Times New Roman" w:cs="Arial"/>
          <w:b/>
          <w:bCs/>
          <w:sz w:val="22"/>
          <w:szCs w:val="16"/>
        </w:rPr>
        <w:t xml:space="preserve">Supplementary Table </w:t>
      </w:r>
      <w:r w:rsidR="00373677" w:rsidRPr="00366D30">
        <w:rPr>
          <w:rFonts w:ascii="Times New Roman" w:hAnsi="Times New Roman" w:cs="Arial"/>
          <w:b/>
          <w:bCs/>
          <w:sz w:val="22"/>
          <w:szCs w:val="16"/>
        </w:rPr>
        <w:t>1</w:t>
      </w:r>
      <w:r w:rsidRPr="00366D30">
        <w:rPr>
          <w:rFonts w:ascii="Times New Roman" w:hAnsi="Times New Roman" w:cs="Arial"/>
          <w:b/>
          <w:bCs/>
          <w:sz w:val="22"/>
          <w:szCs w:val="16"/>
        </w:rPr>
        <w:t xml:space="preserve">: </w:t>
      </w:r>
      <w:r w:rsidRPr="00366D30">
        <w:rPr>
          <w:rFonts w:ascii="Times New Roman" w:hAnsi="Times New Roman" w:cs="Arial"/>
          <w:sz w:val="22"/>
          <w:szCs w:val="16"/>
        </w:rPr>
        <w:t xml:space="preserve">Characteristics of </w:t>
      </w:r>
      <w:r w:rsidR="00366D30">
        <w:rPr>
          <w:rFonts w:ascii="Times New Roman" w:hAnsi="Times New Roman" w:cs="Arial"/>
          <w:sz w:val="22"/>
          <w:szCs w:val="16"/>
        </w:rPr>
        <w:t>clinical studies</w:t>
      </w:r>
      <w:r w:rsidRPr="00366D30">
        <w:rPr>
          <w:rFonts w:ascii="Times New Roman" w:hAnsi="Times New Roman" w:cs="Arial"/>
          <w:sz w:val="22"/>
          <w:szCs w:val="16"/>
        </w:rPr>
        <w:t xml:space="preserve"> included in the meta-analysis</w:t>
      </w:r>
    </w:p>
    <w:tbl>
      <w:tblPr>
        <w:tblW w:w="5433" w:type="pct"/>
        <w:tblInd w:w="-284" w:type="dxa"/>
        <w:tblLayout w:type="fixed"/>
        <w:tblLook w:val="04A0" w:firstRow="1" w:lastRow="0" w:firstColumn="1" w:lastColumn="0" w:noHBand="0" w:noVBand="1"/>
      </w:tblPr>
      <w:tblGrid>
        <w:gridCol w:w="806"/>
        <w:gridCol w:w="1097"/>
        <w:gridCol w:w="1074"/>
        <w:gridCol w:w="1417"/>
        <w:gridCol w:w="940"/>
        <w:gridCol w:w="798"/>
        <w:gridCol w:w="1286"/>
        <w:gridCol w:w="968"/>
        <w:gridCol w:w="968"/>
        <w:gridCol w:w="919"/>
        <w:gridCol w:w="968"/>
        <w:gridCol w:w="968"/>
        <w:gridCol w:w="968"/>
        <w:gridCol w:w="968"/>
        <w:gridCol w:w="1022"/>
      </w:tblGrid>
      <w:tr w:rsidR="00FC6297" w:rsidRPr="002E21C6" w:rsidTr="00FC6297">
        <w:trPr>
          <w:trHeight w:val="580"/>
        </w:trPr>
        <w:tc>
          <w:tcPr>
            <w:tcW w:w="26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First author</w:t>
            </w:r>
          </w:p>
        </w:tc>
        <w:tc>
          <w:tcPr>
            <w:tcW w:w="362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Publication year</w:t>
            </w:r>
          </w:p>
        </w:tc>
        <w:tc>
          <w:tcPr>
            <w:tcW w:w="35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Drug</w:t>
            </w:r>
          </w:p>
        </w:tc>
        <w:tc>
          <w:tcPr>
            <w:tcW w:w="46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Clinical trial identifier (name)</w:t>
            </w:r>
          </w:p>
        </w:tc>
        <w:tc>
          <w:tcPr>
            <w:tcW w:w="31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Total Num with HF-T2DM</w:t>
            </w:r>
          </w:p>
        </w:tc>
        <w:tc>
          <w:tcPr>
            <w:tcW w:w="26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HF statues</w:t>
            </w:r>
          </w:p>
        </w:tc>
        <w:tc>
          <w:tcPr>
            <w:tcW w:w="42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Interventions (Num)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CVD/HHF</w:t>
            </w:r>
          </w:p>
        </w:tc>
        <w:tc>
          <w:tcPr>
            <w:tcW w:w="6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HHF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CVD</w:t>
            </w:r>
          </w:p>
        </w:tc>
        <w:tc>
          <w:tcPr>
            <w:tcW w:w="65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ACM</w:t>
            </w:r>
          </w:p>
        </w:tc>
      </w:tr>
      <w:tr w:rsidR="00FC6297" w:rsidRPr="002E21C6" w:rsidTr="00FC6297">
        <w:trPr>
          <w:trHeight w:val="920"/>
        </w:trPr>
        <w:tc>
          <w:tcPr>
            <w:tcW w:w="266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362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35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467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31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26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424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SGLT-2i group (events num, n/N)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Placebo group (events num, n/N)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SGLT-2i group (events num, n/N)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Placebo group (events num, n/N)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SGLT-2i group (events num, n/N)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Placebo group (events num, n/N)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SGLT-2i group (events num, n/N)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Placebo group (events num, n/N)</w:t>
            </w:r>
          </w:p>
        </w:tc>
      </w:tr>
      <w:tr w:rsidR="00FC6297" w:rsidRPr="002E21C6" w:rsidTr="00FC6297">
        <w:trPr>
          <w:trHeight w:val="1380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Fitchett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2016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 xml:space="preserve">Empagliflozin 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 xml:space="preserve">NCT01131676 </w:t>
            </w: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br/>
              <w:t>(EMPA-REG OUTCOME trial)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706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all HF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 xml:space="preserve">Empagliflozin  10mg or 25mg (462 pts)   </w:t>
            </w: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br/>
              <w:t>Placobo (244 pts)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75/462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49/244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48/462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30/244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38/462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27/244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56/462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35/244</w:t>
            </w:r>
          </w:p>
        </w:tc>
      </w:tr>
      <w:tr w:rsidR="00FC6297" w:rsidRPr="002E21C6" w:rsidTr="00FC6297">
        <w:trPr>
          <w:trHeight w:val="1150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Kato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2019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 xml:space="preserve">Dapagliflozin 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 NCT01730534 (DECLARE–TIMI 58 trial)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1987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HFrEF +</w:t>
            </w: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br/>
              <w:t>HFpEF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 xml:space="preserve">Dapagliflozin  10mg (980 pts)   </w:t>
            </w: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br/>
              <w:t>Placobo (1007pts)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151/980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194/1007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92/980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130/1007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79/980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85/1007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122/980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149/1007</w:t>
            </w:r>
          </w:p>
        </w:tc>
      </w:tr>
      <w:tr w:rsidR="00FC6297" w:rsidRPr="002E21C6" w:rsidTr="00FC6297">
        <w:trPr>
          <w:trHeight w:val="1150"/>
        </w:trPr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 xml:space="preserve">Petrie 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2020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 xml:space="preserve">Dapagliflozin 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NCT03036124</w:t>
            </w: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br/>
              <w:t>(DAPA-HF trial)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2139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HFrEF</w:t>
            </w:r>
          </w:p>
        </w:tc>
        <w:tc>
          <w:tcPr>
            <w:tcW w:w="4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 xml:space="preserve">Dapagliflozin  10mg (1075pts)   </w:t>
            </w: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br/>
              <w:t>Placobo (1064 pts)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213/1075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268/1064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1381075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172/1064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121/1075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148/1064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143/1075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1C6" w:rsidRPr="002E21C6" w:rsidRDefault="002E21C6" w:rsidP="002E21C6">
            <w:pPr>
              <w:widowControl/>
              <w:jc w:val="left"/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</w:pPr>
            <w:r w:rsidRPr="002E21C6">
              <w:rPr>
                <w:rFonts w:ascii="Arial" w:eastAsia="Times New Roman" w:hAnsi="Arial" w:cs="Arial"/>
                <w:color w:val="000000"/>
                <w:kern w:val="0"/>
                <w:sz w:val="18"/>
                <w:szCs w:val="18"/>
                <w:lang w:val="en-GB"/>
              </w:rPr>
              <w:t>178/1064</w:t>
            </w:r>
          </w:p>
        </w:tc>
      </w:tr>
    </w:tbl>
    <w:p w:rsidR="00FC6297" w:rsidRDefault="00FC6297">
      <w:pPr>
        <w:rPr>
          <w:rFonts w:ascii="Times New Roman" w:hAnsi="Times New Roman"/>
          <w:sz w:val="22"/>
        </w:rPr>
        <w:sectPr w:rsidR="00FC6297" w:rsidSect="002E21C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F03E48" w:rsidRPr="00366D30" w:rsidRDefault="00373677">
      <w:pPr>
        <w:rPr>
          <w:rFonts w:ascii="Times New Roman" w:hAnsi="Times New Roman" w:cs="Arial"/>
          <w:sz w:val="22"/>
          <w:szCs w:val="16"/>
        </w:rPr>
      </w:pPr>
      <w:bookmarkStart w:id="0" w:name="_GoBack"/>
      <w:bookmarkEnd w:id="0"/>
      <w:r w:rsidRPr="00366D30">
        <w:rPr>
          <w:rFonts w:ascii="Times New Roman" w:hAnsi="Times New Roman" w:cs="Arial"/>
          <w:noProof/>
          <w:sz w:val="22"/>
          <w:szCs w:val="16"/>
          <w:lang w:val="en-GB"/>
        </w:rPr>
        <w:lastRenderedPageBreak/>
        <w:drawing>
          <wp:inline distT="0" distB="0" distL="0" distR="0">
            <wp:extent cx="5750514" cy="5494351"/>
            <wp:effectExtent l="0" t="0" r="317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3-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3680" cy="5497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3677" w:rsidRPr="00366D30" w:rsidRDefault="00373677">
      <w:pPr>
        <w:rPr>
          <w:rFonts w:ascii="Times New Roman" w:eastAsia="等线 Light" w:hAnsi="Times New Roman" w:cs="Times New Roman"/>
          <w:sz w:val="22"/>
          <w:szCs w:val="24"/>
        </w:rPr>
      </w:pPr>
      <w:r w:rsidRPr="00366D30">
        <w:rPr>
          <w:rFonts w:ascii="Times New Roman" w:hAnsi="Times New Roman"/>
          <w:b/>
          <w:color w:val="231F20"/>
          <w:sz w:val="22"/>
        </w:rPr>
        <w:t>Supplementary Fig. 1</w:t>
      </w:r>
      <w:r w:rsidRPr="00366D30">
        <w:rPr>
          <w:rFonts w:ascii="Times New Roman" w:hAnsi="Times New Roman"/>
          <w:color w:val="231F20"/>
          <w:sz w:val="22"/>
        </w:rPr>
        <w:t xml:space="preserve"> </w:t>
      </w:r>
      <w:r w:rsidRPr="00366D30">
        <w:rPr>
          <w:rStyle w:val="fontstyle01"/>
          <w:rFonts w:ascii="Times New Roman" w:eastAsia="等线 Light" w:hAnsi="Times New Roman" w:cs="Times New Roman"/>
          <w:sz w:val="22"/>
          <w:szCs w:val="24"/>
        </w:rPr>
        <w:t>Sensitivity analysis: e</w:t>
      </w:r>
      <w:r w:rsidRPr="00366D30">
        <w:rPr>
          <w:rStyle w:val="fontstyle01"/>
          <w:rFonts w:ascii="Times New Roman" w:eastAsia="等线 Light" w:hAnsi="Times New Roman" w:cs="Times New Roman" w:hint="eastAsia"/>
          <w:sz w:val="22"/>
          <w:szCs w:val="24"/>
        </w:rPr>
        <w:t>ffect</w:t>
      </w:r>
      <w:r w:rsidRPr="00366D30">
        <w:rPr>
          <w:rStyle w:val="fontstyle01"/>
          <w:rFonts w:ascii="Times New Roman" w:eastAsia="等线 Light" w:hAnsi="Times New Roman" w:cs="Times New Roman"/>
          <w:sz w:val="22"/>
          <w:szCs w:val="24"/>
        </w:rPr>
        <w:t xml:space="preserve"> of SGLT-2i on the composite of CVD/HHF</w:t>
      </w:r>
      <w:r w:rsidRPr="00366D30">
        <w:rPr>
          <w:rFonts w:ascii="Times New Roman" w:eastAsia="等线 Light" w:hAnsi="Times New Roman" w:cs="Times New Roman"/>
          <w:sz w:val="22"/>
          <w:szCs w:val="24"/>
        </w:rPr>
        <w:t xml:space="preserve"> (A), HHF (B), CVD (C) and ACM (D) in patients of HF and T2DM by excluding CREDENCE trial. </w:t>
      </w:r>
      <w:r w:rsidRPr="00366D30">
        <w:rPr>
          <w:rFonts w:ascii="Times New Roman" w:eastAsia="等线 Light" w:hAnsi="Times New Roman" w:cs="Times New Roman"/>
          <w:i/>
          <w:sz w:val="22"/>
          <w:szCs w:val="24"/>
        </w:rPr>
        <w:t>Abbreviation</w:t>
      </w:r>
      <w:r w:rsidRPr="00366D30">
        <w:rPr>
          <w:rFonts w:ascii="Times New Roman" w:eastAsia="等线 Light" w:hAnsi="Times New Roman" w:cs="Times New Roman"/>
          <w:sz w:val="22"/>
          <w:szCs w:val="24"/>
        </w:rPr>
        <w:t xml:space="preserve"> SGLT2i: sodium-glucose cotransporter-2 inhibitors; CVD: cardiovascular death; HHF: hospitalization for heart failure, ACM: all-cause mortality; </w:t>
      </w:r>
      <w:r w:rsidR="00366D30" w:rsidRPr="00366D30">
        <w:rPr>
          <w:rFonts w:ascii="Times New Roman" w:eastAsia="等线 Light" w:hAnsi="Times New Roman" w:cs="Times New Roman"/>
          <w:sz w:val="22"/>
          <w:szCs w:val="24"/>
        </w:rPr>
        <w:t>CI: confidence interval</w:t>
      </w:r>
      <w:r w:rsidRPr="00366D30">
        <w:rPr>
          <w:rFonts w:ascii="Times New Roman" w:eastAsia="等线 Light" w:hAnsi="Times New Roman" w:cs="Times New Roman"/>
          <w:sz w:val="22"/>
          <w:szCs w:val="24"/>
        </w:rPr>
        <w:t>.</w:t>
      </w:r>
    </w:p>
    <w:p w:rsidR="00F03E48" w:rsidRPr="00366D30" w:rsidRDefault="00600E79">
      <w:pPr>
        <w:rPr>
          <w:rFonts w:ascii="Times New Roman" w:hAnsi="Times New Roman" w:cs="Arial"/>
          <w:sz w:val="22"/>
          <w:szCs w:val="16"/>
        </w:rPr>
      </w:pPr>
      <w:r w:rsidRPr="00366D30">
        <w:rPr>
          <w:rFonts w:ascii="Times New Roman" w:hAnsi="Times New Roman" w:cs="Arial"/>
          <w:noProof/>
          <w:sz w:val="22"/>
          <w:szCs w:val="16"/>
          <w:lang w:val="en-GB"/>
        </w:rPr>
        <w:lastRenderedPageBreak/>
        <w:drawing>
          <wp:inline distT="0" distB="0" distL="0" distR="0">
            <wp:extent cx="4451985" cy="4977182"/>
            <wp:effectExtent l="0" t="0" r="571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-F1_画板 1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26" b="7979"/>
                    <a:stretch/>
                  </pic:blipFill>
                  <pic:spPr bwMode="auto">
                    <a:xfrm>
                      <a:off x="0" y="0"/>
                      <a:ext cx="4461630" cy="4987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3E48" w:rsidRPr="00366D30" w:rsidRDefault="00600E79" w:rsidP="00F03E48">
      <w:pPr>
        <w:rPr>
          <w:rFonts w:ascii="Times New Roman" w:hAnsi="Times New Roman"/>
          <w:color w:val="231F20"/>
          <w:sz w:val="22"/>
        </w:rPr>
      </w:pPr>
      <w:r w:rsidRPr="00366D30">
        <w:rPr>
          <w:rFonts w:ascii="Times New Roman" w:hAnsi="Times New Roman"/>
          <w:b/>
          <w:color w:val="231F20"/>
          <w:sz w:val="22"/>
        </w:rPr>
        <w:t xml:space="preserve">Supplementary </w:t>
      </w:r>
      <w:r w:rsidR="00F03E48" w:rsidRPr="00366D30">
        <w:rPr>
          <w:rFonts w:ascii="Times New Roman" w:hAnsi="Times New Roman"/>
          <w:b/>
          <w:color w:val="231F20"/>
          <w:sz w:val="22"/>
        </w:rPr>
        <w:t>Fig.</w:t>
      </w:r>
      <w:r w:rsidR="00373677" w:rsidRPr="00366D30">
        <w:rPr>
          <w:rFonts w:ascii="Times New Roman" w:hAnsi="Times New Roman"/>
          <w:b/>
          <w:color w:val="231F20"/>
          <w:sz w:val="22"/>
        </w:rPr>
        <w:t xml:space="preserve"> 2</w:t>
      </w:r>
      <w:r w:rsidR="00F03E48" w:rsidRPr="00366D30">
        <w:rPr>
          <w:rFonts w:ascii="Times New Roman" w:hAnsi="Times New Roman"/>
          <w:color w:val="231F20"/>
          <w:sz w:val="22"/>
        </w:rPr>
        <w:t xml:space="preserve"> </w:t>
      </w:r>
      <w:r w:rsidRPr="00366D30">
        <w:rPr>
          <w:rFonts w:ascii="Times New Roman" w:hAnsi="Times New Roman"/>
          <w:color w:val="231F20"/>
          <w:sz w:val="22"/>
        </w:rPr>
        <w:t xml:space="preserve">Risk of bias summary revealing the review of the authors' judgment about each risk of bias item for included RCTs. </w:t>
      </w:r>
    </w:p>
    <w:p w:rsidR="00F03E48" w:rsidRPr="00366D30" w:rsidRDefault="00F03E48">
      <w:pPr>
        <w:rPr>
          <w:rFonts w:ascii="Times New Roman" w:hAnsi="Times New Roman"/>
          <w:sz w:val="22"/>
        </w:rPr>
      </w:pPr>
    </w:p>
    <w:p w:rsidR="00F03E48" w:rsidRPr="00366D30" w:rsidRDefault="00600E79">
      <w:pPr>
        <w:rPr>
          <w:rFonts w:ascii="Times New Roman" w:hAnsi="Times New Roman"/>
          <w:sz w:val="22"/>
        </w:rPr>
      </w:pPr>
      <w:r w:rsidRPr="00366D30">
        <w:rPr>
          <w:rFonts w:ascii="Times New Roman" w:hAnsi="Times New Roman"/>
          <w:noProof/>
          <w:sz w:val="22"/>
          <w:lang w:val="en-GB"/>
        </w:rPr>
        <w:lastRenderedPageBreak/>
        <w:drawing>
          <wp:inline distT="0" distB="0" distL="0" distR="0">
            <wp:extent cx="4587902" cy="3360006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-F2_画板 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2927" cy="336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3E48" w:rsidRPr="00366D30" w:rsidRDefault="00373677" w:rsidP="00F03E48">
      <w:pPr>
        <w:rPr>
          <w:rFonts w:ascii="Times New Roman" w:hAnsi="Times New Roman"/>
          <w:sz w:val="22"/>
        </w:rPr>
      </w:pPr>
      <w:r w:rsidRPr="00366D30">
        <w:rPr>
          <w:rFonts w:ascii="Times New Roman" w:hAnsi="Times New Roman"/>
          <w:b/>
          <w:color w:val="231F20"/>
          <w:sz w:val="22"/>
        </w:rPr>
        <w:t>Supplementary Fig. 3</w:t>
      </w:r>
      <w:r w:rsidRPr="00366D30">
        <w:rPr>
          <w:rFonts w:ascii="Times New Roman" w:hAnsi="Times New Roman"/>
          <w:color w:val="231F20"/>
          <w:sz w:val="22"/>
        </w:rPr>
        <w:t xml:space="preserve"> </w:t>
      </w:r>
      <w:r w:rsidR="00600E79" w:rsidRPr="00366D30">
        <w:rPr>
          <w:rFonts w:ascii="Times New Roman" w:hAnsi="Times New Roman"/>
          <w:sz w:val="22"/>
        </w:rPr>
        <w:t xml:space="preserve">Funnel plot of hazard ratio for composite of CVD/HHF </w:t>
      </w:r>
      <w:r w:rsidR="00D5338A" w:rsidRPr="00366D30">
        <w:rPr>
          <w:rFonts w:ascii="Times New Roman" w:hAnsi="Times New Roman"/>
          <w:sz w:val="22"/>
        </w:rPr>
        <w:t>reported in the included studies.</w:t>
      </w:r>
    </w:p>
    <w:p w:rsidR="00F03E48" w:rsidRPr="00366D30" w:rsidRDefault="00F03E48">
      <w:pPr>
        <w:rPr>
          <w:rFonts w:ascii="Times New Roman" w:hAnsi="Times New Roman"/>
          <w:sz w:val="22"/>
        </w:rPr>
      </w:pPr>
    </w:p>
    <w:sectPr w:rsidR="00F03E48" w:rsidRPr="00366D30" w:rsidSect="00FC62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4BFD" w:rsidRDefault="00B74BFD" w:rsidP="00054263">
      <w:r>
        <w:separator/>
      </w:r>
    </w:p>
  </w:endnote>
  <w:endnote w:type="continuationSeparator" w:id="0">
    <w:p w:rsidR="00B74BFD" w:rsidRDefault="00B74BFD" w:rsidP="00054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calaLancetPr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4BFD" w:rsidRDefault="00B74BFD" w:rsidP="00054263">
      <w:r>
        <w:separator/>
      </w:r>
    </w:p>
  </w:footnote>
  <w:footnote w:type="continuationSeparator" w:id="0">
    <w:p w:rsidR="00B74BFD" w:rsidRDefault="00B74BFD" w:rsidP="000542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EAA"/>
    <w:rsid w:val="00054263"/>
    <w:rsid w:val="002602C0"/>
    <w:rsid w:val="002E21C6"/>
    <w:rsid w:val="00366D30"/>
    <w:rsid w:val="00373677"/>
    <w:rsid w:val="004C3EAA"/>
    <w:rsid w:val="00600E79"/>
    <w:rsid w:val="006D1A2D"/>
    <w:rsid w:val="00954514"/>
    <w:rsid w:val="009B6E69"/>
    <w:rsid w:val="00B74BFD"/>
    <w:rsid w:val="00C866D3"/>
    <w:rsid w:val="00D5338A"/>
    <w:rsid w:val="00F03E48"/>
    <w:rsid w:val="00FC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80983E"/>
  <w15:chartTrackingRefBased/>
  <w15:docId w15:val="{DEACBEBF-663A-4D98-BB7C-C155B815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2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42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42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4263"/>
    <w:rPr>
      <w:sz w:val="18"/>
      <w:szCs w:val="18"/>
    </w:rPr>
  </w:style>
  <w:style w:type="character" w:customStyle="1" w:styleId="fontstyle01">
    <w:name w:val="fontstyle01"/>
    <w:basedOn w:val="a0"/>
    <w:rsid w:val="00373677"/>
    <w:rPr>
      <w:rFonts w:ascii="ScalaLancetPro" w:hAnsi="ScalaLancetPro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934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5D65C-1270-4D40-9AF9-96623FCF8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252</Words>
  <Characters>1442</Characters>
  <Application>Microsoft Office Word</Application>
  <DocSecurity>0</DocSecurity>
  <Lines>12</Lines>
  <Paragraphs>3</Paragraphs>
  <ScaleCrop>false</ScaleCrop>
  <Company>Peking University First Hospital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fanyong59@sina.com</dc:creator>
  <cp:keywords/>
  <dc:description/>
  <cp:lastModifiedBy>fanyong59@sina.com</cp:lastModifiedBy>
  <cp:revision>7</cp:revision>
  <dcterms:created xsi:type="dcterms:W3CDTF">2020-04-17T06:12:00Z</dcterms:created>
  <dcterms:modified xsi:type="dcterms:W3CDTF">2020-05-08T13:39:00Z</dcterms:modified>
</cp:coreProperties>
</file>