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47AB3" w14:textId="77777777" w:rsidR="00676519" w:rsidRPr="00BD537F" w:rsidRDefault="00676519" w:rsidP="00676519">
      <w:pPr>
        <w:jc w:val="both"/>
        <w:rPr>
          <w:rFonts w:cs="Times New Roman"/>
          <w:b/>
          <w:bCs/>
          <w:sz w:val="32"/>
          <w:szCs w:val="32"/>
        </w:rPr>
      </w:pPr>
      <w:r w:rsidRPr="00BD537F">
        <w:rPr>
          <w:rFonts w:cs="Times New Roman"/>
          <w:b/>
          <w:bCs/>
          <w:sz w:val="32"/>
          <w:szCs w:val="32"/>
        </w:rPr>
        <w:t>Supplementary</w:t>
      </w:r>
    </w:p>
    <w:p w14:paraId="0963DB0E" w14:textId="77777777" w:rsidR="00676519" w:rsidRDefault="00676519" w:rsidP="00676519">
      <w:pPr>
        <w:jc w:val="both"/>
        <w:rPr>
          <w:rFonts w:cs="Times New Roman"/>
          <w:sz w:val="24"/>
          <w:szCs w:val="24"/>
        </w:rPr>
      </w:pPr>
      <w:r w:rsidRPr="00CF4FE8">
        <w:rPr>
          <w:noProof/>
          <w:lang w:val="en-GB" w:eastAsia="en-GB"/>
        </w:rPr>
        <w:drawing>
          <wp:inline distT="0" distB="0" distL="0" distR="0" wp14:anchorId="46A6ADF0" wp14:editId="036BA310">
            <wp:extent cx="5642888" cy="5943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426" cy="594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75A23" w14:textId="77777777" w:rsidR="00676519" w:rsidRDefault="00676519" w:rsidP="00676519">
      <w:pPr>
        <w:jc w:val="both"/>
      </w:pPr>
      <w:r>
        <w:rPr>
          <w:rFonts w:cs="Times New Roman"/>
          <w:i/>
          <w:iCs/>
          <w:sz w:val="20"/>
          <w:szCs w:val="20"/>
        </w:rPr>
        <w:t xml:space="preserve">Supplementary. 1. </w:t>
      </w:r>
      <w:r w:rsidRPr="00EE03E1">
        <w:rPr>
          <w:rFonts w:cs="Times New Roman"/>
          <w:i/>
          <w:iCs/>
          <w:sz w:val="20"/>
          <w:szCs w:val="20"/>
        </w:rPr>
        <w:t>Particle size distribution curve of the six locations (Samples name are given with the initial of the SPT locations and Borehole Sample numbers are given from top to bottom: close to the surface has been numbered as 1 and gradually increases towards the bottom of the borehole. The curves represent the grain size analysis of (a)</w:t>
      </w:r>
      <w:r>
        <w:rPr>
          <w:rFonts w:cs="Times New Roman"/>
          <w:i/>
          <w:iCs/>
          <w:sz w:val="20"/>
          <w:szCs w:val="20"/>
        </w:rPr>
        <w:t xml:space="preserve"> </w:t>
      </w:r>
      <w:r w:rsidRPr="00EE03E1">
        <w:rPr>
          <w:rFonts w:cs="Times New Roman"/>
          <w:i/>
          <w:iCs/>
          <w:sz w:val="20"/>
          <w:szCs w:val="20"/>
        </w:rPr>
        <w:t>Godagari (b)</w:t>
      </w:r>
      <w:r>
        <w:rPr>
          <w:rFonts w:cs="Times New Roman"/>
          <w:i/>
          <w:iCs/>
          <w:sz w:val="20"/>
          <w:szCs w:val="20"/>
        </w:rPr>
        <w:t xml:space="preserve"> </w:t>
      </w:r>
      <w:r w:rsidRPr="00EE03E1">
        <w:rPr>
          <w:rFonts w:cs="Times New Roman"/>
          <w:i/>
          <w:iCs/>
          <w:sz w:val="20"/>
          <w:szCs w:val="20"/>
        </w:rPr>
        <w:t>Mirganj (c) Koldiar (d) Talbaria (e) Satbaria (f) Habaspur</w:t>
      </w:r>
      <w:r w:rsidRPr="00706A60">
        <w:t>.</w:t>
      </w:r>
    </w:p>
    <w:p w14:paraId="1EA9D772" w14:textId="77777777" w:rsidR="00676519" w:rsidRDefault="00676519" w:rsidP="00676519">
      <w:pPr>
        <w:jc w:val="both"/>
      </w:pPr>
    </w:p>
    <w:p w14:paraId="74BAE503" w14:textId="77777777" w:rsidR="00676519" w:rsidRDefault="00676519" w:rsidP="00676519">
      <w:pPr>
        <w:jc w:val="both"/>
      </w:pPr>
    </w:p>
    <w:p w14:paraId="40F0918F" w14:textId="77777777" w:rsidR="00676519" w:rsidRDefault="00676519" w:rsidP="00676519">
      <w:pPr>
        <w:jc w:val="both"/>
      </w:pPr>
    </w:p>
    <w:p w14:paraId="680D0352" w14:textId="77777777" w:rsidR="00676519" w:rsidRDefault="00676519" w:rsidP="00676519">
      <w:pPr>
        <w:jc w:val="both"/>
      </w:pPr>
    </w:p>
    <w:p w14:paraId="564561F7" w14:textId="77777777" w:rsidR="00676519" w:rsidRPr="00706A60" w:rsidRDefault="00676519" w:rsidP="00676519">
      <w:pPr>
        <w:jc w:val="both"/>
      </w:pPr>
    </w:p>
    <w:p w14:paraId="3ECC2044" w14:textId="77777777" w:rsidR="00676519" w:rsidRDefault="00676519" w:rsidP="00676519">
      <w:pPr>
        <w:jc w:val="center"/>
        <w:rPr>
          <w:rFonts w:cs="Times New Roman"/>
          <w:sz w:val="16"/>
          <w:szCs w:val="16"/>
        </w:rPr>
      </w:pPr>
      <w:r w:rsidRPr="003413EC">
        <w:rPr>
          <w:noProof/>
          <w:lang w:val="en-GB" w:eastAsia="en-GB"/>
        </w:rPr>
        <w:lastRenderedPageBreak/>
        <w:drawing>
          <wp:inline distT="0" distB="0" distL="0" distR="0" wp14:anchorId="535B4C3E" wp14:editId="7088BF89">
            <wp:extent cx="5264897" cy="43256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04"/>
                    <a:stretch/>
                  </pic:blipFill>
                  <pic:spPr bwMode="auto">
                    <a:xfrm>
                      <a:off x="0" y="0"/>
                      <a:ext cx="5267020" cy="432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413EC">
        <w:rPr>
          <w:rFonts w:cs="Times New Roman"/>
          <w:sz w:val="16"/>
          <w:szCs w:val="16"/>
        </w:rPr>
        <w:t xml:space="preserve"> </w:t>
      </w:r>
    </w:p>
    <w:p w14:paraId="37FE9AE2" w14:textId="77777777" w:rsidR="00676519" w:rsidRPr="004F0F15" w:rsidRDefault="00676519" w:rsidP="00676519">
      <w:pPr>
        <w:pStyle w:val="Caption"/>
        <w:jc w:val="center"/>
        <w:rPr>
          <w:rFonts w:cs="Times New Roman"/>
          <w:i w:val="0"/>
          <w:iCs w:val="0"/>
          <w:color w:val="auto"/>
          <w:sz w:val="20"/>
          <w:szCs w:val="20"/>
        </w:rPr>
      </w:pPr>
      <w:r>
        <w:rPr>
          <w:rFonts w:cs="Times New Roman"/>
          <w:i w:val="0"/>
          <w:iCs w:val="0"/>
          <w:color w:val="auto"/>
          <w:sz w:val="20"/>
          <w:szCs w:val="20"/>
        </w:rPr>
        <w:t>Supplementary</w:t>
      </w:r>
      <w:r w:rsidRPr="004F0F15">
        <w:rPr>
          <w:rFonts w:cs="Times New Roman"/>
          <w:i w:val="0"/>
          <w:iCs w:val="0"/>
          <w:color w:val="auto"/>
          <w:sz w:val="20"/>
          <w:szCs w:val="20"/>
        </w:rPr>
        <w:t xml:space="preserve">. </w:t>
      </w:r>
      <w:r>
        <w:rPr>
          <w:rFonts w:cs="Times New Roman"/>
          <w:i w:val="0"/>
          <w:iCs w:val="0"/>
          <w:color w:val="auto"/>
          <w:sz w:val="20"/>
          <w:szCs w:val="20"/>
        </w:rPr>
        <w:t xml:space="preserve">2. Soil Sample texture plotting using </w:t>
      </w:r>
      <w:r w:rsidRPr="004F0F15">
        <w:rPr>
          <w:rFonts w:cs="Times New Roman"/>
          <w:i w:val="0"/>
          <w:iCs w:val="0"/>
          <w:color w:val="auto"/>
          <w:sz w:val="20"/>
          <w:szCs w:val="20"/>
        </w:rPr>
        <w:t>Milton Whitney’s Soil Texture Chart (1911)</w:t>
      </w:r>
      <w:r>
        <w:rPr>
          <w:rFonts w:cs="Times New Roman"/>
          <w:i w:val="0"/>
          <w:iCs w:val="0"/>
          <w:color w:val="auto"/>
          <w:sz w:val="20"/>
          <w:szCs w:val="20"/>
        </w:rPr>
        <w:t>.</w:t>
      </w:r>
    </w:p>
    <w:p w14:paraId="3D88A333" w14:textId="77777777" w:rsidR="00676519" w:rsidRDefault="00676519" w:rsidP="00676519">
      <w:pPr>
        <w:pStyle w:val="Caption"/>
        <w:jc w:val="center"/>
        <w:rPr>
          <w:rFonts w:cs="Times New Roman"/>
        </w:rPr>
      </w:pPr>
      <w:r w:rsidRPr="003413EC">
        <w:rPr>
          <w:rFonts w:cs="Times New Roman"/>
        </w:rPr>
        <w:t xml:space="preserve"> </w:t>
      </w:r>
    </w:p>
    <w:p w14:paraId="3DE99FDD" w14:textId="77777777" w:rsidR="00676519" w:rsidRDefault="00676519" w:rsidP="00676519">
      <w:pPr>
        <w:jc w:val="center"/>
      </w:pPr>
    </w:p>
    <w:p w14:paraId="41A5BC5C" w14:textId="77777777" w:rsidR="002F0F5E" w:rsidRDefault="00676519"/>
    <w:sectPr w:rsidR="002F0F5E" w:rsidSect="00870AA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519"/>
    <w:rsid w:val="0021090F"/>
    <w:rsid w:val="00220E4E"/>
    <w:rsid w:val="003A76DF"/>
    <w:rsid w:val="00676519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AA6BD"/>
  <w15:chartTrackingRefBased/>
  <w15:docId w15:val="{51FFE146-FBDE-46F9-B0C2-3176CB0D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519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aliases w:val="figure_thesis"/>
    <w:basedOn w:val="Normal"/>
    <w:next w:val="Normal"/>
    <w:uiPriority w:val="35"/>
    <w:unhideWhenUsed/>
    <w:qFormat/>
    <w:rsid w:val="0067651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>Springer Nature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2023-11-08T08:24:00Z</dcterms:created>
  <dcterms:modified xsi:type="dcterms:W3CDTF">2023-11-08T08:25:00Z</dcterms:modified>
</cp:coreProperties>
</file>