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64CAA" w:rsidRPr="00F97EC4" w:rsidRDefault="00364CAA" w:rsidP="00364CAA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SUPPORTING </w:t>
      </w:r>
      <w:r w:rsidRPr="00F97EC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Pr="00F97EC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F97E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97EC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UNIVARIATE ANALYSIS OF RISK AND PROTECTIVE FACTORS ASSOCIATED WITH LIVER-RELATED DEATH OR LIVER TRANSPLANTATION IN PATIENTS WITH PBC.</w:t>
      </w:r>
    </w:p>
    <w:p w:rsidR="00364CAA" w:rsidRPr="00F97EC4" w:rsidRDefault="00364CAA" w:rsidP="00364CAA">
      <w:pPr>
        <w:rPr>
          <w:color w:val="000000" w:themeColor="text1"/>
          <w:sz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134"/>
        <w:gridCol w:w="567"/>
        <w:gridCol w:w="2409"/>
        <w:gridCol w:w="284"/>
        <w:gridCol w:w="1983"/>
      </w:tblGrid>
      <w:tr w:rsidR="00364CAA" w:rsidRPr="00F97EC4" w:rsidTr="009C0946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LRD/LT vs. Non-LRD/LT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HR (95% CI)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P</w:t>
            </w:r>
          </w:p>
        </w:tc>
      </w:tr>
      <w:tr w:rsidR="00364CAA" w:rsidRPr="00F97EC4" w:rsidTr="009C0946">
        <w:tc>
          <w:tcPr>
            <w:tcW w:w="2127" w:type="dxa"/>
            <w:tcBorders>
              <w:top w:val="single" w:sz="4" w:space="0" w:color="auto"/>
            </w:tcBorders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ge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64CAA" w:rsidRPr="00F97EC4" w:rsidRDefault="00364CAA" w:rsidP="009C0946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1.41 (0.77-2.58)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  <w:tcBorders>
              <w:top w:val="single" w:sz="4" w:space="0" w:color="auto"/>
            </w:tcBorders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0.266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&gt;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S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ex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ale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1.47 (0.70-3.09)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.304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F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emale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MAs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Positive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3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.56 (0.86-14.73)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.079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Negative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CAs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Positive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0.40 (0.19-0.88)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.022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Negative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L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iver cirrhosis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Present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22.24 (10.30-48.02)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&lt;0.0001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Absent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C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REST syndrome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Present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.27</w:t>
            </w: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（</w:t>
            </w: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.08-0.87</w:t>
            </w: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）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.028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Absent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LT (U/L)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&gt;46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2.02 (1.10-3.69)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.023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LP (U/L)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499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2.18 (1.19-3.98)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.011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&gt;499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T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B (mg/dL)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&gt;0.97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5.44 (2.83-10.47)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&lt;0.0001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≤0.97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A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LB (g/dL)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5.84 (3.17-10.77)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&lt;0.0001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&gt;3.6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LT </w:t>
            </w:r>
            <w:r w:rsidRPr="00F97EC4">
              <w:rPr>
                <w:rFonts w:ascii="Times New Roman" w:eastAsia="Times New Roman" w:hAnsi="Times New Roman"/>
              </w:rPr>
              <w:t>(x10</w:t>
            </w:r>
            <w:r w:rsidRPr="00F97EC4">
              <w:rPr>
                <w:rFonts w:ascii="Times New Roman" w:eastAsia="Times New Roman" w:hAnsi="Times New Roman"/>
                <w:vertAlign w:val="superscript"/>
              </w:rPr>
              <w:t>4</w:t>
            </w:r>
            <w:r w:rsidRPr="00F97EC4">
              <w:rPr>
                <w:rFonts w:ascii="Times New Roman" w:eastAsia="Times New Roman" w:hAnsi="Times New Roman"/>
              </w:rPr>
              <w:t>/</w:t>
            </w:r>
            <w:proofErr w:type="spellStart"/>
            <w:r w:rsidRPr="00F97EC4">
              <w:rPr>
                <w:rFonts w:ascii="Times New Roman" w:hAnsi="Times New Roman"/>
              </w:rPr>
              <w:t>μl</w:t>
            </w:r>
            <w:proofErr w:type="spellEnd"/>
            <w:r w:rsidRPr="00F97EC4"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12.8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0.42 (5.46-19.88)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&lt;0.0001</w:t>
            </w:r>
            <w:r w:rsidRPr="00F97EC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&gt;12.8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I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gG (mg/dL)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&gt;1800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1.53 (0.84-2.78)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.165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1800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eastAsia="Times New Roman" w:hAnsi="Times New Roman"/>
              </w:rPr>
              <w:t>IgM (mg/dl)</w:t>
            </w: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</w:rPr>
              <w:t>&gt;385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.71 (0.94-3.13)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.081</w:t>
            </w:r>
          </w:p>
        </w:tc>
      </w:tr>
      <w:tr w:rsidR="00364CAA" w:rsidRPr="00F97EC4" w:rsidTr="009C0946">
        <w:tc>
          <w:tcPr>
            <w:tcW w:w="212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/>
                <w:color w:val="000000" w:themeColor="text1"/>
                <w:kern w:val="0"/>
              </w:rPr>
              <w:t>≤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>385</w:t>
            </w:r>
          </w:p>
        </w:tc>
        <w:tc>
          <w:tcPr>
            <w:tcW w:w="567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9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97EC4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F97EC4">
              <w:rPr>
                <w:rFonts w:ascii="Times New Roman" w:hAnsi="Times New Roman" w:cs="Times New Roman"/>
                <w:color w:val="000000" w:themeColor="text1"/>
              </w:rPr>
              <w:t xml:space="preserve"> (Ref.)</w:t>
            </w:r>
          </w:p>
        </w:tc>
        <w:tc>
          <w:tcPr>
            <w:tcW w:w="284" w:type="dxa"/>
          </w:tcPr>
          <w:p w:rsidR="00364CAA" w:rsidRPr="00F97EC4" w:rsidRDefault="00364CAA" w:rsidP="009C094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3" w:type="dxa"/>
          </w:tcPr>
          <w:p w:rsidR="00364CAA" w:rsidRPr="00F97EC4" w:rsidRDefault="00364CAA" w:rsidP="009C094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364CAA" w:rsidRDefault="00364CAA" w:rsidP="00364CAA">
      <w:pPr>
        <w:rPr>
          <w:rFonts w:ascii="Times New Roman" w:hAnsi="Times New Roman"/>
          <w:color w:val="000000" w:themeColor="text1"/>
          <w:sz w:val="24"/>
        </w:rPr>
      </w:pPr>
      <w:r w:rsidRPr="00F97EC4">
        <w:rPr>
          <w:rFonts w:ascii="Times New Roman" w:hAnsi="Times New Roman" w:cs="Times New Roman"/>
          <w:color w:val="000000" w:themeColor="text1"/>
          <w:kern w:val="0"/>
          <w:sz w:val="24"/>
        </w:rPr>
        <w:t>*</w:t>
      </w:r>
      <w:r w:rsidRPr="00F97EC4">
        <w:rPr>
          <w:rFonts w:ascii="Times New Roman" w:hAnsi="Times New Roman" w:cs="Times New Roman"/>
          <w:i/>
          <w:iCs/>
          <w:color w:val="000000" w:themeColor="text1"/>
          <w:kern w:val="0"/>
          <w:sz w:val="24"/>
        </w:rPr>
        <w:t>P</w:t>
      </w:r>
      <w:r w:rsidRPr="00F97EC4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&lt; 0.05 was considered significant. Abbreviations: ACA, </w:t>
      </w:r>
      <w:r w:rsidRPr="00F97EC4">
        <w:rPr>
          <w:rFonts w:ascii="Times New Roman" w:hAnsi="Times New Roman"/>
          <w:sz w:val="24"/>
        </w:rPr>
        <w:t>anticentromere antibody</w:t>
      </w:r>
      <w:r w:rsidRPr="00F97EC4">
        <w:rPr>
          <w:rFonts w:ascii="Times New Roman" w:hAnsi="Times New Roman" w:cs="Times New Roman"/>
          <w:color w:val="000000" w:themeColor="text1"/>
          <w:kern w:val="0"/>
          <w:sz w:val="24"/>
        </w:rPr>
        <w:t>; AMA, a</w:t>
      </w:r>
      <w:r w:rsidRPr="00F97EC4">
        <w:rPr>
          <w:rFonts w:ascii="Times New Roman" w:hAnsi="Times New Roman"/>
          <w:color w:val="000000" w:themeColor="text1"/>
          <w:sz w:val="24"/>
        </w:rPr>
        <w:t xml:space="preserve">ntimitochondrial antibody; </w:t>
      </w:r>
      <w:r w:rsidRPr="00F97EC4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Ref., reference group; HR, hazard ratio; </w:t>
      </w:r>
      <w:r w:rsidRPr="00F97EC4">
        <w:rPr>
          <w:rFonts w:ascii="Times New Roman" w:hAnsi="Times New Roman"/>
          <w:color w:val="000000" w:themeColor="text1"/>
          <w:sz w:val="24"/>
        </w:rPr>
        <w:t>CI, confidence interval; LRD, liver-related death; LT, liver transplantation.</w:t>
      </w:r>
    </w:p>
    <w:p w:rsidR="00364CAA" w:rsidRDefault="00364CAA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br w:type="page"/>
      </w:r>
    </w:p>
    <w:p w:rsidR="00FD0835" w:rsidRPr="00F97EC4" w:rsidRDefault="00FD0835" w:rsidP="00FD0835">
      <w:pPr>
        <w:pStyle w:val="1"/>
        <w:spacing w:before="3" w:after="3"/>
        <w:jc w:val="both"/>
        <w:rPr>
          <w:rFonts w:ascii="Times New Roman" w:eastAsia="Times New Roman" w:hAnsi="Times New Roman"/>
          <w:b w:val="0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lastRenderedPageBreak/>
        <w:t xml:space="preserve">SUPPORTING </w:t>
      </w:r>
      <w:r w:rsidRPr="00F97EC4">
        <w:rPr>
          <w:rFonts w:ascii="Times New Roman" w:eastAsia="Times New Roman" w:hAnsi="Times New Roman"/>
          <w:bCs/>
          <w:sz w:val="28"/>
          <w:szCs w:val="28"/>
        </w:rPr>
        <w:t xml:space="preserve">TABLE </w:t>
      </w:r>
      <w:r>
        <w:rPr>
          <w:rFonts w:ascii="Times New Roman" w:eastAsia="Times New Roman" w:hAnsi="Times New Roman"/>
          <w:bCs/>
          <w:sz w:val="28"/>
          <w:szCs w:val="28"/>
        </w:rPr>
        <w:t>2</w:t>
      </w:r>
      <w:r w:rsidRPr="00F97EC4">
        <w:rPr>
          <w:rFonts w:ascii="Times New Roman" w:eastAsia="Times New Roman" w:hAnsi="Times New Roman"/>
          <w:bCs/>
          <w:sz w:val="28"/>
          <w:szCs w:val="28"/>
        </w:rPr>
        <w:t>.</w:t>
      </w:r>
      <w:r w:rsidRPr="00F97EC4">
        <w:rPr>
          <w:rFonts w:ascii="Times New Roman" w:eastAsia="Times New Roman" w:hAnsi="Times New Roman"/>
          <w:b w:val="0"/>
          <w:sz w:val="28"/>
          <w:szCs w:val="28"/>
        </w:rPr>
        <w:t xml:space="preserve"> </w:t>
      </w:r>
      <w:r w:rsidRPr="00F97EC4">
        <w:rPr>
          <w:rFonts w:ascii="Times New Roman" w:hAnsi="Times New Roman"/>
          <w:sz w:val="28"/>
          <w:szCs w:val="28"/>
        </w:rPr>
        <w:t>COMPARISON OF CLINICOLABORATORY FINDINGS BETWEEN NON-LIVER CIRRHOSIS AND CIRRHOSIS IN PATIENTS WITH PBC (N=302).</w:t>
      </w:r>
    </w:p>
    <w:tbl>
      <w:tblPr>
        <w:tblStyle w:val="a3"/>
        <w:tblW w:w="8499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1985"/>
        <w:gridCol w:w="1985"/>
        <w:gridCol w:w="1132"/>
      </w:tblGrid>
      <w:tr w:rsidR="00FD0835" w:rsidRPr="00F97EC4" w:rsidTr="009C0946"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Non-LC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LC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P</w:t>
            </w:r>
          </w:p>
        </w:tc>
      </w:tr>
      <w:tr w:rsidR="00FD0835" w:rsidRPr="00F97EC4" w:rsidTr="009C0946">
        <w:tc>
          <w:tcPr>
            <w:tcW w:w="3397" w:type="dxa"/>
            <w:vMerge w:val="restart"/>
            <w:tcBorders>
              <w:top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n</w:t>
            </w:r>
          </w:p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Age (years), median (IQR)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247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5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</w:p>
        </w:tc>
      </w:tr>
      <w:tr w:rsidR="00FD0835" w:rsidRPr="00F97EC4" w:rsidTr="009C0946">
        <w:tc>
          <w:tcPr>
            <w:tcW w:w="3397" w:type="dxa"/>
            <w:vMerge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 xml:space="preserve">60.0 </w:t>
            </w: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(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51-69)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97EC4">
              <w:rPr>
                <w:rFonts w:ascii="Times New Roman" w:hAnsi="Times New Roman" w:cs="Times New Roman"/>
              </w:rPr>
              <w:t>57.0 (51-67)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widowControl/>
              <w:jc w:val="center"/>
              <w:rPr>
                <w:rFonts w:ascii="Times New Roman" w:eastAsia="Times New Roman" w:hAnsi="Times New Roman"/>
              </w:rPr>
            </w:pPr>
            <w:r w:rsidRPr="00F97EC4">
              <w:rPr>
                <w:rFonts w:ascii="Times New Roman" w:eastAsia="Times New Roman" w:hAnsi="Times New Roman" w:hint="eastAsia"/>
              </w:rPr>
              <w:t>0</w:t>
            </w:r>
            <w:r w:rsidRPr="00F97EC4">
              <w:rPr>
                <w:rFonts w:ascii="Times New Roman" w:eastAsia="Times New Roman" w:hAnsi="Times New Roman"/>
              </w:rPr>
              <w:t>.5125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Sex (male/female)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42/205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7/48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.4366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AMA-positive, n (%)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208 (84)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50 (91)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.2029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ACA-positive, n (%)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91 (37)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15 (27)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.1787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C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REST-present, n (%)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5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3 (21)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4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 xml:space="preserve"> (7)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.0150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  <w:lang w:eastAsia="ja-JP"/>
              </w:rPr>
              <w:t>*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ALT (U/l),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38 (25-67)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45 (29-79)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.1584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ALP (U/l),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149 (120-208)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187 (140-262)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.0213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  <w:lang w:eastAsia="ja-JP"/>
              </w:rPr>
              <w:t>*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proofErr w:type="spellStart"/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γGTP</w:t>
            </w:r>
            <w:proofErr w:type="spellEnd"/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 xml:space="preserve"> (U/l)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130 (64-253)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111 (60-326)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.8550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TB (mg/dl),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0.7 (0.6-1.0)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1.4 (0.8-5.6)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&lt;</w:t>
            </w: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.0001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  <w:lang w:eastAsia="ja-JP"/>
              </w:rPr>
              <w:t>*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A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LB (g/dl),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4.1 (3.8-4.3)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3.3 (2.8-3.9)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&lt;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0.0001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  <w:lang w:eastAsia="ja-JP"/>
              </w:rPr>
              <w:t>*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PLT (x10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</w:rPr>
              <w:t>4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F97EC4">
              <w:rPr>
                <w:rFonts w:ascii="Times New Roman" w:hAnsi="Times New Roman"/>
                <w:b w:val="0"/>
                <w:sz w:val="24"/>
                <w:szCs w:val="24"/>
                <w:lang w:eastAsia="ja-JP"/>
              </w:rPr>
              <w:t>μl</w:t>
            </w:r>
            <w:proofErr w:type="spellEnd"/>
            <w:r w:rsidRPr="00F97EC4">
              <w:rPr>
                <w:rFonts w:ascii="Times New Roman" w:hAnsi="Times New Roman"/>
                <w:b w:val="0"/>
                <w:sz w:val="24"/>
                <w:szCs w:val="24"/>
                <w:lang w:eastAsia="ja-JP"/>
              </w:rPr>
              <w:t>),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21.6 (17.4-25.4)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10.5 (6.1-12.8)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&lt;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00001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  <w:lang w:eastAsia="ja-JP"/>
              </w:rPr>
              <w:t>*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IgG (mg/dl),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1678 (1384-2035)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2056 (1711-2637)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&lt;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0.0001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  <w:lang w:eastAsia="ja-JP"/>
              </w:rPr>
              <w:t>*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IgM (mg/dl), median (IQR)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312 (1175-464)</w:t>
            </w: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423 (272-646)</w:t>
            </w: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.0026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  <w:lang w:eastAsia="ja-JP"/>
              </w:rPr>
              <w:t>*</w:t>
            </w:r>
          </w:p>
        </w:tc>
      </w:tr>
      <w:tr w:rsidR="00FD0835" w:rsidRPr="00F97EC4" w:rsidTr="009C0946">
        <w:tc>
          <w:tcPr>
            <w:tcW w:w="3397" w:type="dxa"/>
          </w:tcPr>
          <w:p w:rsidR="00FD0835" w:rsidRPr="00F97EC4" w:rsidRDefault="00FD0835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</w:p>
        </w:tc>
        <w:tc>
          <w:tcPr>
            <w:tcW w:w="1985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</w:p>
        </w:tc>
        <w:tc>
          <w:tcPr>
            <w:tcW w:w="1132" w:type="dxa"/>
          </w:tcPr>
          <w:p w:rsidR="00FD0835" w:rsidRPr="00F97EC4" w:rsidRDefault="00FD0835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</w:p>
        </w:tc>
      </w:tr>
    </w:tbl>
    <w:p w:rsidR="00FD0835" w:rsidRPr="00F97EC4" w:rsidRDefault="00FD0835" w:rsidP="00FD0835">
      <w:pPr>
        <w:pStyle w:val="desc"/>
        <w:jc w:val="both"/>
        <w:rPr>
          <w:rFonts w:ascii="Times New Roman" w:hAnsi="Times New Roman" w:cs="Times New Roman"/>
          <w:sz w:val="24"/>
        </w:rPr>
      </w:pPr>
      <w:r w:rsidRPr="00F97EC4">
        <w:rPr>
          <w:rFonts w:ascii="Times New Roman" w:eastAsia="ＭＳ 明朝" w:hAnsi="Times New Roman" w:cs="Times New Roman"/>
          <w:bCs/>
          <w:color w:val="222222"/>
          <w:sz w:val="24"/>
          <w:shd w:val="clear" w:color="auto" w:fill="FFFFFF"/>
          <w:vertAlign w:val="superscript"/>
        </w:rPr>
        <w:t>*</w:t>
      </w:r>
      <w:r w:rsidRPr="00F97EC4">
        <w:rPr>
          <w:rFonts w:ascii="Times New Roman" w:eastAsia="ＭＳ 明朝" w:hAnsi="Times New Roman" w:cs="Times New Roman"/>
          <w:bCs/>
          <w:color w:val="222222"/>
          <w:sz w:val="24"/>
          <w:shd w:val="clear" w:color="auto" w:fill="FFFFFF"/>
        </w:rPr>
        <w:t xml:space="preserve">P &lt; 0.05. </w:t>
      </w:r>
      <w:r w:rsidRPr="00F97EC4">
        <w:rPr>
          <w:rFonts w:ascii="Times New Roman" w:hAnsi="Times New Roman" w:cs="Times New Roman"/>
          <w:color w:val="000000" w:themeColor="text1"/>
          <w:sz w:val="24"/>
        </w:rPr>
        <w:t xml:space="preserve">Abbreviations: ACA, </w:t>
      </w:r>
      <w:r w:rsidRPr="00F97EC4">
        <w:rPr>
          <w:rFonts w:ascii="Times New Roman" w:hAnsi="Times New Roman"/>
          <w:sz w:val="24"/>
        </w:rPr>
        <w:t>anticentromere antibody</w:t>
      </w:r>
      <w:r w:rsidRPr="00F97EC4">
        <w:rPr>
          <w:rFonts w:ascii="Times New Roman" w:hAnsi="Times New Roman"/>
          <w:color w:val="000000" w:themeColor="text1"/>
          <w:sz w:val="24"/>
        </w:rPr>
        <w:t xml:space="preserve">; AMA, antimitochondrial antibody, BF, bezafibrate; UDCA, </w:t>
      </w:r>
      <w:proofErr w:type="spellStart"/>
      <w:r w:rsidRPr="00F97EC4">
        <w:rPr>
          <w:rFonts w:ascii="Times New Roman" w:hAnsi="Times New Roman" w:cs="Times New Roman"/>
          <w:sz w:val="24"/>
        </w:rPr>
        <w:t>ursodeoxycholic</w:t>
      </w:r>
      <w:proofErr w:type="spellEnd"/>
      <w:r w:rsidRPr="00F97EC4">
        <w:rPr>
          <w:rFonts w:ascii="Times New Roman" w:hAnsi="Times New Roman" w:cs="Times New Roman"/>
          <w:sz w:val="24"/>
        </w:rPr>
        <w:t xml:space="preserve"> acid.</w:t>
      </w:r>
    </w:p>
    <w:p w:rsidR="00FD0835" w:rsidRDefault="00FD0835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br w:type="page"/>
      </w:r>
    </w:p>
    <w:p w:rsidR="007D6D11" w:rsidRPr="00F97EC4" w:rsidRDefault="007D6D11" w:rsidP="007D6D11">
      <w:pPr>
        <w:pStyle w:val="1"/>
        <w:spacing w:before="3" w:after="3"/>
        <w:jc w:val="both"/>
        <w:rPr>
          <w:rFonts w:ascii="Times New Roman" w:eastAsia="Times New Roman" w:hAnsi="Times New Roman"/>
          <w:b w:val="0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lastRenderedPageBreak/>
        <w:t xml:space="preserve">SUPPORTING </w:t>
      </w:r>
      <w:r w:rsidRPr="00F97EC4">
        <w:rPr>
          <w:rFonts w:ascii="Times New Roman" w:eastAsia="Times New Roman" w:hAnsi="Times New Roman"/>
          <w:bCs/>
          <w:sz w:val="28"/>
          <w:szCs w:val="28"/>
        </w:rPr>
        <w:t xml:space="preserve">TABLE </w:t>
      </w:r>
      <w:r>
        <w:rPr>
          <w:rFonts w:ascii="Times New Roman" w:eastAsia="Times New Roman" w:hAnsi="Times New Roman"/>
          <w:bCs/>
          <w:sz w:val="28"/>
          <w:szCs w:val="28"/>
        </w:rPr>
        <w:t>3</w:t>
      </w:r>
      <w:r w:rsidRPr="00F97EC4">
        <w:rPr>
          <w:rFonts w:ascii="Times New Roman" w:eastAsia="Times New Roman" w:hAnsi="Times New Roman"/>
          <w:bCs/>
          <w:sz w:val="28"/>
          <w:szCs w:val="28"/>
        </w:rPr>
        <w:t>.</w:t>
      </w:r>
      <w:r w:rsidRPr="00F97EC4">
        <w:rPr>
          <w:rFonts w:ascii="Times New Roman" w:eastAsia="Times New Roman" w:hAnsi="Times New Roman"/>
          <w:b w:val="0"/>
          <w:sz w:val="28"/>
          <w:szCs w:val="28"/>
        </w:rPr>
        <w:t xml:space="preserve"> </w:t>
      </w:r>
      <w:r w:rsidRPr="00F97EC4">
        <w:rPr>
          <w:rFonts w:ascii="Times New Roman" w:hAnsi="Times New Roman"/>
          <w:sz w:val="28"/>
          <w:szCs w:val="28"/>
        </w:rPr>
        <w:t>COMPARISON OF CLINICOLABORATORY FINDINGS BETWEEN PATIENTS WITH PBC-CREST AND PATIENTS WITH PBC ALONE AT BASELINE (N=173).</w:t>
      </w:r>
    </w:p>
    <w:tbl>
      <w:tblPr>
        <w:tblStyle w:val="a3"/>
        <w:tblW w:w="8499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2188"/>
        <w:gridCol w:w="1776"/>
        <w:gridCol w:w="1132"/>
      </w:tblGrid>
      <w:tr w:rsidR="007D6D11" w:rsidRPr="00F97EC4" w:rsidTr="009C0946"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P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BC alone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P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BC-CREST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P</w:t>
            </w:r>
          </w:p>
        </w:tc>
      </w:tr>
      <w:tr w:rsidR="007D6D11" w:rsidRPr="00F97EC4" w:rsidTr="009C0946">
        <w:tc>
          <w:tcPr>
            <w:tcW w:w="3403" w:type="dxa"/>
            <w:vMerge w:val="restart"/>
            <w:tcBorders>
              <w:top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n</w:t>
            </w:r>
          </w:p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Age (years), median (IQR)</w:t>
            </w:r>
          </w:p>
        </w:tc>
        <w:tc>
          <w:tcPr>
            <w:tcW w:w="2188" w:type="dxa"/>
            <w:tcBorders>
              <w:top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1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47</w:t>
            </w:r>
          </w:p>
        </w:tc>
        <w:tc>
          <w:tcPr>
            <w:tcW w:w="1776" w:type="dxa"/>
            <w:tcBorders>
              <w:top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2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</w:p>
        </w:tc>
      </w:tr>
      <w:tr w:rsidR="007D6D11" w:rsidRPr="00F97EC4" w:rsidTr="009C0946">
        <w:tc>
          <w:tcPr>
            <w:tcW w:w="3403" w:type="dxa"/>
            <w:vMerge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 xml:space="preserve">64.0 </w:t>
            </w: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(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55-71)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97EC4">
              <w:rPr>
                <w:rFonts w:ascii="Times New Roman" w:hAnsi="Times New Roman" w:cs="Times New Roman"/>
              </w:rPr>
              <w:t>63.5 (53-70)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widowControl/>
              <w:jc w:val="center"/>
              <w:rPr>
                <w:rFonts w:ascii="Times New Roman" w:eastAsia="Times New Roman" w:hAnsi="Times New Roman"/>
              </w:rPr>
            </w:pPr>
            <w:r w:rsidRPr="00F97EC4">
              <w:rPr>
                <w:rFonts w:ascii="Times New Roman" w:eastAsia="Times New Roman" w:hAnsi="Times New Roman" w:hint="eastAsia"/>
              </w:rPr>
              <w:t>0</w:t>
            </w:r>
            <w:r w:rsidRPr="00F97EC4">
              <w:rPr>
                <w:rFonts w:ascii="Times New Roman" w:eastAsia="Times New Roman" w:hAnsi="Times New Roman"/>
              </w:rPr>
              <w:t>.4509</w:t>
            </w:r>
          </w:p>
        </w:tc>
      </w:tr>
      <w:tr w:rsidR="007D6D11" w:rsidRPr="00F97EC4" w:rsidTr="009C0946">
        <w:tc>
          <w:tcPr>
            <w:tcW w:w="3403" w:type="dxa"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Sex (male/female)</w:t>
            </w: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34/113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1/25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.0241</w:t>
            </w:r>
            <w:r w:rsidRPr="00F97EC4">
              <w:rPr>
                <w:rFonts w:ascii="Times New Roman" w:hAnsi="Times New Roman"/>
                <w:b w:val="0"/>
                <w:sz w:val="24"/>
                <w:vertAlign w:val="superscript"/>
              </w:rPr>
              <w:t>*</w:t>
            </w:r>
          </w:p>
        </w:tc>
      </w:tr>
      <w:tr w:rsidR="007D6D11" w:rsidRPr="00F97EC4" w:rsidTr="009C0946">
        <w:tc>
          <w:tcPr>
            <w:tcW w:w="3403" w:type="dxa"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L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iver cirrhosis, n (%)</w:t>
            </w: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5 (3.4)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0 (0)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.3399</w:t>
            </w:r>
          </w:p>
        </w:tc>
      </w:tr>
      <w:tr w:rsidR="007D6D11" w:rsidRPr="00F97EC4" w:rsidTr="009C0946">
        <w:tc>
          <w:tcPr>
            <w:tcW w:w="3403" w:type="dxa"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ALT (U/l), median (IQR)</w:t>
            </w: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31 (20-57)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3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0 (22-50)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.5027</w:t>
            </w:r>
          </w:p>
        </w:tc>
      </w:tr>
      <w:tr w:rsidR="007D6D11" w:rsidRPr="00F97EC4" w:rsidTr="009C0946">
        <w:tc>
          <w:tcPr>
            <w:tcW w:w="3403" w:type="dxa"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ALP (U/l), median (IQR)</w:t>
            </w: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148 (101-215)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113 (92-187)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.3709</w:t>
            </w:r>
          </w:p>
        </w:tc>
      </w:tr>
      <w:tr w:rsidR="007D6D11" w:rsidRPr="00F97EC4" w:rsidTr="009C0946">
        <w:tc>
          <w:tcPr>
            <w:tcW w:w="3403" w:type="dxa"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TB (mg/dl), median (IQR)</w:t>
            </w: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0.8 (0.6-1.2)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0.7 (0.6-0.8)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.8605</w:t>
            </w:r>
          </w:p>
        </w:tc>
      </w:tr>
      <w:tr w:rsidR="007D6D11" w:rsidRPr="00F97EC4" w:rsidTr="009C0946">
        <w:tc>
          <w:tcPr>
            <w:tcW w:w="3403" w:type="dxa"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A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LB (g/dl), median (IQR)</w:t>
            </w: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4.0 (3.6-4.2)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4.0 (</w:t>
            </w: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</w:rPr>
              <w:t>3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.8-4.2)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.5903</w:t>
            </w:r>
          </w:p>
        </w:tc>
      </w:tr>
      <w:tr w:rsidR="007D6D11" w:rsidRPr="00F97EC4" w:rsidTr="009C0946">
        <w:tc>
          <w:tcPr>
            <w:tcW w:w="3403" w:type="dxa"/>
          </w:tcPr>
          <w:p w:rsidR="007D6D11" w:rsidRPr="00F97EC4" w:rsidRDefault="007D6D11" w:rsidP="009C0946">
            <w:pPr>
              <w:pStyle w:val="1"/>
              <w:spacing w:before="3" w:after="3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PLT (x10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vertAlign w:val="superscript"/>
              </w:rPr>
              <w:t>4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F97EC4">
              <w:rPr>
                <w:rFonts w:ascii="Times New Roman" w:hAnsi="Times New Roman"/>
                <w:b w:val="0"/>
                <w:sz w:val="24"/>
                <w:szCs w:val="24"/>
                <w:lang w:eastAsia="ja-JP"/>
              </w:rPr>
              <w:t>μl</w:t>
            </w:r>
            <w:proofErr w:type="spellEnd"/>
            <w:r w:rsidRPr="00F97EC4">
              <w:rPr>
                <w:rFonts w:ascii="Times New Roman" w:hAnsi="Times New Roman"/>
                <w:b w:val="0"/>
                <w:sz w:val="24"/>
                <w:szCs w:val="24"/>
                <w:lang w:eastAsia="ja-JP"/>
              </w:rPr>
              <w:t>), median (IQR)</w:t>
            </w:r>
          </w:p>
        </w:tc>
        <w:tc>
          <w:tcPr>
            <w:tcW w:w="2188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2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1.1 (14.5-24.1)</w:t>
            </w:r>
          </w:p>
        </w:tc>
        <w:tc>
          <w:tcPr>
            <w:tcW w:w="1776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2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2.0 (19.5-24.4)</w:t>
            </w:r>
          </w:p>
        </w:tc>
        <w:tc>
          <w:tcPr>
            <w:tcW w:w="1132" w:type="dxa"/>
          </w:tcPr>
          <w:p w:rsidR="007D6D11" w:rsidRPr="00F97EC4" w:rsidRDefault="007D6D11" w:rsidP="009C0946">
            <w:pPr>
              <w:pStyle w:val="1"/>
              <w:spacing w:before="3" w:after="3"/>
              <w:jc w:val="center"/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</w:pPr>
            <w:r w:rsidRPr="00F97EC4">
              <w:rPr>
                <w:rFonts w:ascii="Times New Roman" w:eastAsia="Times New Roman" w:hAnsi="Times New Roman" w:hint="eastAsia"/>
                <w:b w:val="0"/>
                <w:sz w:val="24"/>
                <w:szCs w:val="24"/>
                <w:lang w:eastAsia="ja-JP"/>
              </w:rPr>
              <w:t>0</w:t>
            </w:r>
            <w:r w:rsidRPr="00F97EC4">
              <w:rPr>
                <w:rFonts w:ascii="Times New Roman" w:eastAsia="Times New Roman" w:hAnsi="Times New Roman"/>
                <w:b w:val="0"/>
                <w:sz w:val="24"/>
                <w:szCs w:val="24"/>
                <w:lang w:eastAsia="ja-JP"/>
              </w:rPr>
              <w:t>.9252</w:t>
            </w:r>
          </w:p>
        </w:tc>
      </w:tr>
    </w:tbl>
    <w:p w:rsidR="007D6D11" w:rsidRDefault="007D6D11" w:rsidP="007D6D11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64CAA" w:rsidRPr="00F97EC4" w:rsidRDefault="007D6D11" w:rsidP="007D6D11">
      <w:pPr>
        <w:rPr>
          <w:rFonts w:ascii="Times New Roman" w:hAnsi="Times New Roman"/>
          <w:color w:val="000000" w:themeColor="text1"/>
          <w:sz w:val="24"/>
        </w:rPr>
      </w:pPr>
      <w:r w:rsidRPr="00F97EC4">
        <w:rPr>
          <w:rFonts w:ascii="Times New Roman" w:hAnsi="Times New Roman" w:cs="Times New Roman"/>
          <w:color w:val="000000" w:themeColor="text1"/>
          <w:sz w:val="24"/>
        </w:rPr>
        <w:t>*</w:t>
      </w:r>
      <w:r w:rsidRPr="00F97EC4">
        <w:rPr>
          <w:rFonts w:ascii="Times New Roman" w:hAnsi="Times New Roman" w:cs="Times New Roman"/>
          <w:i/>
          <w:color w:val="000000" w:themeColor="text1"/>
          <w:kern w:val="0"/>
          <w:sz w:val="24"/>
        </w:rPr>
        <w:t>P</w:t>
      </w:r>
      <w:r w:rsidRPr="00F97EC4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&lt; 0.05 was considered significant.</w:t>
      </w:r>
    </w:p>
    <w:p w:rsidR="003523E8" w:rsidRDefault="003523E8">
      <w:pPr>
        <w:widowControl/>
        <w:jc w:val="left"/>
      </w:pPr>
      <w:r>
        <w:br w:type="page"/>
      </w:r>
    </w:p>
    <w:p w:rsidR="003523E8" w:rsidRPr="00F97EC4" w:rsidRDefault="003523E8" w:rsidP="003523E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SUPPORTING </w:t>
      </w:r>
      <w:r w:rsidRPr="00F97EC4">
        <w:rPr>
          <w:rFonts w:ascii="Times New Roman" w:hAnsi="Times New Roman" w:hint="eastAsia"/>
          <w:b/>
          <w:bCs/>
          <w:sz w:val="24"/>
        </w:rPr>
        <w:t>F</w:t>
      </w:r>
      <w:r w:rsidRPr="00F97EC4">
        <w:rPr>
          <w:rFonts w:ascii="Times New Roman" w:hAnsi="Times New Roman"/>
          <w:b/>
          <w:bCs/>
          <w:sz w:val="24"/>
        </w:rPr>
        <w:t xml:space="preserve">IG. </w:t>
      </w:r>
      <w:r>
        <w:rPr>
          <w:rFonts w:ascii="Times New Roman" w:hAnsi="Times New Roman"/>
          <w:b/>
          <w:bCs/>
          <w:sz w:val="24"/>
        </w:rPr>
        <w:t>1</w:t>
      </w:r>
      <w:r w:rsidRPr="00F97EC4">
        <w:rPr>
          <w:rFonts w:ascii="Times New Roman" w:hAnsi="Times New Roman"/>
          <w:sz w:val="24"/>
        </w:rPr>
        <w:t xml:space="preserve"> </w:t>
      </w:r>
      <w:r w:rsidRPr="00F97EC4">
        <w:rPr>
          <w:rFonts w:ascii="Times New Roman" w:hAnsi="Times New Roman" w:cs="Times New Roman"/>
          <w:kern w:val="0"/>
          <w:sz w:val="24"/>
        </w:rPr>
        <w:t>Effects of UDCA treatment on liver biochemistry (n = 173).</w:t>
      </w:r>
      <w:r w:rsidRPr="00F97EC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F97EC4">
        <w:rPr>
          <w:rFonts w:ascii="Times New Roman" w:hAnsi="Times New Roman" w:cs="Times New Roman"/>
          <w:kern w:val="0"/>
          <w:sz w:val="24"/>
        </w:rPr>
        <w:t>The serum levels of bilirubin (A), ALP (B), albumin (C), and</w:t>
      </w:r>
      <w:r w:rsidRPr="00F97EC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F97EC4">
        <w:rPr>
          <w:rFonts w:ascii="Times New Roman" w:hAnsi="Times New Roman" w:cs="Times New Roman"/>
          <w:kern w:val="0"/>
          <w:sz w:val="24"/>
        </w:rPr>
        <w:t xml:space="preserve">ALT (D) and the platelet count (E) are shown as absolute </w:t>
      </w:r>
      <w:r w:rsidRPr="00F97EC4">
        <w:rPr>
          <w:rFonts w:ascii="Times New Roman" w:eastAsia="游明朝" w:hAnsi="Times New Roman" w:cs="Times New Roman"/>
          <w:kern w:val="0"/>
          <w:sz w:val="24"/>
        </w:rPr>
        <w:t>counts</w:t>
      </w:r>
      <w:r w:rsidRPr="00F97EC4">
        <w:rPr>
          <w:rFonts w:ascii="Times New Roman" w:hAnsi="Times New Roman" w:cs="Times New Roman"/>
          <w:kern w:val="0"/>
          <w:sz w:val="24"/>
        </w:rPr>
        <w:t xml:space="preserve"> and were compared before UDCA treatment and after UDCA</w:t>
      </w:r>
      <w:r w:rsidRPr="00F97EC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F97EC4">
        <w:rPr>
          <w:rFonts w:ascii="Times New Roman" w:hAnsi="Times New Roman" w:cs="Times New Roman"/>
          <w:kern w:val="0"/>
          <w:sz w:val="24"/>
        </w:rPr>
        <w:t>treatment for 12 months between patients with PBC-CREST and those with PBC alone. Data are the mean</w:t>
      </w:r>
      <w:r w:rsidRPr="00F97EC4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± </w:t>
      </w:r>
      <w:r w:rsidRPr="00F97EC4">
        <w:rPr>
          <w:rFonts w:ascii="Times New Roman" w:hAnsi="Times New Roman" w:cs="Times New Roman"/>
          <w:kern w:val="0"/>
          <w:sz w:val="24"/>
        </w:rPr>
        <w:t>SD</w:t>
      </w:r>
      <w:r w:rsidRPr="00F97EC4">
        <w:rPr>
          <w:rFonts w:ascii="Times New Roman" w:eastAsia="游明朝" w:hAnsi="Times New Roman" w:cs="Times New Roman"/>
          <w:kern w:val="0"/>
          <w:sz w:val="24"/>
        </w:rPr>
        <w:t>,</w:t>
      </w:r>
      <w:r w:rsidRPr="00F97EC4">
        <w:rPr>
          <w:rFonts w:ascii="Times New Roman" w:hAnsi="Times New Roman" w:cs="Times New Roman"/>
          <w:kern w:val="0"/>
          <w:sz w:val="24"/>
        </w:rPr>
        <w:t xml:space="preserve"> and the statistical significance of the </w:t>
      </w:r>
      <w:r w:rsidRPr="00F97EC4">
        <w:rPr>
          <w:rFonts w:ascii="Times New Roman" w:eastAsia="游明朝" w:hAnsi="Times New Roman" w:cs="Times New Roman"/>
          <w:kern w:val="0"/>
          <w:sz w:val="24"/>
        </w:rPr>
        <w:t>differences</w:t>
      </w:r>
      <w:r w:rsidRPr="00F97EC4">
        <w:rPr>
          <w:rFonts w:ascii="Times New Roman" w:hAnsi="Times New Roman" w:cs="Times New Roman"/>
          <w:kern w:val="0"/>
          <w:sz w:val="24"/>
        </w:rPr>
        <w:t xml:space="preserve"> between the different groups was evaluated</w:t>
      </w:r>
      <w:r w:rsidRPr="00F97EC4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F97EC4">
        <w:rPr>
          <w:rFonts w:ascii="Times New Roman" w:hAnsi="Times New Roman" w:cs="Times New Roman"/>
          <w:kern w:val="0"/>
          <w:sz w:val="24"/>
        </w:rPr>
        <w:t>using the nonparametric Wilcoxon signed-rank test.</w:t>
      </w:r>
    </w:p>
    <w:p w:rsidR="00280C69" w:rsidRPr="003523E8" w:rsidRDefault="00280C69"/>
    <w:sectPr w:rsidR="00280C69" w:rsidRPr="003523E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明朝">
    <w:altName w:val="MS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C69"/>
    <w:rsid w:val="00280C69"/>
    <w:rsid w:val="003523E8"/>
    <w:rsid w:val="00364CAA"/>
    <w:rsid w:val="007D6D11"/>
    <w:rsid w:val="00FD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9DBC56"/>
  <w15:chartTrackingRefBased/>
  <w15:docId w15:val="{A891C563-92DF-AF4C-BAAE-56695A55E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CAA"/>
    <w:pPr>
      <w:widowControl w:val="0"/>
      <w:jc w:val="both"/>
    </w:pPr>
    <w:rPr>
      <w14:ligatures w14:val="none"/>
    </w:rPr>
  </w:style>
  <w:style w:type="paragraph" w:styleId="1">
    <w:name w:val="heading 1"/>
    <w:basedOn w:val="a"/>
    <w:link w:val="10"/>
    <w:qFormat/>
    <w:rsid w:val="00FD0835"/>
    <w:pPr>
      <w:widowControl/>
      <w:spacing w:beforeLines="1" w:afterLines="1"/>
      <w:jc w:val="left"/>
      <w:outlineLvl w:val="0"/>
    </w:pPr>
    <w:rPr>
      <w:rFonts w:ascii="Times" w:eastAsia="ＭＳ 明朝" w:hAnsi="Times" w:cs="Times New Roman"/>
      <w:b/>
      <w:kern w:val="36"/>
      <w:sz w:val="48"/>
      <w:szCs w:val="20"/>
      <w:lang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4CAA"/>
    <w:rPr>
      <w:sz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FD0835"/>
    <w:rPr>
      <w:rFonts w:ascii="Times" w:eastAsia="ＭＳ 明朝" w:hAnsi="Times" w:cs="Times New Roman"/>
      <w:b/>
      <w:kern w:val="36"/>
      <w:sz w:val="48"/>
      <w:szCs w:val="20"/>
      <w:lang w:eastAsia="x-none"/>
      <w14:ligatures w14:val="none"/>
    </w:rPr>
  </w:style>
  <w:style w:type="paragraph" w:customStyle="1" w:styleId="desc">
    <w:name w:val="desc"/>
    <w:basedOn w:val="a"/>
    <w:rsid w:val="00FD0835"/>
    <w:pPr>
      <w:widowControl/>
      <w:spacing w:before="100" w:beforeAutospacing="1" w:after="100" w:afterAutospacing="1"/>
      <w:jc w:val="left"/>
    </w:pPr>
    <w:rPr>
      <w:rFonts w:ascii="Times" w:hAnsi="Times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518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 和道</dc:creator>
  <cp:keywords/>
  <dc:description/>
  <cp:lastModifiedBy>阿部 和道</cp:lastModifiedBy>
  <cp:revision>5</cp:revision>
  <dcterms:created xsi:type="dcterms:W3CDTF">2023-10-28T05:31:00Z</dcterms:created>
  <dcterms:modified xsi:type="dcterms:W3CDTF">2023-10-28T05:42:00Z</dcterms:modified>
</cp:coreProperties>
</file>