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398ED" w14:textId="77777777" w:rsidR="00F9353D" w:rsidRPr="00F9353D" w:rsidRDefault="00F9353D" w:rsidP="00F9353D">
      <w:pPr>
        <w:pStyle w:val="Heading1"/>
        <w:numPr>
          <w:ilvl w:val="0"/>
          <w:numId w:val="0"/>
        </w:numPr>
        <w:spacing w:line="276" w:lineRule="auto"/>
        <w:rPr>
          <w:szCs w:val="24"/>
        </w:rPr>
      </w:pPr>
      <w:r w:rsidRPr="00F9353D">
        <w:rPr>
          <w:szCs w:val="24"/>
          <w:lang w:val="en-DE"/>
        </w:rPr>
        <w:t>Supplementary Information</w:t>
      </w:r>
    </w:p>
    <w:p w14:paraId="5DFE7D82" w14:textId="4687DA01" w:rsidR="00F9353D" w:rsidRPr="00F9353D" w:rsidRDefault="00F9353D" w:rsidP="00512BC3">
      <w:pPr>
        <w:pStyle w:val="Heading2"/>
        <w:spacing w:line="276" w:lineRule="auto"/>
        <w:jc w:val="center"/>
        <w:rPr>
          <w:rFonts w:eastAsia="Times New Roman" w:cs="Times New Roman"/>
          <w:szCs w:val="20"/>
        </w:rPr>
      </w:pPr>
      <w:r w:rsidRPr="00F9353D">
        <w:rPr>
          <w:rFonts w:eastAsia="Times New Roman" w:cs="Times New Roman"/>
          <w:szCs w:val="20"/>
        </w:rPr>
        <w:t xml:space="preserve">Assessment of methodological quality </w:t>
      </w:r>
      <w:r w:rsidR="00AE098C">
        <w:rPr>
          <w:rFonts w:eastAsia="Times New Roman" w:cs="Times New Roman"/>
          <w:szCs w:val="20"/>
          <w:lang w:val="en-DE"/>
        </w:rPr>
        <w:t xml:space="preserve">of </w:t>
      </w:r>
      <w:r w:rsidRPr="00F9353D">
        <w:rPr>
          <w:rFonts w:eastAsia="Times New Roman" w:cs="Times New Roman"/>
          <w:szCs w:val="20"/>
        </w:rPr>
        <w:t>studies investigating immersive virtual reality to reduce racial prejudice using the JBI critical appraisal checklist</w:t>
      </w:r>
    </w:p>
    <w:p w14:paraId="0721D406" w14:textId="77777777" w:rsidR="00F9353D" w:rsidRPr="00F9353D" w:rsidRDefault="00F9353D" w:rsidP="00F9353D">
      <w:pPr>
        <w:spacing w:after="0"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"/>
        <w:tblW w:w="9493" w:type="dxa"/>
        <w:tblLayout w:type="fixed"/>
        <w:tblLook w:val="0600" w:firstRow="0" w:lastRow="0" w:firstColumn="0" w:lastColumn="0" w:noHBand="1" w:noVBand="1"/>
      </w:tblPr>
      <w:tblGrid>
        <w:gridCol w:w="2043"/>
        <w:gridCol w:w="687"/>
        <w:gridCol w:w="480"/>
        <w:gridCol w:w="495"/>
        <w:gridCol w:w="495"/>
        <w:gridCol w:w="480"/>
        <w:gridCol w:w="511"/>
        <w:gridCol w:w="480"/>
        <w:gridCol w:w="449"/>
        <w:gridCol w:w="526"/>
        <w:gridCol w:w="449"/>
        <w:gridCol w:w="605"/>
        <w:gridCol w:w="480"/>
        <w:gridCol w:w="574"/>
        <w:gridCol w:w="739"/>
      </w:tblGrid>
      <w:tr w:rsidR="00F9353D" w:rsidRPr="00F9353D" w14:paraId="7BDD9C81" w14:textId="77777777" w:rsidTr="00A77541">
        <w:trPr>
          <w:trHeight w:val="741"/>
        </w:trPr>
        <w:tc>
          <w:tcPr>
            <w:tcW w:w="2043" w:type="dxa"/>
            <w:vAlign w:val="center"/>
          </w:tcPr>
          <w:p w14:paraId="37CF9DF5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87" w:type="dxa"/>
            <w:vAlign w:val="center"/>
          </w:tcPr>
          <w:p w14:paraId="32EB8730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0" w:type="dxa"/>
            <w:vAlign w:val="center"/>
          </w:tcPr>
          <w:p w14:paraId="10AE0559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95" w:type="dxa"/>
            <w:vAlign w:val="center"/>
          </w:tcPr>
          <w:p w14:paraId="7F0FD0B0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95" w:type="dxa"/>
            <w:vAlign w:val="center"/>
          </w:tcPr>
          <w:p w14:paraId="1CC5FA55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vAlign w:val="center"/>
          </w:tcPr>
          <w:p w14:paraId="7221553C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11" w:type="dxa"/>
            <w:vAlign w:val="center"/>
          </w:tcPr>
          <w:p w14:paraId="03CFCE25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80" w:type="dxa"/>
            <w:vAlign w:val="center"/>
          </w:tcPr>
          <w:p w14:paraId="562411EB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49" w:type="dxa"/>
            <w:vAlign w:val="center"/>
          </w:tcPr>
          <w:p w14:paraId="40D05237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26" w:type="dxa"/>
            <w:vAlign w:val="center"/>
          </w:tcPr>
          <w:p w14:paraId="12EEECC3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49" w:type="dxa"/>
            <w:vAlign w:val="center"/>
          </w:tcPr>
          <w:p w14:paraId="72FDB414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05" w:type="dxa"/>
            <w:vAlign w:val="center"/>
          </w:tcPr>
          <w:p w14:paraId="09F248CC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80" w:type="dxa"/>
            <w:vAlign w:val="center"/>
          </w:tcPr>
          <w:p w14:paraId="2EDF7262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74" w:type="dxa"/>
            <w:vAlign w:val="center"/>
          </w:tcPr>
          <w:p w14:paraId="4D33DCE3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739" w:type="dxa"/>
            <w:vAlign w:val="center"/>
          </w:tcPr>
          <w:p w14:paraId="59ADCEA6" w14:textId="77777777" w:rsidR="00F9353D" w:rsidRPr="00A77541" w:rsidRDefault="00F9353D" w:rsidP="00A77541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775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F9353D" w:rsidRPr="00F9353D" w14:paraId="48B2C5AA" w14:textId="77777777" w:rsidTr="00A77541">
        <w:trPr>
          <w:trHeight w:val="720"/>
        </w:trPr>
        <w:tc>
          <w:tcPr>
            <w:tcW w:w="2043" w:type="dxa"/>
          </w:tcPr>
          <w:p w14:paraId="7FC9F7C5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Thériault</w:t>
            </w:r>
            <w:proofErr w:type="spellEnd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 (2021)</w:t>
            </w:r>
          </w:p>
        </w:tc>
        <w:tc>
          <w:tcPr>
            <w:tcW w:w="687" w:type="dxa"/>
          </w:tcPr>
          <w:p w14:paraId="02334AF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04CF85BB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95" w:type="dxa"/>
          </w:tcPr>
          <w:p w14:paraId="2849F98E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38F783E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0A8C493E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511" w:type="dxa"/>
          </w:tcPr>
          <w:p w14:paraId="42E2852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480" w:type="dxa"/>
          </w:tcPr>
          <w:p w14:paraId="071BC4ED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4F5E66B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7396E07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7E2EA76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5ED8D04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3EBB97CD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574" w:type="dxa"/>
          </w:tcPr>
          <w:p w14:paraId="3DBB630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58D39973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  <w:tr w:rsidR="00F9353D" w:rsidRPr="00F9353D" w14:paraId="7BC74711" w14:textId="77777777" w:rsidTr="00A77541">
        <w:trPr>
          <w:trHeight w:val="741"/>
        </w:trPr>
        <w:tc>
          <w:tcPr>
            <w:tcW w:w="2043" w:type="dxa"/>
          </w:tcPr>
          <w:p w14:paraId="0D55F263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Harjunen</w:t>
            </w:r>
            <w:proofErr w:type="spellEnd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 (2022)</w:t>
            </w:r>
          </w:p>
        </w:tc>
        <w:tc>
          <w:tcPr>
            <w:tcW w:w="687" w:type="dxa"/>
          </w:tcPr>
          <w:p w14:paraId="35407B7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05CD19E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95" w:type="dxa"/>
          </w:tcPr>
          <w:p w14:paraId="2866DFE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0DA84A8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0C3F097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6959C79B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480" w:type="dxa"/>
          </w:tcPr>
          <w:p w14:paraId="344B6EC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4CE6CB7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526" w:type="dxa"/>
          </w:tcPr>
          <w:p w14:paraId="4D17C2D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239B41B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16351AD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0E5392A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372D133D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5747E273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  <w:tr w:rsidR="00F9353D" w:rsidRPr="00F9353D" w14:paraId="4B6EDBF2" w14:textId="77777777" w:rsidTr="00A77541">
        <w:trPr>
          <w:trHeight w:val="359"/>
        </w:trPr>
        <w:tc>
          <w:tcPr>
            <w:tcW w:w="2043" w:type="dxa"/>
          </w:tcPr>
          <w:p w14:paraId="26FE4998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3. Hasler et al (2017)</w:t>
            </w:r>
          </w:p>
        </w:tc>
        <w:tc>
          <w:tcPr>
            <w:tcW w:w="687" w:type="dxa"/>
          </w:tcPr>
          <w:p w14:paraId="045A0DC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0DCF890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6DC87D1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3F73303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410CD66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2489873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4B14BDA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75BD128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717D855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7772080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6CAB5DF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053FDF9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7E70584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36F761C7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F9353D" w:rsidRPr="00F9353D" w14:paraId="10460D94" w14:textId="77777777" w:rsidTr="00A77541">
        <w:trPr>
          <w:trHeight w:val="741"/>
        </w:trPr>
        <w:tc>
          <w:tcPr>
            <w:tcW w:w="2043" w:type="dxa"/>
          </w:tcPr>
          <w:p w14:paraId="76F8A5C8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Banakou</w:t>
            </w:r>
            <w:proofErr w:type="spellEnd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 (2016)</w:t>
            </w:r>
          </w:p>
        </w:tc>
        <w:tc>
          <w:tcPr>
            <w:tcW w:w="687" w:type="dxa"/>
          </w:tcPr>
          <w:p w14:paraId="3BFCE5D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700935A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2C5C206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95" w:type="dxa"/>
          </w:tcPr>
          <w:p w14:paraId="65532BD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42C5A19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32D4C01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26DA594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21A086C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265EABA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18EAE93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0702103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7534E60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0969381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2498AD88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F9353D" w:rsidRPr="00F9353D" w14:paraId="1D370ABC" w14:textId="77777777" w:rsidTr="00A77541">
        <w:trPr>
          <w:trHeight w:val="359"/>
        </w:trPr>
        <w:tc>
          <w:tcPr>
            <w:tcW w:w="2043" w:type="dxa"/>
          </w:tcPr>
          <w:p w14:paraId="6A83B211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5. Peck et al (2013)</w:t>
            </w:r>
          </w:p>
        </w:tc>
        <w:tc>
          <w:tcPr>
            <w:tcW w:w="687" w:type="dxa"/>
          </w:tcPr>
          <w:p w14:paraId="5953251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65C1F6C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5D254F4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95" w:type="dxa"/>
          </w:tcPr>
          <w:p w14:paraId="7B5FB4A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21A264A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6DFC296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7DCDC40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59E6894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7C2D33F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6D2EABDE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328465A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1C3C70D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55C1B24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02E16D9E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</w:p>
        </w:tc>
      </w:tr>
      <w:tr w:rsidR="00F9353D" w:rsidRPr="00F9353D" w14:paraId="6D833D93" w14:textId="77777777" w:rsidTr="00A77541">
        <w:trPr>
          <w:trHeight w:val="720"/>
        </w:trPr>
        <w:tc>
          <w:tcPr>
            <w:tcW w:w="2043" w:type="dxa"/>
          </w:tcPr>
          <w:p w14:paraId="63A39AF3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6. Tassinari et al (2022)</w:t>
            </w:r>
          </w:p>
        </w:tc>
        <w:tc>
          <w:tcPr>
            <w:tcW w:w="687" w:type="dxa"/>
          </w:tcPr>
          <w:p w14:paraId="167C462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389C12E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95" w:type="dxa"/>
          </w:tcPr>
          <w:p w14:paraId="568DB50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1566C59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22B6982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51F804C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32DB523B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449" w:type="dxa"/>
          </w:tcPr>
          <w:p w14:paraId="22EE6D6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2FE8360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7A6D7F0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55B05E7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6A2479A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145C02FE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28EB7F66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F9353D" w:rsidRPr="00F9353D" w14:paraId="5630C59A" w14:textId="77777777" w:rsidTr="00A77541">
        <w:trPr>
          <w:trHeight w:val="380"/>
        </w:trPr>
        <w:tc>
          <w:tcPr>
            <w:tcW w:w="2043" w:type="dxa"/>
          </w:tcPr>
          <w:p w14:paraId="5EDE2238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7. Chen et al. (2021)</w:t>
            </w:r>
          </w:p>
        </w:tc>
        <w:tc>
          <w:tcPr>
            <w:tcW w:w="687" w:type="dxa"/>
          </w:tcPr>
          <w:p w14:paraId="0AD394E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72039A6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0F48899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6CD323AB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7B0C51B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22A7468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06495E5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449" w:type="dxa"/>
          </w:tcPr>
          <w:p w14:paraId="47B428E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65914FA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12AA771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30A68B2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00348DE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7B3424F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1A7A0579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F9353D" w:rsidRPr="00F9353D" w14:paraId="3E4ECDCD" w14:textId="77777777" w:rsidTr="00A77541">
        <w:trPr>
          <w:trHeight w:val="720"/>
        </w:trPr>
        <w:tc>
          <w:tcPr>
            <w:tcW w:w="2043" w:type="dxa"/>
          </w:tcPr>
          <w:p w14:paraId="28198C33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8. </w:t>
            </w:r>
            <w:proofErr w:type="spellStart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Banakou</w:t>
            </w:r>
            <w:proofErr w:type="spellEnd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687" w:type="dxa"/>
          </w:tcPr>
          <w:p w14:paraId="77243F8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44A6881E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43C0D1D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95" w:type="dxa"/>
          </w:tcPr>
          <w:p w14:paraId="573E46D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0B30B95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6743158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139D842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1CE2C6A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526" w:type="dxa"/>
          </w:tcPr>
          <w:p w14:paraId="42EB8DEB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61B0526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44551D3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104DC55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129904C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13585202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F9353D" w:rsidRPr="00F9353D" w14:paraId="40D7BF90" w14:textId="77777777" w:rsidTr="00A77541">
        <w:trPr>
          <w:trHeight w:val="741"/>
        </w:trPr>
        <w:tc>
          <w:tcPr>
            <w:tcW w:w="2043" w:type="dxa"/>
          </w:tcPr>
          <w:p w14:paraId="7039F85A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 </w:t>
            </w:r>
            <w:proofErr w:type="spellStart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Salmanowitz</w:t>
            </w:r>
            <w:proofErr w:type="spellEnd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(2018)</w:t>
            </w:r>
          </w:p>
        </w:tc>
        <w:tc>
          <w:tcPr>
            <w:tcW w:w="687" w:type="dxa"/>
          </w:tcPr>
          <w:p w14:paraId="7AF98E7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52DAD86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95" w:type="dxa"/>
          </w:tcPr>
          <w:p w14:paraId="30AD90C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0D992C6B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4849C8D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51AA638D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10B9FFB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4A9349F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color w:val="274E13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26" w:type="dxa"/>
          </w:tcPr>
          <w:p w14:paraId="0F88B38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0A5C7AD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18E07AE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76D85EC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65B947EB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1008E8CD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  <w:tr w:rsidR="00F9353D" w:rsidRPr="00F9353D" w14:paraId="7E72B3E2" w14:textId="77777777" w:rsidTr="00A77541">
        <w:trPr>
          <w:trHeight w:val="741"/>
        </w:trPr>
        <w:tc>
          <w:tcPr>
            <w:tcW w:w="2043" w:type="dxa"/>
          </w:tcPr>
          <w:p w14:paraId="2FDCCEE8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10. Alvidrez et al (2020)</w:t>
            </w:r>
          </w:p>
        </w:tc>
        <w:tc>
          <w:tcPr>
            <w:tcW w:w="687" w:type="dxa"/>
          </w:tcPr>
          <w:p w14:paraId="44FA5AB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537726C6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1D17634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2548837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69E862E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1327A06C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72421AE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6D0F480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7E4AA68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10E38A9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0448C54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76C6243D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2A692F5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204B290E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9353D" w:rsidRPr="00F9353D" w14:paraId="152F16C3" w14:textId="77777777" w:rsidTr="00A77541">
        <w:trPr>
          <w:trHeight w:val="720"/>
        </w:trPr>
        <w:tc>
          <w:tcPr>
            <w:tcW w:w="2043" w:type="dxa"/>
          </w:tcPr>
          <w:p w14:paraId="116BCEFA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11. Groom et al (2009)</w:t>
            </w:r>
          </w:p>
        </w:tc>
        <w:tc>
          <w:tcPr>
            <w:tcW w:w="687" w:type="dxa"/>
          </w:tcPr>
          <w:p w14:paraId="6FF0199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6913C99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3728B39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2F7E819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233F7B7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511" w:type="dxa"/>
          </w:tcPr>
          <w:p w14:paraId="557061BD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  <w:t>N</w:t>
            </w:r>
          </w:p>
        </w:tc>
        <w:tc>
          <w:tcPr>
            <w:tcW w:w="480" w:type="dxa"/>
          </w:tcPr>
          <w:p w14:paraId="536283E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0569F7A7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4D4E7BE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56F3927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59471215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168D9F93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522F8C1D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051F19D8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F9353D" w:rsidRPr="00F9353D" w14:paraId="4FD36FA3" w14:textId="77777777" w:rsidTr="00A77541">
        <w:trPr>
          <w:trHeight w:val="720"/>
        </w:trPr>
        <w:tc>
          <w:tcPr>
            <w:tcW w:w="2043" w:type="dxa"/>
          </w:tcPr>
          <w:p w14:paraId="4A88FF85" w14:textId="77777777" w:rsidR="00F9353D" w:rsidRPr="00F9353D" w:rsidRDefault="00F9353D" w:rsidP="00BE39F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12. </w:t>
            </w:r>
            <w:proofErr w:type="spellStart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>Patané</w:t>
            </w:r>
            <w:proofErr w:type="spellEnd"/>
            <w:r w:rsidRPr="00F9353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 (2020)</w:t>
            </w:r>
          </w:p>
        </w:tc>
        <w:tc>
          <w:tcPr>
            <w:tcW w:w="687" w:type="dxa"/>
          </w:tcPr>
          <w:p w14:paraId="04BF728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3F98628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5408C09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95" w:type="dxa"/>
          </w:tcPr>
          <w:p w14:paraId="6ED04740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474A5484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11" w:type="dxa"/>
          </w:tcPr>
          <w:p w14:paraId="099925F2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480" w:type="dxa"/>
          </w:tcPr>
          <w:p w14:paraId="53516E2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75FBEC0A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FF9900"/>
                <w:sz w:val="20"/>
                <w:szCs w:val="20"/>
              </w:rPr>
              <w:t>U</w:t>
            </w:r>
          </w:p>
        </w:tc>
        <w:tc>
          <w:tcPr>
            <w:tcW w:w="526" w:type="dxa"/>
          </w:tcPr>
          <w:p w14:paraId="5C9B30F8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49" w:type="dxa"/>
          </w:tcPr>
          <w:p w14:paraId="48B28551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605" w:type="dxa"/>
          </w:tcPr>
          <w:p w14:paraId="03B14B7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480" w:type="dxa"/>
          </w:tcPr>
          <w:p w14:paraId="43A9FD29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color w:val="38761D"/>
                <w:sz w:val="20"/>
                <w:szCs w:val="20"/>
              </w:rPr>
              <w:t>Y</w:t>
            </w:r>
          </w:p>
        </w:tc>
        <w:tc>
          <w:tcPr>
            <w:tcW w:w="574" w:type="dxa"/>
          </w:tcPr>
          <w:p w14:paraId="6B61E64F" w14:textId="77777777" w:rsidR="00F9353D" w:rsidRPr="00F9353D" w:rsidRDefault="00F9353D" w:rsidP="00BE39F3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</w:t>
            </w:r>
          </w:p>
        </w:tc>
        <w:tc>
          <w:tcPr>
            <w:tcW w:w="739" w:type="dxa"/>
          </w:tcPr>
          <w:p w14:paraId="25CD4B6E" w14:textId="77777777" w:rsidR="00F9353D" w:rsidRPr="00F9353D" w:rsidRDefault="00F9353D" w:rsidP="00BE39F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353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</w:tbl>
    <w:p w14:paraId="7D6E8E49" w14:textId="77777777" w:rsidR="00F9353D" w:rsidRPr="00F9353D" w:rsidRDefault="00F9353D" w:rsidP="00F9353D">
      <w:pPr>
        <w:spacing w:after="0"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5F3B48E" w14:textId="1FD5C093" w:rsidR="00484A5F" w:rsidRPr="00AE098C" w:rsidRDefault="00F9353D" w:rsidP="00AE098C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9353D">
        <w:rPr>
          <w:rFonts w:ascii="Times New Roman" w:eastAsia="Times New Roman" w:hAnsi="Times New Roman" w:cs="Times New Roman"/>
          <w:b/>
          <w:sz w:val="20"/>
          <w:szCs w:val="20"/>
        </w:rPr>
        <w:t xml:space="preserve">Abbreviations: </w:t>
      </w:r>
      <w:r w:rsidRPr="00F9353D">
        <w:rPr>
          <w:rFonts w:ascii="Times New Roman" w:eastAsia="Times New Roman" w:hAnsi="Times New Roman" w:cs="Times New Roman"/>
          <w:sz w:val="20"/>
          <w:szCs w:val="20"/>
        </w:rPr>
        <w:t xml:space="preserve">N: No, Y: Yes, U: Unclear and NA: Not Applicable. 1: Was true randomization used for assignment of participants to treatment groups?, 2: Was allocation to treatment groups concealed?, 3: Were treatment groups similar at the baseline?, 4:Were participants blind to treatment assignment?, 5: Were those delivering treatment blind to treatment assignment? , 6: Were outcomes assessors blind to treatment assignment?, 7: Were treatment groups treated identically other than the intervention of interest?, 8: Was follow up complete and if not, were differences between groups in terms of their follow up adequately described and </w:t>
      </w:r>
      <w:proofErr w:type="spellStart"/>
      <w:r w:rsidRPr="00F9353D">
        <w:rPr>
          <w:rFonts w:ascii="Times New Roman" w:eastAsia="Times New Roman" w:hAnsi="Times New Roman" w:cs="Times New Roman"/>
          <w:sz w:val="20"/>
          <w:szCs w:val="20"/>
        </w:rPr>
        <w:t>analyzed</w:t>
      </w:r>
      <w:proofErr w:type="spellEnd"/>
      <w:r w:rsidRPr="00F9353D">
        <w:rPr>
          <w:rFonts w:ascii="Times New Roman" w:eastAsia="Times New Roman" w:hAnsi="Times New Roman" w:cs="Times New Roman"/>
          <w:sz w:val="20"/>
          <w:szCs w:val="20"/>
        </w:rPr>
        <w:t xml:space="preserve">?, 9: Were participants </w:t>
      </w:r>
      <w:proofErr w:type="spellStart"/>
      <w:r w:rsidRPr="00F9353D">
        <w:rPr>
          <w:rFonts w:ascii="Times New Roman" w:eastAsia="Times New Roman" w:hAnsi="Times New Roman" w:cs="Times New Roman"/>
          <w:sz w:val="20"/>
          <w:szCs w:val="20"/>
        </w:rPr>
        <w:t>analyzed</w:t>
      </w:r>
      <w:proofErr w:type="spellEnd"/>
      <w:r w:rsidRPr="00F9353D">
        <w:rPr>
          <w:rFonts w:ascii="Times New Roman" w:eastAsia="Times New Roman" w:hAnsi="Times New Roman" w:cs="Times New Roman"/>
          <w:sz w:val="20"/>
          <w:szCs w:val="20"/>
        </w:rPr>
        <w:t xml:space="preserve"> in the groups to which they were randomized?, 10: Were outcomes measured in the same way for treatment groups?, 11: Were outcomes measured in a reliable way?, 12: Was appropriate statistical analysis used?, 13: Was the trial design appropriate, and any deviations from the standard RCT design (individual randomization, parallel groups) accounted for in the conduct and analysis of the trial?</w:t>
      </w:r>
    </w:p>
    <w:sectPr w:rsidR="00484A5F" w:rsidRPr="00AE09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8892E" w14:textId="77777777" w:rsidR="00C319E4" w:rsidRDefault="00C319E4" w:rsidP="00F9353D">
      <w:pPr>
        <w:spacing w:after="0" w:line="240" w:lineRule="auto"/>
      </w:pPr>
      <w:r>
        <w:separator/>
      </w:r>
    </w:p>
  </w:endnote>
  <w:endnote w:type="continuationSeparator" w:id="0">
    <w:p w14:paraId="25F7DFF0" w14:textId="77777777" w:rsidR="00C319E4" w:rsidRDefault="00C319E4" w:rsidP="00F93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5CF16" w14:textId="77777777" w:rsidR="00C319E4" w:rsidRDefault="00C319E4" w:rsidP="00F9353D">
      <w:pPr>
        <w:spacing w:after="0" w:line="240" w:lineRule="auto"/>
      </w:pPr>
      <w:r>
        <w:separator/>
      </w:r>
    </w:p>
  </w:footnote>
  <w:footnote w:type="continuationSeparator" w:id="0">
    <w:p w14:paraId="3A0E5C05" w14:textId="77777777" w:rsidR="00C319E4" w:rsidRDefault="00C319E4" w:rsidP="00F935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A13E43"/>
    <w:multiLevelType w:val="multilevel"/>
    <w:tmpl w:val="398AB0A2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665284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DA4"/>
    <w:rsid w:val="0002007C"/>
    <w:rsid w:val="002E1EB8"/>
    <w:rsid w:val="00460BF2"/>
    <w:rsid w:val="00484A5F"/>
    <w:rsid w:val="00512BC3"/>
    <w:rsid w:val="00623DA4"/>
    <w:rsid w:val="00A77541"/>
    <w:rsid w:val="00AE098C"/>
    <w:rsid w:val="00B93C5F"/>
    <w:rsid w:val="00C319E4"/>
    <w:rsid w:val="00D22A11"/>
    <w:rsid w:val="00F40E2E"/>
    <w:rsid w:val="00F45B43"/>
    <w:rsid w:val="00F9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69A476"/>
  <w15:chartTrackingRefBased/>
  <w15:docId w15:val="{F7C9763A-5CF4-4E6B-841A-4CA5A8A65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53D"/>
    <w:rPr>
      <w:rFonts w:ascii="Calibri" w:eastAsia="Calibri" w:hAnsi="Calibri" w:cs="Calibri"/>
      <w:kern w:val="0"/>
      <w:lang w:val="en-GB" w:eastAsia="en-GB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F9353D"/>
    <w:pPr>
      <w:numPr>
        <w:numId w:val="1"/>
      </w:numPr>
      <w:spacing w:before="240" w:beforeAutospacing="1" w:after="0" w:afterAutospacing="1" w:line="360" w:lineRule="auto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0"/>
      <w:lang w:val="en-ZW" w:eastAsia="en-ZW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353D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53D"/>
    <w:rPr>
      <w:rFonts w:ascii="Times New Roman" w:eastAsia="Times New Roman" w:hAnsi="Times New Roman" w:cs="Times New Roman"/>
      <w:b/>
      <w:bCs/>
      <w:kern w:val="36"/>
      <w:sz w:val="24"/>
      <w:szCs w:val="20"/>
      <w:lang w:val="en-ZW" w:eastAsia="en-ZW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9353D"/>
    <w:rPr>
      <w:rFonts w:ascii="Times New Roman" w:eastAsiaTheme="majorEastAsia" w:hAnsi="Times New Roman" w:cstheme="majorBidi"/>
      <w:b/>
      <w:kern w:val="0"/>
      <w:sz w:val="20"/>
      <w:szCs w:val="26"/>
      <w:lang w:val="en-GB"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935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353D"/>
    <w:rPr>
      <w:rFonts w:ascii="Calibri" w:eastAsia="Calibri" w:hAnsi="Calibri" w:cs="Calibri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935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53D"/>
    <w:rPr>
      <w:rFonts w:ascii="Calibri" w:eastAsia="Calibri" w:hAnsi="Calibri" w:cs="Calibri"/>
      <w:kern w:val="0"/>
      <w:lang w:val="en-GB" w:eastAsia="en-GB"/>
      <w14:ligatures w14:val="none"/>
    </w:rPr>
  </w:style>
  <w:style w:type="table" w:styleId="TableGrid">
    <w:name w:val="Table Grid"/>
    <w:basedOn w:val="TableNormal"/>
    <w:uiPriority w:val="39"/>
    <w:rsid w:val="00AE0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Higgins</dc:creator>
  <cp:keywords/>
  <dc:description/>
  <cp:lastModifiedBy>Sarah Higgins</cp:lastModifiedBy>
  <cp:revision>6</cp:revision>
  <cp:lastPrinted>2023-11-06T16:53:00Z</cp:lastPrinted>
  <dcterms:created xsi:type="dcterms:W3CDTF">2023-10-31T16:29:00Z</dcterms:created>
  <dcterms:modified xsi:type="dcterms:W3CDTF">2023-11-06T16:54:00Z</dcterms:modified>
</cp:coreProperties>
</file>