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07"/>
        </w:tabs>
        <w:spacing w:line="480" w:lineRule="auto"/>
        <w:jc w:val="left"/>
        <w:rPr>
          <w:rFonts w:hint="eastAsia" w:eastAsia="宋体" w:cs="Times New Roman"/>
          <w:b/>
          <w:sz w:val="24"/>
        </w:rPr>
      </w:pPr>
      <w:r>
        <w:rPr>
          <w:rFonts w:hint="eastAsia" w:eastAsia="宋体" w:cs="Times New Roman"/>
          <w:b/>
          <w:sz w:val="24"/>
        </w:rPr>
        <w:t>Supplementary Material</w:t>
      </w:r>
    </w:p>
    <w:p>
      <w:pPr>
        <w:tabs>
          <w:tab w:val="left" w:pos="907"/>
        </w:tabs>
        <w:spacing w:line="480" w:lineRule="auto"/>
        <w:jc w:val="left"/>
        <w:rPr>
          <w:rFonts w:cs="Times New Roman"/>
          <w:sz w:val="24"/>
        </w:rPr>
      </w:pPr>
      <w:bookmarkStart w:id="0" w:name="_GoBack"/>
      <w:bookmarkEnd w:id="0"/>
      <w:r>
        <w:rPr>
          <w:rFonts w:hint="eastAsia" w:cs="Times New Roman"/>
          <w:b/>
          <w:sz w:val="24"/>
          <w:lang w:val="en-US" w:eastAsia="zh-CN"/>
        </w:rPr>
        <w:t>Table A.1</w:t>
      </w:r>
      <w:r>
        <w:rPr>
          <w:rFonts w:cs="Times New Roman"/>
          <w:b/>
          <w:sz w:val="24"/>
        </w:rPr>
        <w:t xml:space="preserve"> </w:t>
      </w:r>
      <w:r>
        <w:rPr>
          <w:rFonts w:eastAsia="宋体" w:cs="Times New Roman"/>
          <w:bCs/>
          <w:sz w:val="24"/>
        </w:rPr>
        <w:t xml:space="preserve">The values of the pH, macronutrient and metal ions contents of the </w:t>
      </w:r>
      <w:r>
        <w:rPr>
          <w:rFonts w:hint="eastAsia" w:eastAsia="宋体" w:cs="Times New Roman"/>
          <w:bCs/>
          <w:sz w:val="24"/>
        </w:rPr>
        <w:t>tea plants</w:t>
      </w:r>
      <w:r>
        <w:rPr>
          <w:rFonts w:eastAsia="宋体" w:cs="Times New Roman"/>
          <w:bCs/>
          <w:sz w:val="24"/>
        </w:rPr>
        <w:t xml:space="preserve"> soil (mg/kg)</w:t>
      </w:r>
    </w:p>
    <w:tbl>
      <w:tblPr>
        <w:tblStyle w:val="2"/>
        <w:tblW w:w="1516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808"/>
        <w:gridCol w:w="1383"/>
        <w:gridCol w:w="978"/>
        <w:gridCol w:w="1085"/>
        <w:gridCol w:w="1081"/>
        <w:gridCol w:w="1151"/>
        <w:gridCol w:w="1016"/>
        <w:gridCol w:w="1084"/>
        <w:gridCol w:w="1084"/>
        <w:gridCol w:w="1084"/>
        <w:gridCol w:w="1084"/>
        <w:gridCol w:w="1084"/>
        <w:gridCol w:w="108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63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Sample</w:t>
            </w:r>
          </w:p>
        </w:tc>
        <w:tc>
          <w:tcPr>
            <w:tcW w:w="808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pH</w:t>
            </w:r>
          </w:p>
        </w:tc>
        <w:tc>
          <w:tcPr>
            <w:tcW w:w="1383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OM</w:t>
            </w:r>
          </w:p>
        </w:tc>
        <w:tc>
          <w:tcPr>
            <w:tcW w:w="978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N</w:t>
            </w:r>
          </w:p>
        </w:tc>
        <w:tc>
          <w:tcPr>
            <w:tcW w:w="1085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P</w:t>
            </w:r>
          </w:p>
        </w:tc>
        <w:tc>
          <w:tcPr>
            <w:tcW w:w="1081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</w:t>
            </w:r>
          </w:p>
        </w:tc>
        <w:tc>
          <w:tcPr>
            <w:tcW w:w="1151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Na</w:t>
            </w:r>
          </w:p>
        </w:tc>
        <w:tc>
          <w:tcPr>
            <w:tcW w:w="1016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Mg</w:t>
            </w:r>
          </w:p>
        </w:tc>
        <w:tc>
          <w:tcPr>
            <w:tcW w:w="1084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Ca</w:t>
            </w:r>
          </w:p>
        </w:tc>
        <w:tc>
          <w:tcPr>
            <w:tcW w:w="1084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Al</w:t>
            </w:r>
          </w:p>
        </w:tc>
        <w:tc>
          <w:tcPr>
            <w:tcW w:w="1084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Mn</w:t>
            </w:r>
          </w:p>
        </w:tc>
        <w:tc>
          <w:tcPr>
            <w:tcW w:w="1084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Fe</w:t>
            </w:r>
          </w:p>
        </w:tc>
        <w:tc>
          <w:tcPr>
            <w:tcW w:w="1084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Zn</w:t>
            </w:r>
          </w:p>
        </w:tc>
        <w:tc>
          <w:tcPr>
            <w:tcW w:w="1084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Pb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63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KSM02</w:t>
            </w:r>
          </w:p>
        </w:tc>
        <w:tc>
          <w:tcPr>
            <w:tcW w:w="808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4.05</w:t>
            </w:r>
            <w:r>
              <w:rPr>
                <w:rFonts w:eastAsia="宋体" w:cs="Times New Roman"/>
                <w:szCs w:val="21"/>
              </w:rPr>
              <w:t>±0.198h</w:t>
            </w:r>
          </w:p>
        </w:tc>
        <w:tc>
          <w:tcPr>
            <w:tcW w:w="1383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8377.35</w:t>
            </w:r>
            <w:r>
              <w:rPr>
                <w:rFonts w:eastAsia="宋体" w:cs="Times New Roman"/>
                <w:szCs w:val="21"/>
              </w:rPr>
              <w:t>±540.100h</w:t>
            </w:r>
          </w:p>
        </w:tc>
        <w:tc>
          <w:tcPr>
            <w:tcW w:w="978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3.58</w:t>
            </w:r>
            <w:r>
              <w:rPr>
                <w:rFonts w:eastAsia="宋体" w:cs="Times New Roman"/>
                <w:szCs w:val="21"/>
              </w:rPr>
              <w:t>±0.626d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37.98</w:t>
            </w:r>
            <w:r>
              <w:rPr>
                <w:rFonts w:eastAsia="宋体" w:cs="Times New Roman"/>
                <w:szCs w:val="21"/>
              </w:rPr>
              <w:t>±13.188b</w:t>
            </w:r>
          </w:p>
        </w:tc>
        <w:tc>
          <w:tcPr>
            <w:tcW w:w="1081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158.00</w:t>
            </w:r>
            <w:r>
              <w:rPr>
                <w:rFonts w:eastAsia="宋体" w:cs="Times New Roman"/>
                <w:szCs w:val="21"/>
              </w:rPr>
              <w:t>±8.485a</w:t>
            </w:r>
          </w:p>
        </w:tc>
        <w:tc>
          <w:tcPr>
            <w:tcW w:w="1151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5134.63±7.233d</w:t>
            </w:r>
          </w:p>
        </w:tc>
        <w:tc>
          <w:tcPr>
            <w:tcW w:w="1016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343.51±5.112d</w:t>
            </w:r>
          </w:p>
        </w:tc>
        <w:tc>
          <w:tcPr>
            <w:tcW w:w="1084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31.30±0.933e</w:t>
            </w:r>
          </w:p>
        </w:tc>
        <w:tc>
          <w:tcPr>
            <w:tcW w:w="1084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528.93±5.012b</w:t>
            </w:r>
          </w:p>
        </w:tc>
        <w:tc>
          <w:tcPr>
            <w:tcW w:w="1084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8.09±2.037e</w:t>
            </w:r>
          </w:p>
        </w:tc>
        <w:tc>
          <w:tcPr>
            <w:tcW w:w="1084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2.31±0.125c</w:t>
            </w:r>
          </w:p>
        </w:tc>
        <w:tc>
          <w:tcPr>
            <w:tcW w:w="1084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13.29±0.495b</w:t>
            </w:r>
          </w:p>
        </w:tc>
        <w:tc>
          <w:tcPr>
            <w:tcW w:w="1084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6.34±0.280c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63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KSC01</w:t>
            </w:r>
          </w:p>
        </w:tc>
        <w:tc>
          <w:tcPr>
            <w:tcW w:w="808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4.15</w:t>
            </w:r>
            <w:r>
              <w:rPr>
                <w:rFonts w:eastAsia="宋体" w:cs="Times New Roman"/>
                <w:szCs w:val="21"/>
              </w:rPr>
              <w:t>±0.161g</w:t>
            </w:r>
          </w:p>
        </w:tc>
        <w:tc>
          <w:tcPr>
            <w:tcW w:w="1383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17983.04</w:t>
            </w:r>
            <w:r>
              <w:rPr>
                <w:rFonts w:eastAsia="宋体" w:cs="Times New Roman"/>
                <w:szCs w:val="21"/>
              </w:rPr>
              <w:t>±1024.210e</w:t>
            </w:r>
          </w:p>
        </w:tc>
        <w:tc>
          <w:tcPr>
            <w:tcW w:w="978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3.49</w:t>
            </w:r>
            <w:r>
              <w:rPr>
                <w:rFonts w:eastAsia="宋体" w:cs="Times New Roman"/>
                <w:szCs w:val="21"/>
              </w:rPr>
              <w:t>±1.093c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122.10</w:t>
            </w:r>
            <w:r>
              <w:rPr>
                <w:rFonts w:eastAsia="宋体" w:cs="Times New Roman"/>
                <w:szCs w:val="21"/>
              </w:rPr>
              <w:t>±25.975a</w:t>
            </w: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93.00</w:t>
            </w:r>
            <w:r>
              <w:rPr>
                <w:rFonts w:eastAsia="宋体" w:cs="Times New Roman"/>
                <w:szCs w:val="21"/>
              </w:rPr>
              <w:t>±7.550c</w:t>
            </w:r>
          </w:p>
        </w:tc>
        <w:tc>
          <w:tcPr>
            <w:tcW w:w="1151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5127.34±5.519f</w:t>
            </w:r>
          </w:p>
        </w:tc>
        <w:tc>
          <w:tcPr>
            <w:tcW w:w="1016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346.95±2.156c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33.86±0.252d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366.19±1.144d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4.31±0.166g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7.93±0.322a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6.58±0.054h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1.39±0.044g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63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KSCX02</w:t>
            </w:r>
          </w:p>
        </w:tc>
        <w:tc>
          <w:tcPr>
            <w:tcW w:w="808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4.49</w:t>
            </w:r>
            <w:r>
              <w:rPr>
                <w:rFonts w:eastAsia="宋体" w:cs="Times New Roman"/>
                <w:szCs w:val="21"/>
              </w:rPr>
              <w:t>±0.255f</w:t>
            </w:r>
          </w:p>
        </w:tc>
        <w:tc>
          <w:tcPr>
            <w:tcW w:w="1383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32231.91</w:t>
            </w:r>
            <w:r>
              <w:rPr>
                <w:rFonts w:eastAsia="宋体" w:cs="Times New Roman"/>
                <w:szCs w:val="21"/>
              </w:rPr>
              <w:t>±973.240a</w:t>
            </w:r>
          </w:p>
        </w:tc>
        <w:tc>
          <w:tcPr>
            <w:tcW w:w="978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9.12</w:t>
            </w:r>
            <w:r>
              <w:rPr>
                <w:rFonts w:eastAsia="宋体" w:cs="Times New Roman"/>
                <w:szCs w:val="21"/>
              </w:rPr>
              <w:t>±4.372b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20.65</w:t>
            </w:r>
            <w:r>
              <w:rPr>
                <w:rFonts w:eastAsia="宋体" w:cs="Times New Roman"/>
                <w:szCs w:val="21"/>
              </w:rPr>
              <w:t>±12.304e</w:t>
            </w: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66.00</w:t>
            </w:r>
            <w:r>
              <w:rPr>
                <w:rFonts w:eastAsia="宋体" w:cs="Times New Roman"/>
                <w:szCs w:val="21"/>
              </w:rPr>
              <w:t>±7.071d</w:t>
            </w:r>
          </w:p>
        </w:tc>
        <w:tc>
          <w:tcPr>
            <w:tcW w:w="1151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5171.01±10.120a</w:t>
            </w:r>
          </w:p>
        </w:tc>
        <w:tc>
          <w:tcPr>
            <w:tcW w:w="1016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341.29±1.505e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30.00±0.037f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394.06±6.116c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8.73±0.048d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2.22±0.044d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7.76±0.245e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6.76±0.019b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63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KSS01</w:t>
            </w:r>
          </w:p>
        </w:tc>
        <w:tc>
          <w:tcPr>
            <w:tcW w:w="808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4.68</w:t>
            </w:r>
            <w:r>
              <w:rPr>
                <w:rFonts w:eastAsia="宋体" w:cs="Times New Roman"/>
                <w:szCs w:val="21"/>
              </w:rPr>
              <w:t>±0.147e</w:t>
            </w:r>
          </w:p>
        </w:tc>
        <w:tc>
          <w:tcPr>
            <w:tcW w:w="1383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19113.13</w:t>
            </w:r>
            <w:r>
              <w:rPr>
                <w:rFonts w:eastAsia="宋体" w:cs="Times New Roman"/>
                <w:szCs w:val="21"/>
              </w:rPr>
              <w:t>±764.210d</w:t>
            </w:r>
          </w:p>
        </w:tc>
        <w:tc>
          <w:tcPr>
            <w:tcW w:w="978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3.38</w:t>
            </w:r>
            <w:r>
              <w:rPr>
                <w:rFonts w:eastAsia="宋体" w:cs="Times New Roman"/>
                <w:szCs w:val="21"/>
              </w:rPr>
              <w:t>±1.480e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28.82</w:t>
            </w:r>
            <w:r>
              <w:rPr>
                <w:rFonts w:eastAsia="宋体" w:cs="Times New Roman"/>
                <w:szCs w:val="21"/>
              </w:rPr>
              <w:t>±10.289d</w:t>
            </w: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98.33</w:t>
            </w:r>
            <w:r>
              <w:rPr>
                <w:rFonts w:eastAsia="宋体" w:cs="Times New Roman"/>
                <w:szCs w:val="21"/>
              </w:rPr>
              <w:t>±6.807b</w:t>
            </w:r>
          </w:p>
        </w:tc>
        <w:tc>
          <w:tcPr>
            <w:tcW w:w="1151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5091.19±0.225h</w:t>
            </w:r>
          </w:p>
        </w:tc>
        <w:tc>
          <w:tcPr>
            <w:tcW w:w="1016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332.57±4.060h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29.20±2.467f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584.36±17.831a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6.69±2.706f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1.09±0.025f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8.31±1.107c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7.88±3.520a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63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KSH01</w:t>
            </w:r>
          </w:p>
        </w:tc>
        <w:tc>
          <w:tcPr>
            <w:tcW w:w="808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4.75</w:t>
            </w:r>
            <w:r>
              <w:rPr>
                <w:rFonts w:eastAsia="宋体" w:cs="Times New Roman"/>
                <w:szCs w:val="21"/>
              </w:rPr>
              <w:t>±0.064d</w:t>
            </w:r>
          </w:p>
        </w:tc>
        <w:tc>
          <w:tcPr>
            <w:tcW w:w="1383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19211.39</w:t>
            </w:r>
            <w:r>
              <w:rPr>
                <w:rFonts w:eastAsia="宋体" w:cs="Times New Roman"/>
                <w:szCs w:val="21"/>
              </w:rPr>
              <w:t>±3830.100c</w:t>
            </w:r>
          </w:p>
        </w:tc>
        <w:tc>
          <w:tcPr>
            <w:tcW w:w="978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2.29</w:t>
            </w:r>
            <w:r>
              <w:rPr>
                <w:rFonts w:eastAsia="宋体" w:cs="Times New Roman"/>
                <w:szCs w:val="21"/>
              </w:rPr>
              <w:t>±0.171g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5.55</w:t>
            </w:r>
            <w:r>
              <w:rPr>
                <w:rFonts w:eastAsia="宋体" w:cs="Times New Roman"/>
                <w:szCs w:val="21"/>
              </w:rPr>
              <w:t>±0.141g</w:t>
            </w: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59.00</w:t>
            </w:r>
            <w:r>
              <w:rPr>
                <w:rFonts w:eastAsia="宋体" w:cs="Times New Roman"/>
                <w:szCs w:val="21"/>
              </w:rPr>
              <w:t>±5.657e</w:t>
            </w:r>
          </w:p>
        </w:tc>
        <w:tc>
          <w:tcPr>
            <w:tcW w:w="1151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5168.84±0.659b</w:t>
            </w:r>
          </w:p>
        </w:tc>
        <w:tc>
          <w:tcPr>
            <w:tcW w:w="1016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333.94±0.719g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42.11±1.454b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243.13±1.804e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0.77±0.015h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2.58±0.834b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7.48±0.015f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5.54±0.001d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63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KSM01</w:t>
            </w:r>
          </w:p>
        </w:tc>
        <w:tc>
          <w:tcPr>
            <w:tcW w:w="808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4.92</w:t>
            </w:r>
            <w:r>
              <w:rPr>
                <w:rFonts w:eastAsia="宋体" w:cs="Times New Roman"/>
                <w:szCs w:val="21"/>
              </w:rPr>
              <w:t>±0.106c</w:t>
            </w:r>
          </w:p>
        </w:tc>
        <w:tc>
          <w:tcPr>
            <w:tcW w:w="1383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22921.01</w:t>
            </w:r>
            <w:r>
              <w:rPr>
                <w:rFonts w:eastAsia="宋体" w:cs="Times New Roman"/>
                <w:szCs w:val="21"/>
              </w:rPr>
              <w:t>±1008.010b</w:t>
            </w:r>
          </w:p>
        </w:tc>
        <w:tc>
          <w:tcPr>
            <w:tcW w:w="978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11.87</w:t>
            </w:r>
            <w:r>
              <w:rPr>
                <w:rFonts w:eastAsia="宋体" w:cs="Times New Roman"/>
                <w:szCs w:val="21"/>
              </w:rPr>
              <w:t>±11.100a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36.80</w:t>
            </w:r>
            <w:r>
              <w:rPr>
                <w:rFonts w:eastAsia="宋体" w:cs="Times New Roman"/>
                <w:szCs w:val="21"/>
              </w:rPr>
              <w:t>±16.193c</w:t>
            </w: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52.50</w:t>
            </w:r>
            <w:r>
              <w:rPr>
                <w:rFonts w:eastAsia="宋体" w:cs="Times New Roman"/>
                <w:szCs w:val="21"/>
              </w:rPr>
              <w:t>±0.707g</w:t>
            </w:r>
          </w:p>
        </w:tc>
        <w:tc>
          <w:tcPr>
            <w:tcW w:w="1151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5128.40±10.817e</w:t>
            </w:r>
          </w:p>
        </w:tc>
        <w:tc>
          <w:tcPr>
            <w:tcW w:w="1016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354.65±5.569a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89.22±4.567a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186.22±1.232f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19.16±0.095a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1.08±0.194g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15.02±0.409a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1.53±0.051f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63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KS01</w:t>
            </w:r>
          </w:p>
        </w:tc>
        <w:tc>
          <w:tcPr>
            <w:tcW w:w="808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5.02</w:t>
            </w:r>
            <w:r>
              <w:rPr>
                <w:rFonts w:eastAsia="宋体" w:cs="Times New Roman"/>
                <w:szCs w:val="21"/>
              </w:rPr>
              <w:t>±0.007b</w:t>
            </w:r>
          </w:p>
        </w:tc>
        <w:tc>
          <w:tcPr>
            <w:tcW w:w="1383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16484.46</w:t>
            </w:r>
            <w:r>
              <w:rPr>
                <w:rFonts w:eastAsia="宋体" w:cs="Times New Roman"/>
                <w:szCs w:val="21"/>
              </w:rPr>
              <w:t>±1424.310f</w:t>
            </w:r>
          </w:p>
        </w:tc>
        <w:tc>
          <w:tcPr>
            <w:tcW w:w="978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2.07</w:t>
            </w:r>
            <w:r>
              <w:rPr>
                <w:rFonts w:eastAsia="宋体" w:cs="Times New Roman"/>
                <w:szCs w:val="21"/>
              </w:rPr>
              <w:t>±0.370h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2.05</w:t>
            </w:r>
            <w:r>
              <w:rPr>
                <w:rFonts w:eastAsia="宋体" w:cs="Times New Roman"/>
                <w:szCs w:val="21"/>
              </w:rPr>
              <w:t>±0.141h</w:t>
            </w: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34.50</w:t>
            </w:r>
            <w:r>
              <w:rPr>
                <w:rFonts w:eastAsia="宋体" w:cs="Times New Roman"/>
                <w:szCs w:val="21"/>
              </w:rPr>
              <w:t>±2.121h</w:t>
            </w:r>
          </w:p>
        </w:tc>
        <w:tc>
          <w:tcPr>
            <w:tcW w:w="1151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5116.88±2.286g</w:t>
            </w:r>
          </w:p>
        </w:tc>
        <w:tc>
          <w:tcPr>
            <w:tcW w:w="1016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366.23±1.400f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39.40±3.110c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120.74±0.282g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9.62±0.080c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0.60±0.000h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6.91±0.044g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4.84±0.196e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63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KSC02</w:t>
            </w:r>
          </w:p>
        </w:tc>
        <w:tc>
          <w:tcPr>
            <w:tcW w:w="808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5.08</w:t>
            </w:r>
            <w:r>
              <w:rPr>
                <w:rFonts w:eastAsia="宋体" w:cs="Times New Roman"/>
                <w:szCs w:val="21"/>
              </w:rPr>
              <w:t>±0.021a</w:t>
            </w:r>
          </w:p>
        </w:tc>
        <w:tc>
          <w:tcPr>
            <w:tcW w:w="1383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15501.78</w:t>
            </w:r>
            <w:r>
              <w:rPr>
                <w:rFonts w:eastAsia="宋体" w:cs="Times New Roman"/>
                <w:szCs w:val="21"/>
              </w:rPr>
              <w:t>±337.010g</w:t>
            </w:r>
          </w:p>
        </w:tc>
        <w:tc>
          <w:tcPr>
            <w:tcW w:w="978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2.70</w:t>
            </w:r>
            <w:r>
              <w:rPr>
                <w:rFonts w:eastAsia="宋体" w:cs="Times New Roman"/>
                <w:szCs w:val="21"/>
              </w:rPr>
              <w:t>±0.171f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12.08</w:t>
            </w:r>
            <w:r>
              <w:rPr>
                <w:rFonts w:eastAsia="宋体" w:cs="Times New Roman"/>
                <w:szCs w:val="21"/>
              </w:rPr>
              <w:t>±1.520f</w:t>
            </w:r>
          </w:p>
        </w:tc>
        <w:tc>
          <w:tcPr>
            <w:tcW w:w="1081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53.50</w:t>
            </w:r>
            <w:r>
              <w:rPr>
                <w:rFonts w:eastAsia="宋体" w:cs="Times New Roman"/>
                <w:szCs w:val="21"/>
              </w:rPr>
              <w:t>±4.950f</w:t>
            </w:r>
          </w:p>
        </w:tc>
        <w:tc>
          <w:tcPr>
            <w:tcW w:w="1151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5137.14±17.984c</w:t>
            </w:r>
          </w:p>
        </w:tc>
        <w:tc>
          <w:tcPr>
            <w:tcW w:w="1016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352.31±0.808b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33.38±0.520d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47.58±2.792h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18.29±0.759b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1.53±0.365e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8.02±0.263d</w:t>
            </w:r>
          </w:p>
        </w:tc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1.00±0.161h</w:t>
            </w:r>
          </w:p>
        </w:tc>
      </w:tr>
    </w:tbl>
    <w:p>
      <w:pPr>
        <w:tabs>
          <w:tab w:val="left" w:pos="907"/>
        </w:tabs>
        <w:spacing w:line="480" w:lineRule="auto"/>
        <w:jc w:val="both"/>
        <w:rPr>
          <w:rFonts w:cs="Times New Roman"/>
          <w:b/>
          <w:sz w:val="24"/>
        </w:rPr>
      </w:pPr>
    </w:p>
    <w:p>
      <w:pPr>
        <w:tabs>
          <w:tab w:val="left" w:pos="907"/>
        </w:tabs>
        <w:spacing w:line="480" w:lineRule="auto"/>
        <w:jc w:val="left"/>
        <w:rPr>
          <w:rFonts w:cs="Times New Roman"/>
          <w:sz w:val="24"/>
        </w:rPr>
      </w:pPr>
      <w:r>
        <w:rPr>
          <w:rFonts w:hint="eastAsia" w:cs="Times New Roman"/>
          <w:b/>
          <w:sz w:val="24"/>
          <w:lang w:val="en-US" w:eastAsia="zh-CN"/>
        </w:rPr>
        <w:t>Table A.2</w:t>
      </w:r>
      <w:r>
        <w:rPr>
          <w:rFonts w:cs="Times New Roman"/>
          <w:b/>
          <w:sz w:val="24"/>
        </w:rPr>
        <w:t xml:space="preserve"> </w:t>
      </w:r>
      <w:r>
        <w:rPr>
          <w:rFonts w:eastAsia="宋体" w:cs="Times New Roman"/>
          <w:bCs/>
          <w:sz w:val="24"/>
        </w:rPr>
        <w:t>Correlation analysis of measured soil environment factors</w:t>
      </w:r>
    </w:p>
    <w:tbl>
      <w:tblPr>
        <w:tblStyle w:val="2"/>
        <w:tblW w:w="13273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756"/>
        <w:gridCol w:w="879"/>
        <w:gridCol w:w="994"/>
        <w:gridCol w:w="850"/>
        <w:gridCol w:w="1116"/>
        <w:gridCol w:w="919"/>
        <w:gridCol w:w="919"/>
        <w:gridCol w:w="919"/>
        <w:gridCol w:w="919"/>
        <w:gridCol w:w="1108"/>
        <w:gridCol w:w="911"/>
        <w:gridCol w:w="1033"/>
        <w:gridCol w:w="103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917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56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pH</w:t>
            </w:r>
          </w:p>
        </w:tc>
        <w:tc>
          <w:tcPr>
            <w:tcW w:w="879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OM</w:t>
            </w:r>
          </w:p>
        </w:tc>
        <w:tc>
          <w:tcPr>
            <w:tcW w:w="994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N</w:t>
            </w:r>
          </w:p>
        </w:tc>
        <w:tc>
          <w:tcPr>
            <w:tcW w:w="850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P</w:t>
            </w:r>
          </w:p>
        </w:tc>
        <w:tc>
          <w:tcPr>
            <w:tcW w:w="1116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K</w:t>
            </w:r>
          </w:p>
        </w:tc>
        <w:tc>
          <w:tcPr>
            <w:tcW w:w="919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Na</w:t>
            </w:r>
          </w:p>
        </w:tc>
        <w:tc>
          <w:tcPr>
            <w:tcW w:w="919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Mg</w:t>
            </w:r>
          </w:p>
        </w:tc>
        <w:tc>
          <w:tcPr>
            <w:tcW w:w="919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Ca</w:t>
            </w:r>
          </w:p>
        </w:tc>
        <w:tc>
          <w:tcPr>
            <w:tcW w:w="919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Mn</w:t>
            </w:r>
          </w:p>
        </w:tc>
        <w:tc>
          <w:tcPr>
            <w:tcW w:w="1108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Fe</w:t>
            </w:r>
          </w:p>
        </w:tc>
        <w:tc>
          <w:tcPr>
            <w:tcW w:w="911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Zn</w:t>
            </w:r>
          </w:p>
        </w:tc>
        <w:tc>
          <w:tcPr>
            <w:tcW w:w="1033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Al</w:t>
            </w:r>
          </w:p>
        </w:tc>
        <w:tc>
          <w:tcPr>
            <w:tcW w:w="1033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Pb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917" w:type="dxa"/>
            <w:tcBorders>
              <w:top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pH</w:t>
            </w:r>
          </w:p>
        </w:tc>
        <w:tc>
          <w:tcPr>
            <w:tcW w:w="756" w:type="dxa"/>
            <w:tcBorders>
              <w:top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879" w:type="dxa"/>
            <w:tcBorders>
              <w:top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0.186</w:t>
            </w:r>
          </w:p>
        </w:tc>
        <w:tc>
          <w:tcPr>
            <w:tcW w:w="994" w:type="dxa"/>
            <w:tcBorders>
              <w:top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-0.022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-0.643</w:t>
            </w:r>
          </w:p>
        </w:tc>
        <w:tc>
          <w:tcPr>
            <w:tcW w:w="1116" w:type="dxa"/>
            <w:tcBorders>
              <w:top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-0.832**</w:t>
            </w:r>
          </w:p>
        </w:tc>
        <w:tc>
          <w:tcPr>
            <w:tcW w:w="919" w:type="dxa"/>
            <w:tcBorders>
              <w:top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-0.102</w:t>
            </w:r>
          </w:p>
        </w:tc>
        <w:tc>
          <w:tcPr>
            <w:tcW w:w="919" w:type="dxa"/>
            <w:tcBorders>
              <w:top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0.063</w:t>
            </w:r>
          </w:p>
        </w:tc>
        <w:tc>
          <w:tcPr>
            <w:tcW w:w="919" w:type="dxa"/>
            <w:tcBorders>
              <w:top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0.372</w:t>
            </w:r>
          </w:p>
        </w:tc>
        <w:tc>
          <w:tcPr>
            <w:tcW w:w="919" w:type="dxa"/>
            <w:tcBorders>
              <w:top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0.525</w:t>
            </w:r>
          </w:p>
        </w:tc>
        <w:tc>
          <w:tcPr>
            <w:tcW w:w="1108" w:type="dxa"/>
            <w:tcBorders>
              <w:top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-0.651</w:t>
            </w:r>
          </w:p>
        </w:tc>
        <w:tc>
          <w:tcPr>
            <w:tcW w:w="911" w:type="dxa"/>
            <w:tcBorders>
              <w:top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-0.105</w:t>
            </w:r>
          </w:p>
        </w:tc>
        <w:tc>
          <w:tcPr>
            <w:tcW w:w="1033" w:type="dxa"/>
            <w:tcBorders>
              <w:top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</w:t>
            </w:r>
            <w:r>
              <w:rPr>
                <w:rFonts w:cs="Times New Roman"/>
                <w:b/>
                <w:sz w:val="24"/>
              </w:rPr>
              <w:t>0.748*</w:t>
            </w:r>
          </w:p>
        </w:tc>
        <w:tc>
          <w:tcPr>
            <w:tcW w:w="1033" w:type="dxa"/>
            <w:tcBorders>
              <w:top w:val="single" w:color="auto" w:sz="4" w:space="0"/>
            </w:tcBorders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-0.258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7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OM</w:t>
            </w:r>
          </w:p>
        </w:tc>
        <w:tc>
          <w:tcPr>
            <w:tcW w:w="75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7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94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0.741*</w:t>
            </w:r>
          </w:p>
        </w:tc>
        <w:tc>
          <w:tcPr>
            <w:tcW w:w="850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-0.079</w:t>
            </w:r>
          </w:p>
        </w:tc>
        <w:tc>
          <w:tcPr>
            <w:tcW w:w="111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-0.506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0.404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-0.013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0.193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0.049</w:t>
            </w:r>
          </w:p>
        </w:tc>
        <w:tc>
          <w:tcPr>
            <w:tcW w:w="1108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-0.043</w:t>
            </w:r>
          </w:p>
        </w:tc>
        <w:tc>
          <w:tcPr>
            <w:tcW w:w="911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-0.184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-0.038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0.107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7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N</w:t>
            </w:r>
          </w:p>
        </w:tc>
        <w:tc>
          <w:tcPr>
            <w:tcW w:w="75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7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850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0.057</w:t>
            </w:r>
          </w:p>
        </w:tc>
        <w:tc>
          <w:tcPr>
            <w:tcW w:w="111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-0.151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0.299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0.448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0.564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0.420</w:t>
            </w:r>
          </w:p>
        </w:tc>
        <w:tc>
          <w:tcPr>
            <w:tcW w:w="1108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-0.097</w:t>
            </w:r>
          </w:p>
        </w:tc>
        <w:tc>
          <w:tcPr>
            <w:tcW w:w="911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0.479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0.041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-0.086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917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P</w:t>
            </w:r>
          </w:p>
        </w:tc>
        <w:tc>
          <w:tcPr>
            <w:tcW w:w="75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7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11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0.329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-0.158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0.337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-0.029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-0.216</w:t>
            </w:r>
          </w:p>
        </w:tc>
        <w:tc>
          <w:tcPr>
            <w:tcW w:w="1108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b/>
                <w:sz w:val="24"/>
              </w:rPr>
              <w:t>0.919**</w:t>
            </w:r>
          </w:p>
        </w:tc>
        <w:tc>
          <w:tcPr>
            <w:tcW w:w="911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-0.061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0.276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-0.423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7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K</w:t>
            </w:r>
          </w:p>
        </w:tc>
        <w:tc>
          <w:tcPr>
            <w:tcW w:w="75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7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11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-0.144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-0.059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-0.354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-0.296</w:t>
            </w:r>
          </w:p>
        </w:tc>
        <w:tc>
          <w:tcPr>
            <w:tcW w:w="1108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0.261</w:t>
            </w:r>
          </w:p>
        </w:tc>
        <w:tc>
          <w:tcPr>
            <w:tcW w:w="911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0.367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0.786*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0.364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7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Na</w:t>
            </w:r>
          </w:p>
        </w:tc>
        <w:tc>
          <w:tcPr>
            <w:tcW w:w="75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7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11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0.081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-0.024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-0.177</w:t>
            </w:r>
          </w:p>
        </w:tc>
        <w:tc>
          <w:tcPr>
            <w:tcW w:w="1108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0.127</w:t>
            </w:r>
          </w:p>
        </w:tc>
        <w:tc>
          <w:tcPr>
            <w:tcW w:w="911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-0.089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-0.220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-0.006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7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Mg</w:t>
            </w:r>
          </w:p>
        </w:tc>
        <w:tc>
          <w:tcPr>
            <w:tcW w:w="75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7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11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0.520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0.766*</w:t>
            </w:r>
          </w:p>
        </w:tc>
        <w:tc>
          <w:tcPr>
            <w:tcW w:w="1108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0.170</w:t>
            </w:r>
          </w:p>
        </w:tc>
        <w:tc>
          <w:tcPr>
            <w:tcW w:w="911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0.500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-0.421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b/>
                <w:sz w:val="24"/>
              </w:rPr>
              <w:t>-0.825*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7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Ca</w:t>
            </w:r>
          </w:p>
        </w:tc>
        <w:tc>
          <w:tcPr>
            <w:tcW w:w="75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7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11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0.540</w:t>
            </w:r>
          </w:p>
        </w:tc>
        <w:tc>
          <w:tcPr>
            <w:tcW w:w="1108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-0.230</w:t>
            </w:r>
          </w:p>
        </w:tc>
        <w:tc>
          <w:tcPr>
            <w:tcW w:w="911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0.671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-0.388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-0.463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7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Mn</w:t>
            </w:r>
          </w:p>
        </w:tc>
        <w:tc>
          <w:tcPr>
            <w:tcW w:w="75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7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11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108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-0.451</w:t>
            </w:r>
          </w:p>
        </w:tc>
        <w:tc>
          <w:tcPr>
            <w:tcW w:w="911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0.511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-0.512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-0.546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7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Fe</w:t>
            </w:r>
          </w:p>
        </w:tc>
        <w:tc>
          <w:tcPr>
            <w:tcW w:w="75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7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11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108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911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0.315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0.203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-0.352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17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Zn</w:t>
            </w:r>
          </w:p>
        </w:tc>
        <w:tc>
          <w:tcPr>
            <w:tcW w:w="75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7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11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108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1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0.122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-0.105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7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Al</w:t>
            </w:r>
          </w:p>
        </w:tc>
        <w:tc>
          <w:tcPr>
            <w:tcW w:w="75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7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11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108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1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0.683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17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Pb</w:t>
            </w:r>
          </w:p>
        </w:tc>
        <w:tc>
          <w:tcPr>
            <w:tcW w:w="75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7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94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116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9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108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1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33" w:type="dxa"/>
          </w:tcPr>
          <w:p>
            <w:pPr>
              <w:tabs>
                <w:tab w:val="left" w:pos="907"/>
              </w:tabs>
              <w:spacing w:line="360" w:lineRule="auto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</w:tbl>
    <w:p>
      <w:pPr>
        <w:spacing w:line="360" w:lineRule="auto"/>
        <w:outlineLvl w:val="0"/>
        <w:rPr>
          <w:rFonts w:cs="Times New Roman"/>
          <w:b/>
          <w:sz w:val="24"/>
        </w:rPr>
      </w:pPr>
    </w:p>
    <w:p>
      <w:pPr>
        <w:spacing w:line="480" w:lineRule="auto"/>
        <w:jc w:val="left"/>
        <w:rPr>
          <w:rFonts w:cs="Times New Roman"/>
          <w:b/>
          <w:sz w:val="24"/>
        </w:rPr>
      </w:pPr>
      <w:r>
        <w:rPr>
          <w:rFonts w:hint="eastAsia" w:cs="Times New Roman"/>
          <w:b/>
          <w:sz w:val="24"/>
          <w:lang w:val="en-US" w:eastAsia="zh-CN"/>
        </w:rPr>
        <w:t>Table A.3</w:t>
      </w:r>
      <w:r>
        <w:rPr>
          <w:rFonts w:cs="Times New Roman"/>
          <w:b/>
          <w:sz w:val="24"/>
        </w:rPr>
        <w:t xml:space="preserve"> </w:t>
      </w:r>
      <w:r>
        <w:rPr>
          <w:rFonts w:eastAsia="宋体" w:cs="Times New Roman"/>
          <w:bCs/>
          <w:sz w:val="24"/>
        </w:rPr>
        <w:t>Microbial compositions of community in the genera level</w:t>
      </w:r>
    </w:p>
    <w:tbl>
      <w:tblPr>
        <w:tblStyle w:val="2"/>
        <w:tblW w:w="1468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791"/>
        <w:gridCol w:w="1643"/>
        <w:gridCol w:w="1417"/>
        <w:gridCol w:w="1558"/>
        <w:gridCol w:w="1416"/>
        <w:gridCol w:w="1559"/>
        <w:gridCol w:w="1416"/>
        <w:gridCol w:w="1417"/>
        <w:gridCol w:w="152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94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b/>
                <w:szCs w:val="21"/>
              </w:rPr>
            </w:pPr>
            <w:r>
              <w:rPr>
                <w:rFonts w:cs="Times New Roman"/>
                <w:b/>
                <w:szCs w:val="21"/>
              </w:rPr>
              <w:t>Phylum</w:t>
            </w:r>
          </w:p>
        </w:tc>
        <w:tc>
          <w:tcPr>
            <w:tcW w:w="179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b/>
                <w:szCs w:val="21"/>
              </w:rPr>
              <w:t>Genus</w:t>
            </w:r>
          </w:p>
        </w:tc>
        <w:tc>
          <w:tcPr>
            <w:tcW w:w="164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KSM02</w:t>
            </w:r>
          </w:p>
        </w:tc>
        <w:tc>
          <w:tcPr>
            <w:tcW w:w="1417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KSC01</w:t>
            </w:r>
          </w:p>
        </w:tc>
        <w:tc>
          <w:tcPr>
            <w:tcW w:w="155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KSCX02</w:t>
            </w:r>
          </w:p>
        </w:tc>
        <w:tc>
          <w:tcPr>
            <w:tcW w:w="141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KSS01</w:t>
            </w:r>
          </w:p>
        </w:tc>
        <w:tc>
          <w:tcPr>
            <w:tcW w:w="155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KSH01</w:t>
            </w:r>
          </w:p>
        </w:tc>
        <w:tc>
          <w:tcPr>
            <w:tcW w:w="141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KSM01</w:t>
            </w:r>
          </w:p>
        </w:tc>
        <w:tc>
          <w:tcPr>
            <w:tcW w:w="1417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KS01</w:t>
            </w:r>
          </w:p>
        </w:tc>
        <w:tc>
          <w:tcPr>
            <w:tcW w:w="152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KSC02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i/>
                <w:szCs w:val="21"/>
              </w:rPr>
              <w:t>Acido.</w:t>
            </w:r>
          </w:p>
        </w:tc>
        <w:tc>
          <w:tcPr>
            <w:tcW w:w="1791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bCs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Gp2</w:t>
            </w:r>
          </w:p>
        </w:tc>
        <w:tc>
          <w:tcPr>
            <w:tcW w:w="164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bCs/>
                <w:szCs w:val="21"/>
              </w:rPr>
            </w:pPr>
            <w:r>
              <w:rPr>
                <w:rFonts w:cs="Times New Roman"/>
                <w:bCs/>
                <w:szCs w:val="21"/>
              </w:rPr>
              <w:t>21.99±0.502a</w:t>
            </w:r>
          </w:p>
        </w:tc>
        <w:tc>
          <w:tcPr>
            <w:tcW w:w="141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bCs/>
                <w:szCs w:val="21"/>
              </w:rPr>
            </w:pPr>
            <w:r>
              <w:rPr>
                <w:rFonts w:cs="Times New Roman"/>
                <w:bCs/>
                <w:szCs w:val="21"/>
              </w:rPr>
              <w:t>12.7±2.793f</w:t>
            </w:r>
          </w:p>
        </w:tc>
        <w:tc>
          <w:tcPr>
            <w:tcW w:w="155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bCs/>
                <w:szCs w:val="21"/>
              </w:rPr>
            </w:pPr>
            <w:r>
              <w:rPr>
                <w:rFonts w:cs="Times New Roman"/>
                <w:bCs/>
                <w:szCs w:val="21"/>
              </w:rPr>
              <w:t>9.97±2.411g</w:t>
            </w:r>
          </w:p>
        </w:tc>
        <w:tc>
          <w:tcPr>
            <w:tcW w:w="141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bCs/>
                <w:szCs w:val="21"/>
              </w:rPr>
            </w:pPr>
            <w:r>
              <w:rPr>
                <w:rFonts w:cs="Times New Roman"/>
                <w:bCs/>
                <w:szCs w:val="21"/>
              </w:rPr>
              <w:t>14.8±0.113d</w:t>
            </w:r>
          </w:p>
        </w:tc>
        <w:tc>
          <w:tcPr>
            <w:tcW w:w="1559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bCs/>
                <w:szCs w:val="21"/>
              </w:rPr>
            </w:pPr>
            <w:r>
              <w:rPr>
                <w:rFonts w:cs="Times New Roman"/>
                <w:bCs/>
                <w:szCs w:val="21"/>
              </w:rPr>
              <w:t>17.28±1.499b</w:t>
            </w:r>
          </w:p>
        </w:tc>
        <w:tc>
          <w:tcPr>
            <w:tcW w:w="141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bCs/>
                <w:szCs w:val="21"/>
              </w:rPr>
            </w:pPr>
            <w:r>
              <w:rPr>
                <w:rFonts w:cs="Times New Roman"/>
                <w:bCs/>
                <w:szCs w:val="21"/>
              </w:rPr>
              <w:t>16.0±1.032c</w:t>
            </w:r>
          </w:p>
        </w:tc>
        <w:tc>
          <w:tcPr>
            <w:tcW w:w="141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bCs/>
                <w:szCs w:val="21"/>
              </w:rPr>
            </w:pPr>
            <w:r>
              <w:rPr>
                <w:rFonts w:cs="Times New Roman"/>
                <w:bCs/>
                <w:szCs w:val="21"/>
              </w:rPr>
              <w:t>13.6±0.502e</w:t>
            </w:r>
          </w:p>
        </w:tc>
        <w:tc>
          <w:tcPr>
            <w:tcW w:w="152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bCs/>
                <w:szCs w:val="21"/>
              </w:rPr>
            </w:pPr>
            <w:r>
              <w:rPr>
                <w:rFonts w:cs="Times New Roman"/>
                <w:bCs/>
                <w:szCs w:val="21"/>
              </w:rPr>
              <w:t>13.00±0.057f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</w:p>
        </w:tc>
        <w:tc>
          <w:tcPr>
            <w:tcW w:w="1791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Gp1</w:t>
            </w:r>
          </w:p>
        </w:tc>
        <w:tc>
          <w:tcPr>
            <w:tcW w:w="164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1.49±0.106h</w:t>
            </w:r>
          </w:p>
        </w:tc>
        <w:tc>
          <w:tcPr>
            <w:tcW w:w="141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2.03±0.064g</w:t>
            </w:r>
          </w:p>
        </w:tc>
        <w:tc>
          <w:tcPr>
            <w:tcW w:w="155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3.36±2.440f</w:t>
            </w:r>
          </w:p>
        </w:tc>
        <w:tc>
          <w:tcPr>
            <w:tcW w:w="141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6.80±0.997c</w:t>
            </w:r>
          </w:p>
        </w:tc>
        <w:tc>
          <w:tcPr>
            <w:tcW w:w="1559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8.56±0.049b</w:t>
            </w:r>
          </w:p>
        </w:tc>
        <w:tc>
          <w:tcPr>
            <w:tcW w:w="141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5.20±0.049e</w:t>
            </w:r>
          </w:p>
        </w:tc>
        <w:tc>
          <w:tcPr>
            <w:tcW w:w="141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9.89±0.007a</w:t>
            </w:r>
          </w:p>
        </w:tc>
        <w:tc>
          <w:tcPr>
            <w:tcW w:w="152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6.48±0.757d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Gp3</w:t>
            </w:r>
          </w:p>
        </w:tc>
        <w:tc>
          <w:tcPr>
            <w:tcW w:w="1643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1.12±0.028g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0.75±0.049h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1.97±1.448f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5.20±0.643b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2.14±0.311e</w:t>
            </w:r>
          </w:p>
        </w:tc>
        <w:tc>
          <w:tcPr>
            <w:tcW w:w="1416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3.43±0.953d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3.88±0.368c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5.53±0.141a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Gp13</w:t>
            </w:r>
          </w:p>
        </w:tc>
        <w:tc>
          <w:tcPr>
            <w:tcW w:w="1643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2.21±0.297b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5.40±0.990a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1.58±0.255c</w:t>
            </w:r>
          </w:p>
        </w:tc>
        <w:tc>
          <w:tcPr>
            <w:tcW w:w="1416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0.42±0.061h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0.50±0.099g</w:t>
            </w:r>
          </w:p>
        </w:tc>
        <w:tc>
          <w:tcPr>
            <w:tcW w:w="1416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1.48±0.464d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1.32±0.014e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0.64±0.116f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Granulicella</w:t>
            </w:r>
          </w:p>
        </w:tc>
        <w:tc>
          <w:tcPr>
            <w:tcW w:w="1643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1.51±0.092a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1.06±0.269b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0.47±0.127e</w:t>
            </w:r>
          </w:p>
        </w:tc>
        <w:tc>
          <w:tcPr>
            <w:tcW w:w="1416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0.79±0.134c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0.63±0.467d</w:t>
            </w:r>
          </w:p>
        </w:tc>
        <w:tc>
          <w:tcPr>
            <w:tcW w:w="1416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0.34±0.057f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0.19±0.007h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0.25±0.092g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Gp14</w:t>
            </w:r>
          </w:p>
        </w:tc>
        <w:tc>
          <w:tcPr>
            <w:tcW w:w="1643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1.04±0139d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1.65±0.021c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2.90±0.361a</w:t>
            </w:r>
          </w:p>
        </w:tc>
        <w:tc>
          <w:tcPr>
            <w:tcW w:w="1416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0.06±0.065f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2.08±0.000b</w:t>
            </w:r>
          </w:p>
        </w:tc>
        <w:tc>
          <w:tcPr>
            <w:tcW w:w="1416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0.34±0.014e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0.01±0.017f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0.05±0.035f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</w:p>
        </w:tc>
        <w:tc>
          <w:tcPr>
            <w:tcW w:w="1791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Gp6</w:t>
            </w:r>
          </w:p>
        </w:tc>
        <w:tc>
          <w:tcPr>
            <w:tcW w:w="164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0.14±0.007f</w:t>
            </w:r>
          </w:p>
        </w:tc>
        <w:tc>
          <w:tcPr>
            <w:tcW w:w="141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0.08±0.064h</w:t>
            </w:r>
          </w:p>
        </w:tc>
        <w:tc>
          <w:tcPr>
            <w:tcW w:w="1558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0.09±0.000g</w:t>
            </w:r>
          </w:p>
        </w:tc>
        <w:tc>
          <w:tcPr>
            <w:tcW w:w="141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0.66±0.490e</w:t>
            </w:r>
          </w:p>
        </w:tc>
        <w:tc>
          <w:tcPr>
            <w:tcW w:w="155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1.05±0.205c</w:t>
            </w:r>
          </w:p>
        </w:tc>
        <w:tc>
          <w:tcPr>
            <w:tcW w:w="141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0.98±0.241d</w:t>
            </w:r>
          </w:p>
        </w:tc>
        <w:tc>
          <w:tcPr>
            <w:tcW w:w="141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1.55±0.085a</w:t>
            </w:r>
          </w:p>
        </w:tc>
        <w:tc>
          <w:tcPr>
            <w:tcW w:w="152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1.36±0.141b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949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i/>
                <w:szCs w:val="21"/>
              </w:rPr>
              <w:t>Proteo.</w:t>
            </w:r>
          </w:p>
        </w:tc>
        <w:tc>
          <w:tcPr>
            <w:tcW w:w="1791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Phenylobacterium</w:t>
            </w:r>
          </w:p>
        </w:tc>
        <w:tc>
          <w:tcPr>
            <w:tcW w:w="164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2.52±0.573a</w:t>
            </w:r>
          </w:p>
        </w:tc>
        <w:tc>
          <w:tcPr>
            <w:tcW w:w="141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1.78±0.226b</w:t>
            </w:r>
          </w:p>
        </w:tc>
        <w:tc>
          <w:tcPr>
            <w:tcW w:w="155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0.81±0.092e</w:t>
            </w:r>
          </w:p>
        </w:tc>
        <w:tc>
          <w:tcPr>
            <w:tcW w:w="141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0.80±0.262f</w:t>
            </w:r>
          </w:p>
        </w:tc>
        <w:tc>
          <w:tcPr>
            <w:tcW w:w="1559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0.73±0.475g</w:t>
            </w:r>
          </w:p>
        </w:tc>
        <w:tc>
          <w:tcPr>
            <w:tcW w:w="141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1.36±0.161d</w:t>
            </w:r>
          </w:p>
        </w:tc>
        <w:tc>
          <w:tcPr>
            <w:tcW w:w="141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0.57±0.156h</w:t>
            </w:r>
          </w:p>
        </w:tc>
        <w:tc>
          <w:tcPr>
            <w:tcW w:w="152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1.46±0.014c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Bradyrhizobium</w:t>
            </w:r>
          </w:p>
        </w:tc>
        <w:tc>
          <w:tcPr>
            <w:tcW w:w="1643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1.32±0.183d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0.76±0.021f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0.77±0.365f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1.46±0.374c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1.66±0.191b</w:t>
            </w:r>
          </w:p>
        </w:tc>
        <w:tc>
          <w:tcPr>
            <w:tcW w:w="1416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1.17±0.255e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0.63±0.007g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1.98±0.246a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vMerge w:val="continue"/>
            <w:tcBorders>
              <w:top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Rhizomicrobium</w:t>
            </w:r>
          </w:p>
        </w:tc>
        <w:tc>
          <w:tcPr>
            <w:tcW w:w="1643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1.02±0.076e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0.60±0.269h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0.66±0.113g</w:t>
            </w:r>
          </w:p>
        </w:tc>
        <w:tc>
          <w:tcPr>
            <w:tcW w:w="1416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1.14±0.214d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1.19±0.028c</w:t>
            </w:r>
          </w:p>
        </w:tc>
        <w:tc>
          <w:tcPr>
            <w:tcW w:w="1416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1.86±0.163b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1.02±0.035f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2.13±0.160a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Povalibacter</w:t>
            </w:r>
          </w:p>
        </w:tc>
        <w:tc>
          <w:tcPr>
            <w:tcW w:w="1643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0.72±0.141c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1.62±0.099b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0.29±0.007g</w:t>
            </w:r>
          </w:p>
        </w:tc>
        <w:tc>
          <w:tcPr>
            <w:tcW w:w="1416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0.39±0.007f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0.61±0.061d</w:t>
            </w:r>
          </w:p>
        </w:tc>
        <w:tc>
          <w:tcPr>
            <w:tcW w:w="1416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1.72±0.311a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0.40±0.055e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0.72±0.092c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791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Gemmatimonas</w:t>
            </w:r>
          </w:p>
        </w:tc>
        <w:tc>
          <w:tcPr>
            <w:tcW w:w="1643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0.22±0.092e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0.10±0.021g</w:t>
            </w:r>
          </w:p>
        </w:tc>
        <w:tc>
          <w:tcPr>
            <w:tcW w:w="1558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0.19±0.085f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0.83±0.028d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1.02±0.177c</w:t>
            </w:r>
          </w:p>
        </w:tc>
        <w:tc>
          <w:tcPr>
            <w:tcW w:w="1416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2.25±0.042b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1.01±0.198c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3.16±0.170a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791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Burkholderia</w:t>
            </w:r>
          </w:p>
        </w:tc>
        <w:tc>
          <w:tcPr>
            <w:tcW w:w="164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0.10±0.014g</w:t>
            </w:r>
          </w:p>
        </w:tc>
        <w:tc>
          <w:tcPr>
            <w:tcW w:w="141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0.72±0.049d</w:t>
            </w:r>
          </w:p>
        </w:tc>
        <w:tc>
          <w:tcPr>
            <w:tcW w:w="1558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0.42±0.085f</w:t>
            </w:r>
          </w:p>
        </w:tc>
        <w:tc>
          <w:tcPr>
            <w:tcW w:w="141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0.74±0.035c</w:t>
            </w:r>
          </w:p>
        </w:tc>
        <w:tc>
          <w:tcPr>
            <w:tcW w:w="155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0.74±0.198c</w:t>
            </w:r>
          </w:p>
        </w:tc>
        <w:tc>
          <w:tcPr>
            <w:tcW w:w="141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1.11±0.173b</w:t>
            </w:r>
          </w:p>
        </w:tc>
        <w:tc>
          <w:tcPr>
            <w:tcW w:w="141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0.51±0.085e</w:t>
            </w:r>
          </w:p>
        </w:tc>
        <w:tc>
          <w:tcPr>
            <w:tcW w:w="152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1.56±0.318a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exact"/>
              <w:rPr>
                <w:rFonts w:cs="Times New Roman"/>
                <w:szCs w:val="21"/>
              </w:rPr>
            </w:pPr>
            <w:r>
              <w:rPr>
                <w:rFonts w:cs="Times New Roman"/>
                <w:i/>
                <w:szCs w:val="21"/>
              </w:rPr>
              <w:t>WPS-2</w:t>
            </w:r>
          </w:p>
        </w:tc>
        <w:tc>
          <w:tcPr>
            <w:tcW w:w="17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WPS-2</w:t>
            </w:r>
          </w:p>
        </w:tc>
        <w:tc>
          <w:tcPr>
            <w:tcW w:w="16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3.42±0.071a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2.22±0.262b</w:t>
            </w: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2.23±0.332b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1.56±0.184d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0.73±0.049de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0.91±0.134d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0.51±0.181e</w:t>
            </w:r>
          </w:p>
        </w:tc>
        <w:tc>
          <w:tcPr>
            <w:tcW w:w="15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0.81±0.014de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i/>
                <w:szCs w:val="21"/>
              </w:rPr>
              <w:t>Actino.</w:t>
            </w:r>
          </w:p>
        </w:tc>
        <w:tc>
          <w:tcPr>
            <w:tcW w:w="1791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Aciditerrimonas</w:t>
            </w:r>
          </w:p>
        </w:tc>
        <w:tc>
          <w:tcPr>
            <w:tcW w:w="164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3.28±0.049a</w:t>
            </w:r>
          </w:p>
        </w:tc>
        <w:tc>
          <w:tcPr>
            <w:tcW w:w="141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1.38±0.106e</w:t>
            </w:r>
          </w:p>
        </w:tc>
        <w:tc>
          <w:tcPr>
            <w:tcW w:w="155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2.56±0.049b</w:t>
            </w:r>
          </w:p>
        </w:tc>
        <w:tc>
          <w:tcPr>
            <w:tcW w:w="141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1.45±0.596d</w:t>
            </w:r>
          </w:p>
        </w:tc>
        <w:tc>
          <w:tcPr>
            <w:tcW w:w="1559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0.77±0.297g</w:t>
            </w:r>
          </w:p>
        </w:tc>
        <w:tc>
          <w:tcPr>
            <w:tcW w:w="141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0.99±0.121f</w:t>
            </w:r>
          </w:p>
        </w:tc>
        <w:tc>
          <w:tcPr>
            <w:tcW w:w="141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0.70±0.122h</w:t>
            </w:r>
          </w:p>
        </w:tc>
        <w:tc>
          <w:tcPr>
            <w:tcW w:w="152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1.47±0.240c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</w:p>
        </w:tc>
        <w:tc>
          <w:tcPr>
            <w:tcW w:w="1791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Gaiella</w:t>
            </w:r>
          </w:p>
        </w:tc>
        <w:tc>
          <w:tcPr>
            <w:tcW w:w="164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0.73±0.007e</w:t>
            </w:r>
          </w:p>
        </w:tc>
        <w:tc>
          <w:tcPr>
            <w:tcW w:w="141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0.59±0.014f</w:t>
            </w:r>
          </w:p>
        </w:tc>
        <w:tc>
          <w:tcPr>
            <w:tcW w:w="1558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0.89±0.382d</w:t>
            </w:r>
          </w:p>
        </w:tc>
        <w:tc>
          <w:tcPr>
            <w:tcW w:w="141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0.41±0.000g</w:t>
            </w:r>
          </w:p>
        </w:tc>
        <w:tc>
          <w:tcPr>
            <w:tcW w:w="155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0.18±0.007h</w:t>
            </w:r>
          </w:p>
        </w:tc>
        <w:tc>
          <w:tcPr>
            <w:tcW w:w="141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1.82±0.028b</w:t>
            </w:r>
          </w:p>
        </w:tc>
        <w:tc>
          <w:tcPr>
            <w:tcW w:w="141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1.18±0.250c</w:t>
            </w:r>
          </w:p>
        </w:tc>
        <w:tc>
          <w:tcPr>
            <w:tcW w:w="152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2.28±0.021a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i/>
                <w:szCs w:val="21"/>
              </w:rPr>
              <w:t>Chloro.</w:t>
            </w:r>
          </w:p>
        </w:tc>
        <w:tc>
          <w:tcPr>
            <w:tcW w:w="1791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Thermosporothrix</w:t>
            </w:r>
          </w:p>
        </w:tc>
        <w:tc>
          <w:tcPr>
            <w:tcW w:w="164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0.97±0.195c</w:t>
            </w:r>
          </w:p>
        </w:tc>
        <w:tc>
          <w:tcPr>
            <w:tcW w:w="141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0.06±0.014h</w:t>
            </w:r>
          </w:p>
        </w:tc>
        <w:tc>
          <w:tcPr>
            <w:tcW w:w="155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1.02±0.547b</w:t>
            </w:r>
          </w:p>
        </w:tc>
        <w:tc>
          <w:tcPr>
            <w:tcW w:w="141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1.43±0.771a</w:t>
            </w:r>
          </w:p>
        </w:tc>
        <w:tc>
          <w:tcPr>
            <w:tcW w:w="1559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0.93±0.255d</w:t>
            </w:r>
          </w:p>
        </w:tc>
        <w:tc>
          <w:tcPr>
            <w:tcW w:w="141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0.11±0.007g</w:t>
            </w:r>
          </w:p>
        </w:tc>
        <w:tc>
          <w:tcPr>
            <w:tcW w:w="141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0.53±0.070e</w:t>
            </w:r>
          </w:p>
        </w:tc>
        <w:tc>
          <w:tcPr>
            <w:tcW w:w="152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0.17±0.021f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</w:p>
        </w:tc>
        <w:tc>
          <w:tcPr>
            <w:tcW w:w="1791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Ktedonobacter</w:t>
            </w:r>
          </w:p>
        </w:tc>
        <w:tc>
          <w:tcPr>
            <w:tcW w:w="164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0.68±0.134f</w:t>
            </w:r>
          </w:p>
        </w:tc>
        <w:tc>
          <w:tcPr>
            <w:tcW w:w="141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0.80±0.262e</w:t>
            </w:r>
          </w:p>
        </w:tc>
        <w:tc>
          <w:tcPr>
            <w:tcW w:w="1558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1.85±0.007a</w:t>
            </w:r>
          </w:p>
        </w:tc>
        <w:tc>
          <w:tcPr>
            <w:tcW w:w="141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1.52±0.665c</w:t>
            </w:r>
          </w:p>
        </w:tc>
        <w:tc>
          <w:tcPr>
            <w:tcW w:w="155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0.98±0.113d</w:t>
            </w:r>
          </w:p>
        </w:tc>
        <w:tc>
          <w:tcPr>
            <w:tcW w:w="141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0.29±0.085g</w:t>
            </w:r>
          </w:p>
        </w:tc>
        <w:tc>
          <w:tcPr>
            <w:tcW w:w="141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1.65±0.057b</w:t>
            </w:r>
          </w:p>
        </w:tc>
        <w:tc>
          <w:tcPr>
            <w:tcW w:w="152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0.26±0.042g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94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i/>
                <w:szCs w:val="21"/>
              </w:rPr>
              <w:t>Planc.</w:t>
            </w:r>
          </w:p>
        </w:tc>
        <w:tc>
          <w:tcPr>
            <w:tcW w:w="179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Gemmata</w:t>
            </w:r>
          </w:p>
        </w:tc>
        <w:tc>
          <w:tcPr>
            <w:tcW w:w="16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0.25±0.060h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2.46±0.368b</w:t>
            </w:r>
          </w:p>
        </w:tc>
        <w:tc>
          <w:tcPr>
            <w:tcW w:w="155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0.66±0.386f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0.78±0.042d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2.49±0.587a</w:t>
            </w:r>
          </w:p>
        </w:tc>
        <w:tc>
          <w:tcPr>
            <w:tcW w:w="14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0.69±0.049e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1.29±0.269c</w:t>
            </w:r>
          </w:p>
        </w:tc>
        <w:tc>
          <w:tcPr>
            <w:tcW w:w="152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0.52±0.007g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i/>
                <w:szCs w:val="21"/>
              </w:rPr>
              <w:t>Ver.</w:t>
            </w:r>
          </w:p>
        </w:tc>
        <w:tc>
          <w:tcPr>
            <w:tcW w:w="1791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Spartobacteria</w:t>
            </w:r>
          </w:p>
        </w:tc>
        <w:tc>
          <w:tcPr>
            <w:tcW w:w="164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0.15±0.042f</w:t>
            </w:r>
          </w:p>
        </w:tc>
        <w:tc>
          <w:tcPr>
            <w:tcW w:w="141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0.02±0.007g</w:t>
            </w:r>
          </w:p>
        </w:tc>
        <w:tc>
          <w:tcPr>
            <w:tcW w:w="1558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0.44±0.509de</w:t>
            </w:r>
          </w:p>
        </w:tc>
        <w:tc>
          <w:tcPr>
            <w:tcW w:w="141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2.23±0.940b</w:t>
            </w:r>
          </w:p>
        </w:tc>
        <w:tc>
          <w:tcPr>
            <w:tcW w:w="1559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3.64±0.198a</w:t>
            </w:r>
          </w:p>
        </w:tc>
        <w:tc>
          <w:tcPr>
            <w:tcW w:w="141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0.39±0.007e</w:t>
            </w:r>
          </w:p>
        </w:tc>
        <w:tc>
          <w:tcPr>
            <w:tcW w:w="141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1.75±0.850c</w:t>
            </w:r>
          </w:p>
        </w:tc>
        <w:tc>
          <w:tcPr>
            <w:tcW w:w="152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0.49±0.188d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4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</w:p>
        </w:tc>
        <w:tc>
          <w:tcPr>
            <w:tcW w:w="1791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i/>
                <w:szCs w:val="21"/>
              </w:rPr>
            </w:pPr>
            <w:r>
              <w:rPr>
                <w:rFonts w:cs="Times New Roman"/>
                <w:i/>
                <w:szCs w:val="21"/>
              </w:rPr>
              <w:t>Subdivision3</w:t>
            </w:r>
          </w:p>
        </w:tc>
        <w:tc>
          <w:tcPr>
            <w:tcW w:w="164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1.77±0.269f</w:t>
            </w:r>
          </w:p>
        </w:tc>
        <w:tc>
          <w:tcPr>
            <w:tcW w:w="141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0.88±0.035h</w:t>
            </w:r>
          </w:p>
        </w:tc>
        <w:tc>
          <w:tcPr>
            <w:tcW w:w="1558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1.62±0.453g</w:t>
            </w:r>
          </w:p>
        </w:tc>
        <w:tc>
          <w:tcPr>
            <w:tcW w:w="141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2.62±0.375d</w:t>
            </w:r>
          </w:p>
        </w:tc>
        <w:tc>
          <w:tcPr>
            <w:tcW w:w="155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1.86±0.120e</w:t>
            </w:r>
          </w:p>
        </w:tc>
        <w:tc>
          <w:tcPr>
            <w:tcW w:w="1416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4.14±0.919a</w:t>
            </w:r>
          </w:p>
        </w:tc>
        <w:tc>
          <w:tcPr>
            <w:tcW w:w="1417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2.74±0.141c</w:t>
            </w:r>
          </w:p>
        </w:tc>
        <w:tc>
          <w:tcPr>
            <w:tcW w:w="1523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3.69±0.670b</w:t>
            </w:r>
          </w:p>
        </w:tc>
      </w:tr>
    </w:tbl>
    <w:p>
      <w:pPr>
        <w:spacing w:line="360" w:lineRule="auto"/>
        <w:rPr>
          <w:rFonts w:cs="Times New Roman"/>
          <w:i/>
          <w:sz w:val="24"/>
        </w:rPr>
        <w:sectPr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 w:num="1"/>
          <w:docGrid w:type="lines" w:linePitch="312" w:charSpace="0"/>
        </w:sectPr>
      </w:pPr>
      <w:r>
        <w:rPr>
          <w:rFonts w:cs="Times New Roman"/>
          <w:i/>
          <w:sz w:val="24"/>
        </w:rPr>
        <w:t>Acido.</w:t>
      </w:r>
      <w:r>
        <w:rPr>
          <w:rFonts w:cs="Times New Roman"/>
          <w:iCs/>
          <w:sz w:val="24"/>
        </w:rPr>
        <w:t xml:space="preserve">: </w:t>
      </w:r>
      <w:r>
        <w:rPr>
          <w:rFonts w:cs="Times New Roman"/>
          <w:i/>
          <w:sz w:val="24"/>
        </w:rPr>
        <w:t>Acidobacteria; Proteo.</w:t>
      </w:r>
      <w:r>
        <w:rPr>
          <w:rFonts w:cs="Times New Roman"/>
          <w:iCs/>
          <w:sz w:val="24"/>
        </w:rPr>
        <w:t xml:space="preserve">: </w:t>
      </w:r>
      <w:r>
        <w:rPr>
          <w:rFonts w:cs="Times New Roman"/>
          <w:i/>
          <w:sz w:val="24"/>
        </w:rPr>
        <w:t>Proteobacteria; Actino.</w:t>
      </w:r>
      <w:r>
        <w:rPr>
          <w:rFonts w:cs="Times New Roman"/>
          <w:iCs/>
          <w:sz w:val="24"/>
        </w:rPr>
        <w:t xml:space="preserve">: </w:t>
      </w:r>
      <w:r>
        <w:rPr>
          <w:rFonts w:cs="Times New Roman"/>
          <w:i/>
          <w:sz w:val="24"/>
        </w:rPr>
        <w:t>Actinobacteria; Chloro.</w:t>
      </w:r>
      <w:r>
        <w:rPr>
          <w:rFonts w:cs="Times New Roman"/>
          <w:iCs/>
          <w:sz w:val="24"/>
        </w:rPr>
        <w:t>:</w:t>
      </w:r>
      <w:r>
        <w:rPr>
          <w:rFonts w:cs="Times New Roman"/>
          <w:i/>
          <w:sz w:val="24"/>
        </w:rPr>
        <w:t xml:space="preserve"> Chloroflexi; Planc.</w:t>
      </w:r>
      <w:r>
        <w:rPr>
          <w:rFonts w:cs="Times New Roman"/>
          <w:iCs/>
          <w:sz w:val="24"/>
        </w:rPr>
        <w:t>:</w:t>
      </w:r>
      <w:r>
        <w:rPr>
          <w:rFonts w:cs="Times New Roman"/>
          <w:i/>
          <w:sz w:val="24"/>
        </w:rPr>
        <w:t xml:space="preserve"> Planctomycetes; Ver.</w:t>
      </w:r>
      <w:r>
        <w:rPr>
          <w:rFonts w:cs="Times New Roman"/>
          <w:iCs/>
          <w:sz w:val="24"/>
        </w:rPr>
        <w:t xml:space="preserve">: </w:t>
      </w:r>
      <w:r>
        <w:rPr>
          <w:rFonts w:cs="Times New Roman"/>
          <w:i/>
          <w:sz w:val="24"/>
        </w:rPr>
        <w:t>Verrucomicrob</w:t>
      </w:r>
    </w:p>
    <w:p>
      <w:pPr>
        <w:spacing w:line="360" w:lineRule="auto"/>
        <w:ind w:firstLine="420" w:firstLineChars="200"/>
        <w:jc w:val="center"/>
        <w:rPr>
          <w:rFonts w:eastAsia="宋体" w:cs="Times New Roman"/>
          <w:sz w:val="24"/>
        </w:rPr>
      </w:pPr>
      <w:r>
        <w:drawing>
          <wp:inline distT="0" distB="0" distL="0" distR="0">
            <wp:extent cx="4572000" cy="2735580"/>
            <wp:effectExtent l="0" t="0" r="0" b="7620"/>
            <wp:docPr id="166" name="图表 1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spacing w:line="480" w:lineRule="auto"/>
        <w:ind w:firstLine="482" w:firstLineChars="200"/>
        <w:jc w:val="center"/>
        <w:rPr>
          <w:b/>
          <w:sz w:val="24"/>
        </w:rPr>
      </w:pPr>
      <w:r>
        <w:rPr>
          <w:b/>
          <w:sz w:val="24"/>
        </w:rPr>
        <w:t xml:space="preserve">Fig. </w:t>
      </w:r>
      <w:r>
        <w:rPr>
          <w:rFonts w:hint="eastAsia"/>
          <w:b/>
          <w:sz w:val="24"/>
          <w:lang w:val="en-US" w:eastAsia="zh-CN"/>
        </w:rPr>
        <w:t>A.1</w:t>
      </w:r>
      <w:r>
        <w:rPr>
          <w:b/>
          <w:sz w:val="24"/>
        </w:rPr>
        <w:t xml:space="preserve"> </w:t>
      </w:r>
      <w:r>
        <w:rPr>
          <w:rFonts w:cs="Times New Roman"/>
          <w:bCs/>
          <w:sz w:val="24"/>
        </w:rPr>
        <w:t>Effect of phenolic acids on germination rate of peanut seeds</w:t>
      </w:r>
    </w:p>
    <w:p>
      <w:pPr>
        <w:spacing w:line="360" w:lineRule="auto"/>
        <w:rPr>
          <w:rFonts w:cs="Times New Roman"/>
          <w:b/>
          <w:bCs/>
          <w:sz w:val="24"/>
        </w:rPr>
      </w:pPr>
    </w:p>
    <w:p>
      <w:pPr>
        <w:spacing w:line="360" w:lineRule="auto"/>
        <w:jc w:val="center"/>
      </w:pPr>
      <w:r>
        <w:drawing>
          <wp:inline distT="0" distB="0" distL="0" distR="0">
            <wp:extent cx="4572000" cy="2735580"/>
            <wp:effectExtent l="0" t="0" r="0" b="7620"/>
            <wp:docPr id="165" name="图表 1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spacing w:line="480" w:lineRule="auto"/>
        <w:jc w:val="center"/>
        <w:rPr>
          <w:rFonts w:hint="eastAsia" w:eastAsiaTheme="minor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lnNumType w:countBy="1" w:restart="continuous"/>
          <w:cols w:space="425" w:num="1"/>
          <w:docGrid w:type="lines" w:linePitch="312" w:charSpace="0"/>
        </w:sectPr>
      </w:pPr>
      <w:r>
        <w:rPr>
          <w:b/>
          <w:sz w:val="24"/>
        </w:rPr>
        <w:t xml:space="preserve">Fig. </w:t>
      </w:r>
      <w:r>
        <w:rPr>
          <w:rFonts w:hint="eastAsia"/>
          <w:b/>
          <w:sz w:val="24"/>
          <w:lang w:val="en-US" w:eastAsia="zh-CN"/>
        </w:rPr>
        <w:t>A.2</w:t>
      </w:r>
      <w:r>
        <w:rPr>
          <w:b/>
          <w:sz w:val="24"/>
        </w:rPr>
        <w:t xml:space="preserve"> </w:t>
      </w:r>
      <w:r>
        <w:rPr>
          <w:rFonts w:cs="Times New Roman"/>
          <w:bCs/>
          <w:sz w:val="24"/>
        </w:rPr>
        <w:t>Effect of phenolic acids on the growth of peanut seeds ger</w:t>
      </w:r>
      <w:r>
        <w:rPr>
          <w:rFonts w:hint="eastAsia" w:cs="Times New Roman"/>
          <w:bCs/>
          <w:sz w:val="24"/>
          <w:lang w:val="en-US" w:eastAsia="zh-CN"/>
        </w:rPr>
        <w:t>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0OTYzN2Y0NDlhZTBkZGZjYmY2YjI1OWM5MDMyYjYifQ=="/>
  </w:docVars>
  <w:rsids>
    <w:rsidRoot w:val="00000000"/>
    <w:rsid w:val="6958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Yuhan%20Zhang\Desktop\&#21407;&#22987;&#25968;&#25454;\&#25968;&#25454;.xls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Yuhan%20Zhang\Desktop\&#21407;&#22987;&#25968;&#25454;\&#21407;&#22987;&#25968;&#25454;1&#20462;&#2591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75"/>
          <c:y val="0.264003058688587"/>
          <c:w val="0.815138888888889"/>
          <c:h val="0.6715733129420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[数据.xls]化感指数!$A$2</c:f>
              <c:strCache>
                <c:ptCount val="1"/>
                <c:pt idx="0">
                  <c:v>Ferulic acid</c:v>
                </c:pt>
              </c:strCache>
            </c:strRef>
          </c:tx>
          <c:spPr>
            <a:pattFill prst="pct5">
              <a:fgClr>
                <a:schemeClr val="bg1">
                  <a:lumMod val="50000"/>
                </a:schemeClr>
              </a:fgClr>
              <a:bgClr>
                <a:schemeClr val="bg1"/>
              </a:bgClr>
            </a:pattFill>
            <a:ln>
              <a:solidFill>
                <a:schemeClr val="bg1">
                  <a:lumMod val="50000"/>
                </a:schemeClr>
              </a:solidFill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c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0012187690432663"/>
                  <c:y val="-0.002546296296296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a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a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b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b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e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d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e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d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00243753808653251"/>
                  <c:y val="8.48755627201333e-1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e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b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e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Sheet5!$B$42:$M$42</c:f>
                <c:numCache>
                  <c:formatCode>General</c:formatCode>
                  <c:ptCount val="12"/>
                  <c:pt idx="0">
                    <c:v>0.001</c:v>
                  </c:pt>
                  <c:pt idx="1">
                    <c:v>0.001</c:v>
                  </c:pt>
                  <c:pt idx="2">
                    <c:v>0.002</c:v>
                  </c:pt>
                  <c:pt idx="3">
                    <c:v>0.001</c:v>
                  </c:pt>
                  <c:pt idx="4">
                    <c:v>0.004</c:v>
                  </c:pt>
                  <c:pt idx="5">
                    <c:v>0.095</c:v>
                  </c:pt>
                  <c:pt idx="6">
                    <c:v>0.008</c:v>
                  </c:pt>
                  <c:pt idx="7">
                    <c:v>0.001</c:v>
                  </c:pt>
                  <c:pt idx="8">
                    <c:v>0.001</c:v>
                  </c:pt>
                  <c:pt idx="9">
                    <c:v>0.003</c:v>
                  </c:pt>
                  <c:pt idx="10">
                    <c:v>0.001</c:v>
                  </c:pt>
                  <c:pt idx="11">
                    <c:v>0.001</c:v>
                  </c:pt>
                </c:numCache>
              </c:numRef>
            </c:plus>
            <c:minus>
              <c:numRef>
                <c:f>Sheet5!$B$42:$M$42</c:f>
                <c:numCache>
                  <c:formatCode>General</c:formatCode>
                  <c:ptCount val="12"/>
                  <c:pt idx="0">
                    <c:v>0.001</c:v>
                  </c:pt>
                  <c:pt idx="1">
                    <c:v>0.001</c:v>
                  </c:pt>
                  <c:pt idx="2">
                    <c:v>0.002</c:v>
                  </c:pt>
                  <c:pt idx="3">
                    <c:v>0.001</c:v>
                  </c:pt>
                  <c:pt idx="4">
                    <c:v>0.004</c:v>
                  </c:pt>
                  <c:pt idx="5">
                    <c:v>0.095</c:v>
                  </c:pt>
                  <c:pt idx="6">
                    <c:v>0.008</c:v>
                  </c:pt>
                  <c:pt idx="7">
                    <c:v>0.001</c:v>
                  </c:pt>
                  <c:pt idx="8">
                    <c:v>0.001</c:v>
                  </c:pt>
                  <c:pt idx="9">
                    <c:v>0.003</c:v>
                  </c:pt>
                  <c:pt idx="10">
                    <c:v>0.001</c:v>
                  </c:pt>
                  <c:pt idx="11">
                    <c:v>0.001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numRef>
              <c:f>Sheet5!$B$24:$M$24</c:f>
              <c:numCache>
                <c:formatCode>General</c:formatCode>
                <c:ptCount val="12"/>
                <c:pt idx="0">
                  <c:v>0.25</c:v>
                </c:pt>
                <c:pt idx="1">
                  <c:v>0.5</c:v>
                </c:pt>
                <c:pt idx="2">
                  <c:v>0.75</c:v>
                </c:pt>
                <c:pt idx="3">
                  <c:v>1</c:v>
                </c:pt>
                <c:pt idx="4">
                  <c:v>1.25</c:v>
                </c:pt>
                <c:pt idx="5">
                  <c:v>1.5</c:v>
                </c:pt>
                <c:pt idx="6">
                  <c:v>1.75</c:v>
                </c:pt>
                <c:pt idx="7">
                  <c:v>2</c:v>
                </c:pt>
                <c:pt idx="8">
                  <c:v>2.25</c:v>
                </c:pt>
                <c:pt idx="9">
                  <c:v>2.5</c:v>
                </c:pt>
                <c:pt idx="10">
                  <c:v>2.75</c:v>
                </c:pt>
                <c:pt idx="11">
                  <c:v>3</c:v>
                </c:pt>
              </c:numCache>
            </c:numRef>
          </c:cat>
          <c:val>
            <c:numRef>
              <c:f>Sheet5!$B$25:$M$25</c:f>
              <c:numCache>
                <c:formatCode>0.00</c:formatCode>
                <c:ptCount val="12"/>
                <c:pt idx="0">
                  <c:v>-0.2</c:v>
                </c:pt>
                <c:pt idx="1">
                  <c:v>0.166666666666667</c:v>
                </c:pt>
                <c:pt idx="2">
                  <c:v>0.166666666666667</c:v>
                </c:pt>
                <c:pt idx="3">
                  <c:v>-0.2</c:v>
                </c:pt>
                <c:pt idx="4">
                  <c:v>-0.2</c:v>
                </c:pt>
                <c:pt idx="5">
                  <c:v>-0.6</c:v>
                </c:pt>
                <c:pt idx="6">
                  <c:v>-0.4</c:v>
                </c:pt>
                <c:pt idx="7">
                  <c:v>-0.6</c:v>
                </c:pt>
                <c:pt idx="8">
                  <c:v>-0.4</c:v>
                </c:pt>
                <c:pt idx="9">
                  <c:v>-0.6</c:v>
                </c:pt>
                <c:pt idx="10">
                  <c:v>-0.2</c:v>
                </c:pt>
                <c:pt idx="11">
                  <c:v>-0.6</c:v>
                </c:pt>
              </c:numCache>
            </c:numRef>
          </c:val>
        </c:ser>
        <c:ser>
          <c:idx val="1"/>
          <c:order val="1"/>
          <c:tx>
            <c:strRef>
              <c:f>[数据.xls]化感指数!$A$3</c:f>
              <c:strCache>
                <c:ptCount val="1"/>
                <c:pt idx="0">
                  <c:v>P-coumaric acid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a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a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c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a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b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d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d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f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e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8.93753640343634e-17"/>
                  <c:y val="-0.013888888888888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f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f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f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Sheet5!$B$40:$M$40</c:f>
                <c:numCache>
                  <c:formatCode>General</c:formatCode>
                  <c:ptCount val="12"/>
                  <c:pt idx="0">
                    <c:v>0.001</c:v>
                  </c:pt>
                  <c:pt idx="1">
                    <c:v>0.001</c:v>
                  </c:pt>
                  <c:pt idx="2">
                    <c:v>0.005</c:v>
                  </c:pt>
                  <c:pt idx="3">
                    <c:v>0.001</c:v>
                  </c:pt>
                  <c:pt idx="4">
                    <c:v>0.001</c:v>
                  </c:pt>
                  <c:pt idx="5">
                    <c:v>0.001</c:v>
                  </c:pt>
                  <c:pt idx="6">
                    <c:v>0.001</c:v>
                  </c:pt>
                  <c:pt idx="7">
                    <c:v>0.002</c:v>
                  </c:pt>
                  <c:pt idx="8">
                    <c:v>0.001</c:v>
                  </c:pt>
                  <c:pt idx="9">
                    <c:v>0.075</c:v>
                  </c:pt>
                  <c:pt idx="10">
                    <c:v>0.002</c:v>
                  </c:pt>
                  <c:pt idx="11">
                    <c:v>0.001</c:v>
                  </c:pt>
                </c:numCache>
              </c:numRef>
            </c:plus>
            <c:minus>
              <c:numRef>
                <c:f>Sheet5!$B$40:$M$40</c:f>
                <c:numCache>
                  <c:formatCode>General</c:formatCode>
                  <c:ptCount val="12"/>
                  <c:pt idx="0">
                    <c:v>0.001</c:v>
                  </c:pt>
                  <c:pt idx="1">
                    <c:v>0.001</c:v>
                  </c:pt>
                  <c:pt idx="2">
                    <c:v>0.005</c:v>
                  </c:pt>
                  <c:pt idx="3">
                    <c:v>0.001</c:v>
                  </c:pt>
                  <c:pt idx="4">
                    <c:v>0.001</c:v>
                  </c:pt>
                  <c:pt idx="5">
                    <c:v>0.001</c:v>
                  </c:pt>
                  <c:pt idx="6">
                    <c:v>0.001</c:v>
                  </c:pt>
                  <c:pt idx="7">
                    <c:v>0.002</c:v>
                  </c:pt>
                  <c:pt idx="8">
                    <c:v>0.001</c:v>
                  </c:pt>
                  <c:pt idx="9">
                    <c:v>0.075</c:v>
                  </c:pt>
                  <c:pt idx="10">
                    <c:v>0.002</c:v>
                  </c:pt>
                  <c:pt idx="11">
                    <c:v>0.001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numRef>
              <c:f>Sheet5!$B$24:$M$24</c:f>
              <c:numCache>
                <c:formatCode>General</c:formatCode>
                <c:ptCount val="12"/>
                <c:pt idx="0">
                  <c:v>0.25</c:v>
                </c:pt>
                <c:pt idx="1">
                  <c:v>0.5</c:v>
                </c:pt>
                <c:pt idx="2">
                  <c:v>0.75</c:v>
                </c:pt>
                <c:pt idx="3">
                  <c:v>1</c:v>
                </c:pt>
                <c:pt idx="4">
                  <c:v>1.25</c:v>
                </c:pt>
                <c:pt idx="5">
                  <c:v>1.5</c:v>
                </c:pt>
                <c:pt idx="6">
                  <c:v>1.75</c:v>
                </c:pt>
                <c:pt idx="7">
                  <c:v>2</c:v>
                </c:pt>
                <c:pt idx="8">
                  <c:v>2.25</c:v>
                </c:pt>
                <c:pt idx="9">
                  <c:v>2.5</c:v>
                </c:pt>
                <c:pt idx="10">
                  <c:v>2.75</c:v>
                </c:pt>
                <c:pt idx="11">
                  <c:v>3</c:v>
                </c:pt>
              </c:numCache>
            </c:numRef>
          </c:cat>
          <c:val>
            <c:numRef>
              <c:f>Sheet5!$B$26:$M$26</c:f>
              <c:numCache>
                <c:formatCode>0.00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-0.2</c:v>
                </c:pt>
                <c:pt idx="3">
                  <c:v>0</c:v>
                </c:pt>
                <c:pt idx="4">
                  <c:v>-0.2</c:v>
                </c:pt>
                <c:pt idx="5">
                  <c:v>-0.4</c:v>
                </c:pt>
                <c:pt idx="6">
                  <c:v>-0.4</c:v>
                </c:pt>
                <c:pt idx="7">
                  <c:v>-1</c:v>
                </c:pt>
                <c:pt idx="8">
                  <c:v>-0.8</c:v>
                </c:pt>
                <c:pt idx="9">
                  <c:v>-1</c:v>
                </c:pt>
                <c:pt idx="10">
                  <c:v>-1</c:v>
                </c:pt>
                <c:pt idx="11">
                  <c:v>-1</c:v>
                </c:pt>
              </c:numCache>
            </c:numRef>
          </c:val>
        </c:ser>
        <c:ser>
          <c:idx val="2"/>
          <c:order val="2"/>
          <c:tx>
            <c:strRef>
              <c:f>[数据.xls]化感指数!$A$4</c:f>
              <c:strCache>
                <c:ptCount val="1"/>
                <c:pt idx="0">
                  <c:v>P-hydroxybenzoic acid</c:v>
                </c:pt>
              </c:strCache>
            </c:strRef>
          </c:tx>
          <c:spPr>
            <a:noFill/>
            <a:ln>
              <a:solidFill>
                <a:schemeClr val="bg1">
                  <a:lumMod val="50000"/>
                </a:schemeClr>
              </a:solidFill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a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a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b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c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d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e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f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g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f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8.93753640343634e-17"/>
                  <c:y val="-0.0069429862933799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g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lang="zh-CN" sz="9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0249481063495948"/>
                      <c:h val="0.0693751822688831"/>
                    </c:manualLayout>
                  </c15:layout>
                </c:ext>
              </c:extLst>
            </c:dLbl>
            <c:dLbl>
              <c:idx val="1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g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g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Sheet5!$B$39:$M$39</c:f>
                <c:numCache>
                  <c:formatCode>General</c:formatCode>
                  <c:ptCount val="12"/>
                  <c:pt idx="0">
                    <c:v>0.001</c:v>
                  </c:pt>
                  <c:pt idx="1">
                    <c:v>0.001</c:v>
                  </c:pt>
                  <c:pt idx="2">
                    <c:v>0.001</c:v>
                  </c:pt>
                  <c:pt idx="3">
                    <c:v>0.014</c:v>
                  </c:pt>
                  <c:pt idx="4">
                    <c:v>0.001</c:v>
                  </c:pt>
                  <c:pt idx="5">
                    <c:v>0.001</c:v>
                  </c:pt>
                  <c:pt idx="6">
                    <c:v>0.012</c:v>
                  </c:pt>
                  <c:pt idx="7">
                    <c:v>0.001</c:v>
                  </c:pt>
                  <c:pt idx="8">
                    <c:v>0.001</c:v>
                  </c:pt>
                  <c:pt idx="9">
                    <c:v>0.001</c:v>
                  </c:pt>
                  <c:pt idx="10">
                    <c:v>0.001</c:v>
                  </c:pt>
                  <c:pt idx="11">
                    <c:v>0.001</c:v>
                  </c:pt>
                </c:numCache>
              </c:numRef>
            </c:plus>
            <c:minus>
              <c:numRef>
                <c:f>Sheet5!$B$39:$M$39</c:f>
                <c:numCache>
                  <c:formatCode>General</c:formatCode>
                  <c:ptCount val="12"/>
                  <c:pt idx="0">
                    <c:v>0.001</c:v>
                  </c:pt>
                  <c:pt idx="1">
                    <c:v>0.001</c:v>
                  </c:pt>
                  <c:pt idx="2">
                    <c:v>0.001</c:v>
                  </c:pt>
                  <c:pt idx="3">
                    <c:v>0.014</c:v>
                  </c:pt>
                  <c:pt idx="4">
                    <c:v>0.001</c:v>
                  </c:pt>
                  <c:pt idx="5">
                    <c:v>0.001</c:v>
                  </c:pt>
                  <c:pt idx="6">
                    <c:v>0.012</c:v>
                  </c:pt>
                  <c:pt idx="7">
                    <c:v>0.001</c:v>
                  </c:pt>
                  <c:pt idx="8">
                    <c:v>0.001</c:v>
                  </c:pt>
                  <c:pt idx="9">
                    <c:v>0.001</c:v>
                  </c:pt>
                  <c:pt idx="10">
                    <c:v>0.001</c:v>
                  </c:pt>
                  <c:pt idx="11">
                    <c:v>0.001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numRef>
              <c:f>Sheet5!$B$24:$M$24</c:f>
              <c:numCache>
                <c:formatCode>General</c:formatCode>
                <c:ptCount val="12"/>
                <c:pt idx="0">
                  <c:v>0.25</c:v>
                </c:pt>
                <c:pt idx="1">
                  <c:v>0.5</c:v>
                </c:pt>
                <c:pt idx="2">
                  <c:v>0.75</c:v>
                </c:pt>
                <c:pt idx="3">
                  <c:v>1</c:v>
                </c:pt>
                <c:pt idx="4">
                  <c:v>1.25</c:v>
                </c:pt>
                <c:pt idx="5">
                  <c:v>1.5</c:v>
                </c:pt>
                <c:pt idx="6">
                  <c:v>1.75</c:v>
                </c:pt>
                <c:pt idx="7">
                  <c:v>2</c:v>
                </c:pt>
                <c:pt idx="8">
                  <c:v>2.25</c:v>
                </c:pt>
                <c:pt idx="9">
                  <c:v>2.5</c:v>
                </c:pt>
                <c:pt idx="10">
                  <c:v>2.75</c:v>
                </c:pt>
                <c:pt idx="11">
                  <c:v>3</c:v>
                </c:pt>
              </c:numCache>
            </c:numRef>
          </c:cat>
          <c:val>
            <c:numRef>
              <c:f>Sheet5!$B$27:$M$27</c:f>
              <c:numCache>
                <c:formatCode>0.00</c:formatCode>
                <c:ptCount val="12"/>
                <c:pt idx="0">
                  <c:v>0.166666666666667</c:v>
                </c:pt>
                <c:pt idx="1">
                  <c:v>0.166666666666667</c:v>
                </c:pt>
                <c:pt idx="2">
                  <c:v>0</c:v>
                </c:pt>
                <c:pt idx="3">
                  <c:v>-0.2</c:v>
                </c:pt>
                <c:pt idx="4">
                  <c:v>-0.4</c:v>
                </c:pt>
                <c:pt idx="5">
                  <c:v>-0.6</c:v>
                </c:pt>
                <c:pt idx="6">
                  <c:v>-0.8</c:v>
                </c:pt>
                <c:pt idx="7">
                  <c:v>-1</c:v>
                </c:pt>
                <c:pt idx="8">
                  <c:v>-0.8</c:v>
                </c:pt>
                <c:pt idx="9">
                  <c:v>-1</c:v>
                </c:pt>
                <c:pt idx="10">
                  <c:v>-1</c:v>
                </c:pt>
                <c:pt idx="11">
                  <c:v>-1</c:v>
                </c:pt>
              </c:numCache>
            </c:numRef>
          </c:val>
        </c:ser>
        <c:ser>
          <c:idx val="3"/>
          <c:order val="3"/>
          <c:tx>
            <c:strRef>
              <c:f>[数据.xls]化感指数!$A$5</c:f>
              <c:strCache>
                <c:ptCount val="1"/>
                <c:pt idx="0">
                  <c:v>Cinnamic acid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b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a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b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b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d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d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d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d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c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d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d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d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Sheet5!$B$39:$M$39</c:f>
                <c:numCache>
                  <c:formatCode>General</c:formatCode>
                  <c:ptCount val="12"/>
                  <c:pt idx="0">
                    <c:v>0.001</c:v>
                  </c:pt>
                  <c:pt idx="1">
                    <c:v>0.001</c:v>
                  </c:pt>
                  <c:pt idx="2">
                    <c:v>0.001</c:v>
                  </c:pt>
                  <c:pt idx="3">
                    <c:v>0.014</c:v>
                  </c:pt>
                  <c:pt idx="4">
                    <c:v>0.001</c:v>
                  </c:pt>
                  <c:pt idx="5">
                    <c:v>0.001</c:v>
                  </c:pt>
                  <c:pt idx="6">
                    <c:v>0.012</c:v>
                  </c:pt>
                  <c:pt idx="7">
                    <c:v>0.001</c:v>
                  </c:pt>
                  <c:pt idx="8">
                    <c:v>0.001</c:v>
                  </c:pt>
                  <c:pt idx="9">
                    <c:v>0.001</c:v>
                  </c:pt>
                  <c:pt idx="10">
                    <c:v>0.001</c:v>
                  </c:pt>
                  <c:pt idx="11">
                    <c:v>0.001</c:v>
                  </c:pt>
                </c:numCache>
              </c:numRef>
            </c:plus>
            <c:minus>
              <c:numRef>
                <c:f>Sheet5!$B$39:$M$39</c:f>
                <c:numCache>
                  <c:formatCode>General</c:formatCode>
                  <c:ptCount val="12"/>
                  <c:pt idx="0">
                    <c:v>0.001</c:v>
                  </c:pt>
                  <c:pt idx="1">
                    <c:v>0.001</c:v>
                  </c:pt>
                  <c:pt idx="2">
                    <c:v>0.001</c:v>
                  </c:pt>
                  <c:pt idx="3">
                    <c:v>0.014</c:v>
                  </c:pt>
                  <c:pt idx="4">
                    <c:v>0.001</c:v>
                  </c:pt>
                  <c:pt idx="5">
                    <c:v>0.001</c:v>
                  </c:pt>
                  <c:pt idx="6">
                    <c:v>0.012</c:v>
                  </c:pt>
                  <c:pt idx="7">
                    <c:v>0.001</c:v>
                  </c:pt>
                  <c:pt idx="8">
                    <c:v>0.001</c:v>
                  </c:pt>
                  <c:pt idx="9">
                    <c:v>0.001</c:v>
                  </c:pt>
                  <c:pt idx="10">
                    <c:v>0.001</c:v>
                  </c:pt>
                  <c:pt idx="11">
                    <c:v>0.001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numRef>
              <c:f>Sheet5!$B$24:$M$24</c:f>
              <c:numCache>
                <c:formatCode>General</c:formatCode>
                <c:ptCount val="12"/>
                <c:pt idx="0">
                  <c:v>0.25</c:v>
                </c:pt>
                <c:pt idx="1">
                  <c:v>0.5</c:v>
                </c:pt>
                <c:pt idx="2">
                  <c:v>0.75</c:v>
                </c:pt>
                <c:pt idx="3">
                  <c:v>1</c:v>
                </c:pt>
                <c:pt idx="4">
                  <c:v>1.25</c:v>
                </c:pt>
                <c:pt idx="5">
                  <c:v>1.5</c:v>
                </c:pt>
                <c:pt idx="6">
                  <c:v>1.75</c:v>
                </c:pt>
                <c:pt idx="7">
                  <c:v>2</c:v>
                </c:pt>
                <c:pt idx="8">
                  <c:v>2.25</c:v>
                </c:pt>
                <c:pt idx="9">
                  <c:v>2.5</c:v>
                </c:pt>
                <c:pt idx="10">
                  <c:v>2.75</c:v>
                </c:pt>
                <c:pt idx="11">
                  <c:v>3</c:v>
                </c:pt>
              </c:numCache>
            </c:numRef>
          </c:cat>
          <c:val>
            <c:numRef>
              <c:f>Sheet5!$B$28:$M$28</c:f>
              <c:numCache>
                <c:formatCode>0.00</c:formatCode>
                <c:ptCount val="12"/>
                <c:pt idx="0">
                  <c:v>0</c:v>
                </c:pt>
                <c:pt idx="1">
                  <c:v>0.166666666666667</c:v>
                </c:pt>
                <c:pt idx="2">
                  <c:v>0</c:v>
                </c:pt>
                <c:pt idx="3">
                  <c:v>0</c:v>
                </c:pt>
                <c:pt idx="4">
                  <c:v>-1</c:v>
                </c:pt>
                <c:pt idx="5">
                  <c:v>-1</c:v>
                </c:pt>
                <c:pt idx="6">
                  <c:v>-1</c:v>
                </c:pt>
                <c:pt idx="7">
                  <c:v>-1</c:v>
                </c:pt>
                <c:pt idx="8">
                  <c:v>-0.6</c:v>
                </c:pt>
                <c:pt idx="9">
                  <c:v>-1</c:v>
                </c:pt>
                <c:pt idx="10">
                  <c:v>-1</c:v>
                </c:pt>
                <c:pt idx="11">
                  <c:v>-1</c:v>
                </c:pt>
              </c:numCache>
            </c:numRef>
          </c:val>
        </c:ser>
        <c:ser>
          <c:idx val="4"/>
          <c:order val="4"/>
          <c:tx>
            <c:strRef>
              <c:f>[数据.xls]化感指数!$A$6</c:f>
              <c:strCache>
                <c:ptCount val="1"/>
                <c:pt idx="0">
                  <c:v>Mixed acid</c:v>
                </c:pt>
              </c:strCache>
            </c:strRef>
          </c:tx>
          <c:spPr>
            <a:pattFill prst="ltDnDiag">
              <a:fgClr>
                <a:srgbClr val="000000"/>
              </a:fgClr>
              <a:bgClr>
                <a:schemeClr val="bg1"/>
              </a:bgClr>
            </a:pattFill>
            <a:ln>
              <a:solidFill>
                <a:schemeClr val="bg1">
                  <a:lumMod val="50000"/>
                </a:schemeClr>
              </a:solidFill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c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a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a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b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g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e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f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f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e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d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f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/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defRPr>
                    </a:pPr>
                    <a:r>
                      <a:rPr lang="en-US" altLang="zh-CN" sz="90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ea typeface="Times New Roman" panose="02020603050405020304" charset="0"/>
                        <a:cs typeface="Times New Roman" panose="02020603050405020304" charset="0"/>
                        <a:sym typeface="Times New Roman" panose="02020603050405020304" charset="0"/>
                      </a:rPr>
                      <a:t>f</a:t>
                    </a:r>
                    <a:endParaRPr lang="en-US" altLang="zh-CN" sz="900">
                      <a:solidFill>
                        <a:sysClr val="windowText" lastClr="000000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Sheet5!$B$42:$M$42</c:f>
                <c:numCache>
                  <c:formatCode>General</c:formatCode>
                  <c:ptCount val="12"/>
                  <c:pt idx="0">
                    <c:v>0.001</c:v>
                  </c:pt>
                  <c:pt idx="1">
                    <c:v>0.001</c:v>
                  </c:pt>
                  <c:pt idx="2">
                    <c:v>0.002</c:v>
                  </c:pt>
                  <c:pt idx="3">
                    <c:v>0.001</c:v>
                  </c:pt>
                  <c:pt idx="4">
                    <c:v>0.004</c:v>
                  </c:pt>
                  <c:pt idx="5">
                    <c:v>0.095</c:v>
                  </c:pt>
                  <c:pt idx="6">
                    <c:v>0.008</c:v>
                  </c:pt>
                  <c:pt idx="7">
                    <c:v>0.001</c:v>
                  </c:pt>
                  <c:pt idx="8">
                    <c:v>0.001</c:v>
                  </c:pt>
                  <c:pt idx="9">
                    <c:v>0.003</c:v>
                  </c:pt>
                  <c:pt idx="10">
                    <c:v>0.001</c:v>
                  </c:pt>
                  <c:pt idx="11">
                    <c:v>0.001</c:v>
                  </c:pt>
                </c:numCache>
              </c:numRef>
            </c:plus>
            <c:minus>
              <c:numRef>
                <c:f>Sheet5!$B$42:$M$42</c:f>
                <c:numCache>
                  <c:formatCode>General</c:formatCode>
                  <c:ptCount val="12"/>
                  <c:pt idx="0">
                    <c:v>0.001</c:v>
                  </c:pt>
                  <c:pt idx="1">
                    <c:v>0.001</c:v>
                  </c:pt>
                  <c:pt idx="2">
                    <c:v>0.002</c:v>
                  </c:pt>
                  <c:pt idx="3">
                    <c:v>0.001</c:v>
                  </c:pt>
                  <c:pt idx="4">
                    <c:v>0.004</c:v>
                  </c:pt>
                  <c:pt idx="5">
                    <c:v>0.095</c:v>
                  </c:pt>
                  <c:pt idx="6">
                    <c:v>0.008</c:v>
                  </c:pt>
                  <c:pt idx="7">
                    <c:v>0.001</c:v>
                  </c:pt>
                  <c:pt idx="8">
                    <c:v>0.001</c:v>
                  </c:pt>
                  <c:pt idx="9">
                    <c:v>0.003</c:v>
                  </c:pt>
                  <c:pt idx="10">
                    <c:v>0.001</c:v>
                  </c:pt>
                  <c:pt idx="11">
                    <c:v>0.001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  <a:round/>
              </a:ln>
              <a:effectLst/>
            </c:spPr>
          </c:errBars>
          <c:cat>
            <c:numRef>
              <c:f>Sheet5!$B$24:$M$24</c:f>
              <c:numCache>
                <c:formatCode>General</c:formatCode>
                <c:ptCount val="12"/>
                <c:pt idx="0">
                  <c:v>0.25</c:v>
                </c:pt>
                <c:pt idx="1">
                  <c:v>0.5</c:v>
                </c:pt>
                <c:pt idx="2">
                  <c:v>0.75</c:v>
                </c:pt>
                <c:pt idx="3">
                  <c:v>1</c:v>
                </c:pt>
                <c:pt idx="4">
                  <c:v>1.25</c:v>
                </c:pt>
                <c:pt idx="5">
                  <c:v>1.5</c:v>
                </c:pt>
                <c:pt idx="6">
                  <c:v>1.75</c:v>
                </c:pt>
                <c:pt idx="7">
                  <c:v>2</c:v>
                </c:pt>
                <c:pt idx="8">
                  <c:v>2.25</c:v>
                </c:pt>
                <c:pt idx="9">
                  <c:v>2.5</c:v>
                </c:pt>
                <c:pt idx="10">
                  <c:v>2.75</c:v>
                </c:pt>
                <c:pt idx="11">
                  <c:v>3</c:v>
                </c:pt>
              </c:numCache>
            </c:numRef>
          </c:cat>
          <c:val>
            <c:numRef>
              <c:f>Sheet5!$B$29:$M$29</c:f>
              <c:numCache>
                <c:formatCode>0.00</c:formatCode>
                <c:ptCount val="12"/>
                <c:pt idx="0">
                  <c:v>-0.2</c:v>
                </c:pt>
                <c:pt idx="1">
                  <c:v>0.166666666666667</c:v>
                </c:pt>
                <c:pt idx="2">
                  <c:v>0.166666666666667</c:v>
                </c:pt>
                <c:pt idx="3">
                  <c:v>0</c:v>
                </c:pt>
                <c:pt idx="4">
                  <c:v>-1</c:v>
                </c:pt>
                <c:pt idx="5">
                  <c:v>-0.8</c:v>
                </c:pt>
                <c:pt idx="6">
                  <c:v>-1</c:v>
                </c:pt>
                <c:pt idx="7">
                  <c:v>-1</c:v>
                </c:pt>
                <c:pt idx="8">
                  <c:v>-0.8</c:v>
                </c:pt>
                <c:pt idx="9">
                  <c:v>-0.6</c:v>
                </c:pt>
                <c:pt idx="10">
                  <c:v>-1</c:v>
                </c:pt>
                <c:pt idx="11">
                  <c:v>-1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7246976"/>
        <c:axId val="287294208"/>
      </c:barChart>
      <c:catAx>
        <c:axId val="2872469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zh-CN" altLang="en-US" sz="1100" b="0">
                    <a:solidFill>
                      <a:sysClr val="windowText" lastClr="000000"/>
                    </a:solidFill>
                    <a:uFillTx/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Phenolic acid concentration（</a:t>
                </a:r>
                <a:r>
                  <a:rPr lang="en-US" altLang="zh-CN" sz="1100" b="0">
                    <a:solidFill>
                      <a:sysClr val="windowText" lastClr="000000"/>
                    </a:solidFill>
                    <a:uFillTx/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mmol/l</a:t>
                </a:r>
                <a:r>
                  <a:rPr lang="zh-CN" altLang="en-US" sz="1100" b="0">
                    <a:solidFill>
                      <a:sysClr val="windowText" lastClr="000000"/>
                    </a:solidFill>
                    <a:uFillTx/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）</a:t>
                </a:r>
                <a:endParaRPr lang="zh-CN" altLang="en-US" sz="1100" b="0">
                  <a:solidFill>
                    <a:sysClr val="windowText" lastClr="000000"/>
                  </a:solidFill>
                  <a:uFillTx/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308497045044872"/>
              <c:y val="0.89641149023038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high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ysClr val="windowText" lastClr="000000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87294208"/>
        <c:crossesAt val="0"/>
        <c:auto val="1"/>
        <c:lblAlgn val="ctr"/>
        <c:lblOffset val="100"/>
        <c:noMultiLvlLbl val="0"/>
      </c:catAx>
      <c:valAx>
        <c:axId val="287294208"/>
        <c:scaling>
          <c:orientation val="minMax"/>
          <c:max val="0.2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100" b="0" i="0" u="none" strike="noStrike" kern="1200" cap="none" spc="0" normalizeH="0" baseline="0">
                    <a:solidFill>
                      <a:sysClr val="windowText" lastClr="000000"/>
                    </a:solidFill>
                    <a:uFill>
                      <a:solidFill>
                        <a:schemeClr val="tx1"/>
                      </a:solidFill>
                    </a:u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zh-CN" altLang="en-US" sz="1100" b="0" u="none" strike="noStrike" cap="none" normalizeH="0">
                    <a:solidFill>
                      <a:sysClr val="windowText" lastClr="000000"/>
                    </a:solidFill>
                    <a:uFill>
                      <a:solidFill>
                        <a:schemeClr val="tx1"/>
                      </a:solidFill>
                    </a:u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Chemical Sensitivity </a:t>
                </a:r>
                <a:r>
                  <a:rPr lang="zh-CN" altLang="en-US" sz="1100" b="0">
                    <a:solidFill>
                      <a:sysClr val="windowText" lastClr="000000"/>
                    </a:solidFill>
                    <a:uFill>
                      <a:solidFill>
                        <a:schemeClr val="tx1"/>
                      </a:solidFill>
                    </a:u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Index </a:t>
                </a:r>
                <a:r>
                  <a:rPr lang="zh-CN" altLang="en-US" sz="1100" b="0" u="none" strike="noStrike" cap="none" normalizeH="0">
                    <a:solidFill>
                      <a:sysClr val="windowText" lastClr="000000"/>
                    </a:solidFill>
                    <a:uFill>
                      <a:solidFill>
                        <a:schemeClr val="tx1"/>
                      </a:solidFill>
                    </a:u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（</a:t>
                </a:r>
                <a:r>
                  <a:rPr lang="en-US" altLang="zh-CN" sz="1100" b="0" u="none" strike="noStrike" cap="none" normalizeH="0">
                    <a:solidFill>
                      <a:sysClr val="windowText" lastClr="000000"/>
                    </a:solidFill>
                    <a:uFill>
                      <a:solidFill>
                        <a:schemeClr val="tx1"/>
                      </a:solidFill>
                    </a:u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RI</a:t>
                </a:r>
                <a:r>
                  <a:rPr lang="zh-CN" altLang="en-US" sz="1100" b="0" u="none" strike="noStrike" cap="none" normalizeH="0">
                    <a:solidFill>
                      <a:sysClr val="windowText" lastClr="000000"/>
                    </a:solidFill>
                    <a:uFill>
                      <a:solidFill>
                        <a:schemeClr val="tx1"/>
                      </a:solidFill>
                    </a:u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）</a:t>
                </a:r>
                <a:endParaRPr lang="zh-CN" altLang="en-US" sz="1100" b="0" u="none" strike="noStrike" cap="none" normalizeH="0">
                  <a:solidFill>
                    <a:sysClr val="windowText" lastClr="000000"/>
                  </a:solidFill>
                  <a:uFill>
                    <a:solidFill>
                      <a:schemeClr val="tx1"/>
                    </a:solidFill>
                  </a:uFill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0246544181977253"/>
              <c:y val="0.20157041651130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ysClr val="windowText" lastClr="000000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87246976"/>
        <c:crosses val="autoZero"/>
        <c:crossBetween val="between"/>
        <c:majorUnit val="0.4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ysClr val="windowText" lastClr="000000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ysClr val="windowText" lastClr="000000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ysClr val="windowText" lastClr="000000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ysClr val="windowText" lastClr="000000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4"/>
        <c:txPr>
          <a:bodyPr rot="0" spcFirstLastPara="1" vertOverflow="ellipsis" vert="horz" wrap="square" anchor="ctr" anchorCtr="1"/>
          <a:lstStyle/>
          <a:p>
            <a:pPr>
              <a:defRPr lang="zh-CN" sz="900" b="0" i="0" u="none" strike="noStrike" kern="1200" cap="none" spc="0" normalizeH="0" baseline="0">
                <a:solidFill>
                  <a:sysClr val="windowText" lastClr="000000"/>
                </a:solidFill>
                <a:uFill>
                  <a:solidFill>
                    <a:schemeClr val="tx1"/>
                  </a:solidFill>
                </a:u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ayout>
        <c:manualLayout>
          <c:xMode val="edge"/>
          <c:yMode val="edge"/>
          <c:x val="0.113194444444444"/>
          <c:y val="0.00696378830083565"/>
          <c:w val="0.832222222222222"/>
          <c:h val="0.1682915506035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cap="none" spc="0" normalizeH="0" baseline="0">
              <a:solidFill>
                <a:sysClr val="windowText" lastClr="000000"/>
              </a:solidFill>
              <a:uFill>
                <a:solidFill>
                  <a:schemeClr val="tx1"/>
                </a:solidFill>
              </a:u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lang="zh-CN" sz="900">
          <a:solidFill>
            <a:sysClr val="windowText" lastClr="000000"/>
          </a:solidFill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7692038495188"/>
          <c:y val="0.0509259259259259"/>
          <c:w val="0.841752405949256"/>
          <c:h val="0.7357713619130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[原始数据1修改.xlsx]Sheet4!$B$15</c:f>
              <c:strCache>
                <c:ptCount val="1"/>
                <c:pt idx="0">
                  <c:v>Ferulic acid</c:v>
                </c:pt>
              </c:strCache>
            </c:strRef>
          </c:tx>
          <c:spPr>
            <a:pattFill prst="pct5">
              <a:fgClr>
                <a:schemeClr val="dk1">
                  <a:tint val="88500"/>
                </a:schemeClr>
              </a:fgClr>
              <a:bgClr>
                <a:schemeClr val="bg1"/>
              </a:bgClr>
            </a:pattFill>
            <a:ln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dLbls>
            <c:delete val="1"/>
          </c:dLbls>
          <c:errBars>
            <c:errBarType val="both"/>
            <c:errValType val="cust"/>
            <c:noEndCap val="0"/>
            <c:plus>
              <c:numRef>
                <c:f>[原始数据1修改.xlsx]Sheet4!$B$29:$B$40</c:f>
                <c:numCache>
                  <c:formatCode>General</c:formatCode>
                  <c:ptCount val="12"/>
                  <c:pt idx="0">
                    <c:v>0.154</c:v>
                  </c:pt>
                  <c:pt idx="1">
                    <c:v>0.002</c:v>
                  </c:pt>
                  <c:pt idx="2">
                    <c:v>0.132</c:v>
                  </c:pt>
                  <c:pt idx="3">
                    <c:v>0.012</c:v>
                  </c:pt>
                  <c:pt idx="4">
                    <c:v>0.012</c:v>
                  </c:pt>
                  <c:pt idx="5">
                    <c:v>0.013</c:v>
                  </c:pt>
                  <c:pt idx="6">
                    <c:v>0.045</c:v>
                  </c:pt>
                  <c:pt idx="7">
                    <c:v>0.075</c:v>
                  </c:pt>
                  <c:pt idx="8">
                    <c:v>0.066</c:v>
                  </c:pt>
                  <c:pt idx="9">
                    <c:v>0.154</c:v>
                  </c:pt>
                  <c:pt idx="10">
                    <c:v>0.122</c:v>
                  </c:pt>
                  <c:pt idx="11">
                    <c:v>0.011</c:v>
                  </c:pt>
                </c:numCache>
              </c:numRef>
            </c:plus>
            <c:minus>
              <c:numRef>
                <c:f>[原始数据1修改.xlsx]Sheet4!$B$29:$B$40</c:f>
                <c:numCache>
                  <c:formatCode>General</c:formatCode>
                  <c:ptCount val="12"/>
                  <c:pt idx="0">
                    <c:v>0.154</c:v>
                  </c:pt>
                  <c:pt idx="1">
                    <c:v>0.002</c:v>
                  </c:pt>
                  <c:pt idx="2">
                    <c:v>0.132</c:v>
                  </c:pt>
                  <c:pt idx="3">
                    <c:v>0.012</c:v>
                  </c:pt>
                  <c:pt idx="4">
                    <c:v>0.012</c:v>
                  </c:pt>
                  <c:pt idx="5">
                    <c:v>0.013</c:v>
                  </c:pt>
                  <c:pt idx="6">
                    <c:v>0.045</c:v>
                  </c:pt>
                  <c:pt idx="7">
                    <c:v>0.075</c:v>
                  </c:pt>
                  <c:pt idx="8">
                    <c:v>0.066</c:v>
                  </c:pt>
                  <c:pt idx="9">
                    <c:v>0.154</c:v>
                  </c:pt>
                  <c:pt idx="10">
                    <c:v>0.122</c:v>
                  </c:pt>
                  <c:pt idx="11">
                    <c:v>0.011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[原始数据1修改.xlsx]Sheet4!$A$16:$A$27</c:f>
              <c:numCache>
                <c:formatCode>General</c:formatCode>
                <c:ptCount val="12"/>
                <c:pt idx="0">
                  <c:v>0.25</c:v>
                </c:pt>
                <c:pt idx="1">
                  <c:v>0.5</c:v>
                </c:pt>
                <c:pt idx="2">
                  <c:v>0.75</c:v>
                </c:pt>
                <c:pt idx="3">
                  <c:v>1</c:v>
                </c:pt>
                <c:pt idx="4">
                  <c:v>1.25</c:v>
                </c:pt>
                <c:pt idx="5">
                  <c:v>1.5</c:v>
                </c:pt>
                <c:pt idx="6">
                  <c:v>1.75</c:v>
                </c:pt>
                <c:pt idx="7">
                  <c:v>2</c:v>
                </c:pt>
                <c:pt idx="8">
                  <c:v>2.25</c:v>
                </c:pt>
                <c:pt idx="9">
                  <c:v>2.5</c:v>
                </c:pt>
                <c:pt idx="10">
                  <c:v>2.75</c:v>
                </c:pt>
                <c:pt idx="11">
                  <c:v>3</c:v>
                </c:pt>
              </c:numCache>
            </c:numRef>
          </c:cat>
          <c:val>
            <c:numRef>
              <c:f>[原始数据1修改.xlsx]Sheet4!$B$16:$B$27</c:f>
              <c:numCache>
                <c:formatCode>General</c:formatCode>
                <c:ptCount val="12"/>
                <c:pt idx="0">
                  <c:v>15.43</c:v>
                </c:pt>
                <c:pt idx="1">
                  <c:v>10.33</c:v>
                </c:pt>
                <c:pt idx="2">
                  <c:v>22.8066666666667</c:v>
                </c:pt>
                <c:pt idx="3">
                  <c:v>25.1166666666667</c:v>
                </c:pt>
                <c:pt idx="4">
                  <c:v>17.504</c:v>
                </c:pt>
                <c:pt idx="5">
                  <c:v>15.935</c:v>
                </c:pt>
                <c:pt idx="6">
                  <c:v>12.34</c:v>
                </c:pt>
                <c:pt idx="7">
                  <c:v>14.24</c:v>
                </c:pt>
                <c:pt idx="8">
                  <c:v>14.114</c:v>
                </c:pt>
                <c:pt idx="9">
                  <c:v>13.036</c:v>
                </c:pt>
                <c:pt idx="10">
                  <c:v>13.3683333333333</c:v>
                </c:pt>
                <c:pt idx="11">
                  <c:v>12.4966666666667</c:v>
                </c:pt>
              </c:numCache>
            </c:numRef>
          </c:val>
        </c:ser>
        <c:ser>
          <c:idx val="1"/>
          <c:order val="1"/>
          <c:tx>
            <c:strRef>
              <c:f>[原始数据1修改.xlsx]Sheet4!$C$15</c:f>
              <c:strCache>
                <c:ptCount val="1"/>
                <c:pt idx="0">
                  <c:v>P-coumaric acid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errBars>
            <c:errBarType val="both"/>
            <c:errValType val="cust"/>
            <c:noEndCap val="0"/>
            <c:plus>
              <c:numRef>
                <c:f>[原始数据1修改.xlsx]Sheet4!$C$29:$C$40</c:f>
                <c:numCache>
                  <c:formatCode>General</c:formatCode>
                  <c:ptCount val="12"/>
                  <c:pt idx="0">
                    <c:v>0.001</c:v>
                  </c:pt>
                  <c:pt idx="1">
                    <c:v>0.121</c:v>
                  </c:pt>
                  <c:pt idx="2">
                    <c:v>0.012</c:v>
                  </c:pt>
                  <c:pt idx="3">
                    <c:v>0.321</c:v>
                  </c:pt>
                  <c:pt idx="4">
                    <c:v>0.425</c:v>
                  </c:pt>
                  <c:pt idx="5">
                    <c:v>0.215</c:v>
                  </c:pt>
                  <c:pt idx="6">
                    <c:v>0.213</c:v>
                  </c:pt>
                  <c:pt idx="7">
                    <c:v>0.004</c:v>
                  </c:pt>
                  <c:pt idx="8">
                    <c:v>0.012</c:v>
                  </c:pt>
                  <c:pt idx="9">
                    <c:v>0.013</c:v>
                  </c:pt>
                  <c:pt idx="10">
                    <c:v>0.014</c:v>
                  </c:pt>
                  <c:pt idx="11">
                    <c:v>0.214</c:v>
                  </c:pt>
                </c:numCache>
              </c:numRef>
            </c:plus>
            <c:minus>
              <c:numRef>
                <c:f>[原始数据1修改.xlsx]Sheet4!$C$29:$C$40</c:f>
                <c:numCache>
                  <c:formatCode>General</c:formatCode>
                  <c:ptCount val="12"/>
                  <c:pt idx="0">
                    <c:v>0.001</c:v>
                  </c:pt>
                  <c:pt idx="1">
                    <c:v>0.121</c:v>
                  </c:pt>
                  <c:pt idx="2">
                    <c:v>0.012</c:v>
                  </c:pt>
                  <c:pt idx="3">
                    <c:v>0.321</c:v>
                  </c:pt>
                  <c:pt idx="4">
                    <c:v>0.425</c:v>
                  </c:pt>
                  <c:pt idx="5">
                    <c:v>0.215</c:v>
                  </c:pt>
                  <c:pt idx="6">
                    <c:v>0.213</c:v>
                  </c:pt>
                  <c:pt idx="7">
                    <c:v>0.004</c:v>
                  </c:pt>
                  <c:pt idx="8">
                    <c:v>0.012</c:v>
                  </c:pt>
                  <c:pt idx="9">
                    <c:v>0.013</c:v>
                  </c:pt>
                  <c:pt idx="10">
                    <c:v>0.014</c:v>
                  </c:pt>
                  <c:pt idx="11">
                    <c:v>0.214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[原始数据1修改.xlsx]Sheet4!$A$16:$A$27</c:f>
              <c:numCache>
                <c:formatCode>General</c:formatCode>
                <c:ptCount val="12"/>
                <c:pt idx="0">
                  <c:v>0.25</c:v>
                </c:pt>
                <c:pt idx="1">
                  <c:v>0.5</c:v>
                </c:pt>
                <c:pt idx="2">
                  <c:v>0.75</c:v>
                </c:pt>
                <c:pt idx="3">
                  <c:v>1</c:v>
                </c:pt>
                <c:pt idx="4">
                  <c:v>1.25</c:v>
                </c:pt>
                <c:pt idx="5">
                  <c:v>1.5</c:v>
                </c:pt>
                <c:pt idx="6">
                  <c:v>1.75</c:v>
                </c:pt>
                <c:pt idx="7">
                  <c:v>2</c:v>
                </c:pt>
                <c:pt idx="8">
                  <c:v>2.25</c:v>
                </c:pt>
                <c:pt idx="9">
                  <c:v>2.5</c:v>
                </c:pt>
                <c:pt idx="10">
                  <c:v>2.75</c:v>
                </c:pt>
                <c:pt idx="11">
                  <c:v>3</c:v>
                </c:pt>
              </c:numCache>
            </c:numRef>
          </c:cat>
          <c:val>
            <c:numRef>
              <c:f>[原始数据1修改.xlsx]Sheet4!$C$16:$C$27</c:f>
              <c:numCache>
                <c:formatCode>General</c:formatCode>
                <c:ptCount val="12"/>
                <c:pt idx="0">
                  <c:v>16.4116666666667</c:v>
                </c:pt>
                <c:pt idx="1">
                  <c:v>16.4066666666667</c:v>
                </c:pt>
                <c:pt idx="2">
                  <c:v>25.73</c:v>
                </c:pt>
                <c:pt idx="3">
                  <c:v>14.4366666666667</c:v>
                </c:pt>
                <c:pt idx="4">
                  <c:v>12.4533333333333</c:v>
                </c:pt>
                <c:pt idx="5">
                  <c:v>12.1625</c:v>
                </c:pt>
                <c:pt idx="6">
                  <c:v>13.49</c:v>
                </c:pt>
                <c:pt idx="7">
                  <c:v>14</c:v>
                </c:pt>
                <c:pt idx="8">
                  <c:v>13.33</c:v>
                </c:pt>
                <c:pt idx="9">
                  <c:v>11.424</c:v>
                </c:pt>
                <c:pt idx="10">
                  <c:v>13.372</c:v>
                </c:pt>
                <c:pt idx="11">
                  <c:v>12.3833333333333</c:v>
                </c:pt>
              </c:numCache>
            </c:numRef>
          </c:val>
        </c:ser>
        <c:ser>
          <c:idx val="2"/>
          <c:order val="2"/>
          <c:tx>
            <c:strRef>
              <c:f>[原始数据1修改.xlsx]Sheet4!$D$15</c:f>
              <c:strCache>
                <c:ptCount val="1"/>
                <c:pt idx="0">
                  <c:v>P-Hydroxybenzoic acid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dLbls>
            <c:delete val="1"/>
          </c:dLbls>
          <c:errBars>
            <c:errBarType val="both"/>
            <c:errValType val="cust"/>
            <c:noEndCap val="0"/>
            <c:plus>
              <c:numRef>
                <c:f>[原始数据1修改.xlsx]Sheet4!$D$29:$D$40</c:f>
                <c:numCache>
                  <c:formatCode>General</c:formatCode>
                  <c:ptCount val="12"/>
                  <c:pt idx="0">
                    <c:v>0.001</c:v>
                  </c:pt>
                  <c:pt idx="1">
                    <c:v>0.21</c:v>
                  </c:pt>
                  <c:pt idx="2">
                    <c:v>0.123</c:v>
                  </c:pt>
                  <c:pt idx="3">
                    <c:v>0.214</c:v>
                  </c:pt>
                  <c:pt idx="4">
                    <c:v>0.212</c:v>
                  </c:pt>
                  <c:pt idx="5">
                    <c:v>0.123</c:v>
                  </c:pt>
                  <c:pt idx="6">
                    <c:v>0.231</c:v>
                  </c:pt>
                  <c:pt idx="7">
                    <c:v>0.145</c:v>
                  </c:pt>
                  <c:pt idx="8">
                    <c:v>0.214</c:v>
                  </c:pt>
                  <c:pt idx="9">
                    <c:v>0.112</c:v>
                  </c:pt>
                  <c:pt idx="10">
                    <c:v>0.111</c:v>
                  </c:pt>
                  <c:pt idx="11">
                    <c:v>0.458</c:v>
                  </c:pt>
                </c:numCache>
              </c:numRef>
            </c:plus>
            <c:minus>
              <c:numRef>
                <c:f>[原始数据1修改.xlsx]Sheet4!$D$29:$D$40</c:f>
                <c:numCache>
                  <c:formatCode>General</c:formatCode>
                  <c:ptCount val="12"/>
                  <c:pt idx="0">
                    <c:v>0.001</c:v>
                  </c:pt>
                  <c:pt idx="1">
                    <c:v>0.21</c:v>
                  </c:pt>
                  <c:pt idx="2">
                    <c:v>0.123</c:v>
                  </c:pt>
                  <c:pt idx="3">
                    <c:v>0.214</c:v>
                  </c:pt>
                  <c:pt idx="4">
                    <c:v>0.212</c:v>
                  </c:pt>
                  <c:pt idx="5">
                    <c:v>0.123</c:v>
                  </c:pt>
                  <c:pt idx="6">
                    <c:v>0.231</c:v>
                  </c:pt>
                  <c:pt idx="7">
                    <c:v>0.145</c:v>
                  </c:pt>
                  <c:pt idx="8">
                    <c:v>0.214</c:v>
                  </c:pt>
                  <c:pt idx="9">
                    <c:v>0.112</c:v>
                  </c:pt>
                  <c:pt idx="10">
                    <c:v>0.111</c:v>
                  </c:pt>
                  <c:pt idx="11">
                    <c:v>0.458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[原始数据1修改.xlsx]Sheet4!$A$16:$A$27</c:f>
              <c:numCache>
                <c:formatCode>General</c:formatCode>
                <c:ptCount val="12"/>
                <c:pt idx="0">
                  <c:v>0.25</c:v>
                </c:pt>
                <c:pt idx="1">
                  <c:v>0.5</c:v>
                </c:pt>
                <c:pt idx="2">
                  <c:v>0.75</c:v>
                </c:pt>
                <c:pt idx="3">
                  <c:v>1</c:v>
                </c:pt>
                <c:pt idx="4">
                  <c:v>1.25</c:v>
                </c:pt>
                <c:pt idx="5">
                  <c:v>1.5</c:v>
                </c:pt>
                <c:pt idx="6">
                  <c:v>1.75</c:v>
                </c:pt>
                <c:pt idx="7">
                  <c:v>2</c:v>
                </c:pt>
                <c:pt idx="8">
                  <c:v>2.25</c:v>
                </c:pt>
                <c:pt idx="9">
                  <c:v>2.5</c:v>
                </c:pt>
                <c:pt idx="10">
                  <c:v>2.75</c:v>
                </c:pt>
                <c:pt idx="11">
                  <c:v>3</c:v>
                </c:pt>
              </c:numCache>
            </c:numRef>
          </c:cat>
          <c:val>
            <c:numRef>
              <c:f>[原始数据1修改.xlsx]Sheet4!$D$16:$D$27</c:f>
              <c:numCache>
                <c:formatCode>General</c:formatCode>
                <c:ptCount val="12"/>
                <c:pt idx="0">
                  <c:v>13.456</c:v>
                </c:pt>
                <c:pt idx="1">
                  <c:v>14.7</c:v>
                </c:pt>
                <c:pt idx="2">
                  <c:v>25.21</c:v>
                </c:pt>
                <c:pt idx="3">
                  <c:v>18.1275</c:v>
                </c:pt>
                <c:pt idx="4">
                  <c:v>19.2975</c:v>
                </c:pt>
                <c:pt idx="5">
                  <c:v>6.92333333333333</c:v>
                </c:pt>
                <c:pt idx="6">
                  <c:v>7.315</c:v>
                </c:pt>
                <c:pt idx="7">
                  <c:v>6.315</c:v>
                </c:pt>
                <c:pt idx="8">
                  <c:v>6.005</c:v>
                </c:pt>
                <c:pt idx="9">
                  <c:v>3.6075</c:v>
                </c:pt>
                <c:pt idx="10">
                  <c:v>9.228</c:v>
                </c:pt>
                <c:pt idx="11">
                  <c:v>8.476</c:v>
                </c:pt>
              </c:numCache>
            </c:numRef>
          </c:val>
        </c:ser>
        <c:ser>
          <c:idx val="3"/>
          <c:order val="3"/>
          <c:tx>
            <c:strRef>
              <c:f>[原始数据1修改.xlsx]Sheet4!$E$15</c:f>
              <c:strCache>
                <c:ptCount val="1"/>
                <c:pt idx="0">
                  <c:v>Cinnamic acid</c:v>
                </c:pt>
              </c:strCache>
            </c:strRef>
          </c:tx>
          <c:spPr>
            <a:solidFill>
              <a:schemeClr val="dk1">
                <a:tint val="985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errBars>
            <c:errBarType val="both"/>
            <c:errValType val="cust"/>
            <c:noEndCap val="0"/>
            <c:plus>
              <c:numRef>
                <c:f>[原始数据1修改.xlsx]Sheet4!$E$29:$E$40</c:f>
                <c:numCache>
                  <c:formatCode>General</c:formatCode>
                  <c:ptCount val="12"/>
                  <c:pt idx="0">
                    <c:v>0.001</c:v>
                  </c:pt>
                  <c:pt idx="1">
                    <c:v>0.241</c:v>
                  </c:pt>
                  <c:pt idx="2">
                    <c:v>0.215</c:v>
                  </c:pt>
                  <c:pt idx="3">
                    <c:v>0.487</c:v>
                  </c:pt>
                  <c:pt idx="4">
                    <c:v>0.269</c:v>
                  </c:pt>
                  <c:pt idx="5">
                    <c:v>0.258</c:v>
                  </c:pt>
                  <c:pt idx="6">
                    <c:v>0.257</c:v>
                  </c:pt>
                  <c:pt idx="7">
                    <c:v>0.256</c:v>
                  </c:pt>
                  <c:pt idx="8">
                    <c:v>0.254</c:v>
                  </c:pt>
                  <c:pt idx="9">
                    <c:v>0.264</c:v>
                  </c:pt>
                  <c:pt idx="10">
                    <c:v>0.231</c:v>
                  </c:pt>
                  <c:pt idx="11">
                    <c:v>0.231</c:v>
                  </c:pt>
                </c:numCache>
              </c:numRef>
            </c:plus>
            <c:minus>
              <c:numRef>
                <c:f>[原始数据1修改.xlsx]Sheet4!$E$29:$E$40</c:f>
                <c:numCache>
                  <c:formatCode>General</c:formatCode>
                  <c:ptCount val="12"/>
                  <c:pt idx="0">
                    <c:v>0.001</c:v>
                  </c:pt>
                  <c:pt idx="1">
                    <c:v>0.241</c:v>
                  </c:pt>
                  <c:pt idx="2">
                    <c:v>0.215</c:v>
                  </c:pt>
                  <c:pt idx="3">
                    <c:v>0.487</c:v>
                  </c:pt>
                  <c:pt idx="4">
                    <c:v>0.269</c:v>
                  </c:pt>
                  <c:pt idx="5">
                    <c:v>0.258</c:v>
                  </c:pt>
                  <c:pt idx="6">
                    <c:v>0.257</c:v>
                  </c:pt>
                  <c:pt idx="7">
                    <c:v>0.256</c:v>
                  </c:pt>
                  <c:pt idx="8">
                    <c:v>0.254</c:v>
                  </c:pt>
                  <c:pt idx="9">
                    <c:v>0.264</c:v>
                  </c:pt>
                  <c:pt idx="10">
                    <c:v>0.231</c:v>
                  </c:pt>
                  <c:pt idx="11">
                    <c:v>0.231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[原始数据1修改.xlsx]Sheet4!$A$16:$A$27</c:f>
              <c:numCache>
                <c:formatCode>General</c:formatCode>
                <c:ptCount val="12"/>
                <c:pt idx="0">
                  <c:v>0.25</c:v>
                </c:pt>
                <c:pt idx="1">
                  <c:v>0.5</c:v>
                </c:pt>
                <c:pt idx="2">
                  <c:v>0.75</c:v>
                </c:pt>
                <c:pt idx="3">
                  <c:v>1</c:v>
                </c:pt>
                <c:pt idx="4">
                  <c:v>1.25</c:v>
                </c:pt>
                <c:pt idx="5">
                  <c:v>1.5</c:v>
                </c:pt>
                <c:pt idx="6">
                  <c:v>1.75</c:v>
                </c:pt>
                <c:pt idx="7">
                  <c:v>2</c:v>
                </c:pt>
                <c:pt idx="8">
                  <c:v>2.25</c:v>
                </c:pt>
                <c:pt idx="9">
                  <c:v>2.5</c:v>
                </c:pt>
                <c:pt idx="10">
                  <c:v>2.75</c:v>
                </c:pt>
                <c:pt idx="11">
                  <c:v>3</c:v>
                </c:pt>
              </c:numCache>
            </c:numRef>
          </c:cat>
          <c:val>
            <c:numRef>
              <c:f>[原始数据1修改.xlsx]Sheet4!$E$16:$E$27</c:f>
              <c:numCache>
                <c:formatCode>General</c:formatCode>
                <c:ptCount val="12"/>
                <c:pt idx="0">
                  <c:v>22.994</c:v>
                </c:pt>
                <c:pt idx="1">
                  <c:v>18.64</c:v>
                </c:pt>
                <c:pt idx="2">
                  <c:v>32.1183333333333</c:v>
                </c:pt>
                <c:pt idx="3">
                  <c:v>39.952</c:v>
                </c:pt>
                <c:pt idx="4">
                  <c:v>14.592</c:v>
                </c:pt>
                <c:pt idx="5">
                  <c:v>11.294</c:v>
                </c:pt>
                <c:pt idx="6">
                  <c:v>10.605</c:v>
                </c:pt>
                <c:pt idx="7">
                  <c:v>10.618</c:v>
                </c:pt>
                <c:pt idx="8">
                  <c:v>11.4</c:v>
                </c:pt>
                <c:pt idx="9">
                  <c:v>8.135</c:v>
                </c:pt>
                <c:pt idx="10">
                  <c:v>10.18</c:v>
                </c:pt>
                <c:pt idx="11">
                  <c:v>6.966</c:v>
                </c:pt>
              </c:numCache>
            </c:numRef>
          </c:val>
        </c:ser>
        <c:ser>
          <c:idx val="4"/>
          <c:order val="4"/>
          <c:tx>
            <c:strRef>
              <c:f>[原始数据1修改.xlsx]Sheet4!$F$15</c:f>
              <c:strCache>
                <c:ptCount val="1"/>
                <c:pt idx="0">
                  <c:v>Mixed acid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bg1">
                  <a:lumMod val="50000"/>
                </a:schemeClr>
              </a:solidFill>
            </a:ln>
            <a:effectLst/>
          </c:spPr>
          <c:invertIfNegative val="0"/>
          <c:dLbls>
            <c:delete val="1"/>
          </c:dLbls>
          <c:errBars>
            <c:errBarType val="both"/>
            <c:errValType val="cust"/>
            <c:noEndCap val="0"/>
            <c:plus>
              <c:numRef>
                <c:f>[原始数据1修改.xlsx]Sheet4!$F$29:$F$40</c:f>
                <c:numCache>
                  <c:formatCode>General</c:formatCode>
                  <c:ptCount val="12"/>
                  <c:pt idx="0">
                    <c:v>0.213</c:v>
                  </c:pt>
                  <c:pt idx="1">
                    <c:v>0.214</c:v>
                  </c:pt>
                  <c:pt idx="2">
                    <c:v>0.214</c:v>
                  </c:pt>
                  <c:pt idx="3">
                    <c:v>0.213</c:v>
                  </c:pt>
                  <c:pt idx="4">
                    <c:v>0.214</c:v>
                  </c:pt>
                  <c:pt idx="5">
                    <c:v>0.021</c:v>
                  </c:pt>
                  <c:pt idx="6">
                    <c:v>0.121</c:v>
                  </c:pt>
                  <c:pt idx="7">
                    <c:v>0.002</c:v>
                  </c:pt>
                  <c:pt idx="8">
                    <c:v>0.001</c:v>
                  </c:pt>
                  <c:pt idx="9">
                    <c:v>0.012</c:v>
                  </c:pt>
                  <c:pt idx="10">
                    <c:v>0.124</c:v>
                  </c:pt>
                  <c:pt idx="11">
                    <c:v>0.145</c:v>
                  </c:pt>
                </c:numCache>
              </c:numRef>
            </c:plus>
            <c:minus>
              <c:numRef>
                <c:f>[原始数据1修改.xlsx]Sheet4!$F$29:$F$40</c:f>
                <c:numCache>
                  <c:formatCode>General</c:formatCode>
                  <c:ptCount val="12"/>
                  <c:pt idx="0">
                    <c:v>0.213</c:v>
                  </c:pt>
                  <c:pt idx="1">
                    <c:v>0.214</c:v>
                  </c:pt>
                  <c:pt idx="2">
                    <c:v>0.214</c:v>
                  </c:pt>
                  <c:pt idx="3">
                    <c:v>0.213</c:v>
                  </c:pt>
                  <c:pt idx="4">
                    <c:v>0.214</c:v>
                  </c:pt>
                  <c:pt idx="5">
                    <c:v>0.021</c:v>
                  </c:pt>
                  <c:pt idx="6">
                    <c:v>0.121</c:v>
                  </c:pt>
                  <c:pt idx="7">
                    <c:v>0.002</c:v>
                  </c:pt>
                  <c:pt idx="8">
                    <c:v>0.001</c:v>
                  </c:pt>
                  <c:pt idx="9">
                    <c:v>0.012</c:v>
                  </c:pt>
                  <c:pt idx="10">
                    <c:v>0.124</c:v>
                  </c:pt>
                  <c:pt idx="11">
                    <c:v>0.145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[原始数据1修改.xlsx]Sheet4!$A$16:$A$27</c:f>
              <c:numCache>
                <c:formatCode>General</c:formatCode>
                <c:ptCount val="12"/>
                <c:pt idx="0">
                  <c:v>0.25</c:v>
                </c:pt>
                <c:pt idx="1">
                  <c:v>0.5</c:v>
                </c:pt>
                <c:pt idx="2">
                  <c:v>0.75</c:v>
                </c:pt>
                <c:pt idx="3">
                  <c:v>1</c:v>
                </c:pt>
                <c:pt idx="4">
                  <c:v>1.25</c:v>
                </c:pt>
                <c:pt idx="5">
                  <c:v>1.5</c:v>
                </c:pt>
                <c:pt idx="6">
                  <c:v>1.75</c:v>
                </c:pt>
                <c:pt idx="7">
                  <c:v>2</c:v>
                </c:pt>
                <c:pt idx="8">
                  <c:v>2.25</c:v>
                </c:pt>
                <c:pt idx="9">
                  <c:v>2.5</c:v>
                </c:pt>
                <c:pt idx="10">
                  <c:v>2.75</c:v>
                </c:pt>
                <c:pt idx="11">
                  <c:v>3</c:v>
                </c:pt>
              </c:numCache>
            </c:numRef>
          </c:cat>
          <c:val>
            <c:numRef>
              <c:f>[原始数据1修改.xlsx]Sheet4!$F$16:$F$27</c:f>
              <c:numCache>
                <c:formatCode>General</c:formatCode>
                <c:ptCount val="12"/>
                <c:pt idx="0">
                  <c:v>28.122</c:v>
                </c:pt>
                <c:pt idx="1">
                  <c:v>19.178</c:v>
                </c:pt>
                <c:pt idx="2">
                  <c:v>22.804</c:v>
                </c:pt>
                <c:pt idx="3">
                  <c:v>45.754</c:v>
                </c:pt>
                <c:pt idx="4">
                  <c:v>12.71</c:v>
                </c:pt>
                <c:pt idx="5">
                  <c:v>10.8375</c:v>
                </c:pt>
                <c:pt idx="6">
                  <c:v>7.115</c:v>
                </c:pt>
                <c:pt idx="7">
                  <c:v>7.486</c:v>
                </c:pt>
                <c:pt idx="8">
                  <c:v>9.532</c:v>
                </c:pt>
                <c:pt idx="9">
                  <c:v>11.39</c:v>
                </c:pt>
                <c:pt idx="10">
                  <c:v>7.01</c:v>
                </c:pt>
                <c:pt idx="11">
                  <c:v>3.43333333333333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507531904"/>
        <c:axId val="-1507529728"/>
      </c:barChart>
      <c:catAx>
        <c:axId val="-15075319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zh-CN" altLang="en-US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Phenolic acid concentration (mmol/l)</a:t>
                </a:r>
                <a:endParaRPr lang="zh-CN" altLang="en-US">
                  <a:solidFill>
                    <a:sysClr val="windowText" lastClr="000000"/>
                  </a:solidFill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-1507529728"/>
        <c:crosses val="autoZero"/>
        <c:auto val="1"/>
        <c:lblAlgn val="ctr"/>
        <c:lblOffset val="100"/>
        <c:noMultiLvlLbl val="0"/>
      </c:catAx>
      <c:valAx>
        <c:axId val="-150752972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zh-CN" altLang="en-US" sz="1100">
                    <a:solidFill>
                      <a:sysClr val="windowText" lastClr="000000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Germ height （mm）</a:t>
                </a:r>
                <a:endParaRPr lang="zh-CN" altLang="en-US" sz="1100">
                  <a:solidFill>
                    <a:sysClr val="windowText" lastClr="000000"/>
                  </a:solidFill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-1507531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4"/>
        <c:txPr>
          <a:bodyPr rot="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ayout>
        <c:manualLayout>
          <c:xMode val="edge"/>
          <c:yMode val="edge"/>
          <c:x val="0.56876597023899"/>
          <c:y val="0.139508928571429"/>
          <c:w val="0.39305576431685"/>
          <c:h val="0.24732142857142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>
          <a:solidFill>
            <a:sysClr val="windowText" lastClr="000000"/>
          </a:solidFill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2023-03-28T13:43:01Z</dcterms:created>
  <dc:creator>Yuhan Zhang</dc:creator>
  <cp:lastModifiedBy>zyh</cp:lastModifiedBy>
  <dcterms:modified xsi:type="dcterms:W3CDTF">2023-03-28T13:43:34Z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2F57EAF1188B4F4B9B35850E3DFB51F8</vt:lpwstr>
  </property>
</Properties>
</file>