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A8ED7" w14:textId="77777777" w:rsidR="00844014" w:rsidRPr="004D6B55" w:rsidRDefault="00844014" w:rsidP="00844014">
      <w:pPr>
        <w:jc w:val="both"/>
        <w:rPr>
          <w:rFonts w:cstheme="minorHAnsi"/>
          <w:i/>
          <w:iCs/>
          <w:color w:val="000000" w:themeColor="text1"/>
          <w:lang w:val="en-US"/>
        </w:rPr>
      </w:pPr>
      <w:r>
        <w:rPr>
          <w:rFonts w:cstheme="minorHAnsi"/>
          <w:i/>
          <w:iCs/>
          <w:color w:val="000000" w:themeColor="text1"/>
          <w:lang w:val="en-US"/>
        </w:rPr>
        <w:t>Strengths</w:t>
      </w:r>
      <w:r w:rsidRPr="004D6B55">
        <w:rPr>
          <w:rFonts w:cstheme="minorHAnsi"/>
          <w:i/>
          <w:iCs/>
          <w:color w:val="000000" w:themeColor="text1"/>
          <w:lang w:val="en-US"/>
        </w:rPr>
        <w:t xml:space="preserve"> and limitations</w:t>
      </w:r>
    </w:p>
    <w:p w14:paraId="3926BF9F" w14:textId="77777777" w:rsidR="00844014" w:rsidRDefault="00844014" w:rsidP="00844014">
      <w:pPr>
        <w:jc w:val="both"/>
        <w:rPr>
          <w:rFonts w:cstheme="minorHAnsi"/>
          <w:color w:val="000000" w:themeColor="text1"/>
          <w:lang w:val="en-US"/>
        </w:rPr>
      </w:pPr>
      <w:r w:rsidRPr="004D6B55">
        <w:rPr>
          <w:rFonts w:cstheme="minorHAnsi"/>
          <w:color w:val="000000" w:themeColor="text1"/>
          <w:lang w:val="en-US"/>
        </w:rPr>
        <w:t>The key strength of this study is novel insights into cancer-free LS carriers</w:t>
      </w:r>
      <w:r>
        <w:rPr>
          <w:rFonts w:cstheme="minorHAnsi"/>
          <w:color w:val="000000" w:themeColor="text1"/>
          <w:lang w:val="en-US"/>
        </w:rPr>
        <w:t>’</w:t>
      </w:r>
      <w:r w:rsidRPr="004D6B55">
        <w:rPr>
          <w:rFonts w:cstheme="minorHAnsi"/>
          <w:color w:val="000000" w:themeColor="text1"/>
          <w:lang w:val="en-US"/>
        </w:rPr>
        <w:t xml:space="preserve"> metabolom</w:t>
      </w:r>
      <w:r>
        <w:rPr>
          <w:rFonts w:cstheme="minorHAnsi"/>
          <w:color w:val="000000" w:themeColor="text1"/>
          <w:lang w:val="en-US"/>
        </w:rPr>
        <w:t>e</w:t>
      </w:r>
      <w:r w:rsidRPr="004D6B55">
        <w:rPr>
          <w:rFonts w:cstheme="minorHAnsi"/>
          <w:color w:val="000000" w:themeColor="text1"/>
          <w:lang w:val="en-US"/>
        </w:rPr>
        <w:t xml:space="preserve">. By comparing this cohort with both a non-carrier control group and sporadic CRC patients, we provide a comprehensive view of the metabolic signatures unique to healthy LS carriers. Furthermore, our study investigates the impact of different </w:t>
      </w:r>
      <w:proofErr w:type="spellStart"/>
      <w:r w:rsidRPr="004D6B55">
        <w:rPr>
          <w:rFonts w:cstheme="minorHAnsi"/>
          <w:i/>
          <w:iCs/>
          <w:color w:val="000000" w:themeColor="text1"/>
          <w:lang w:val="en-US"/>
        </w:rPr>
        <w:t>path_MMR</w:t>
      </w:r>
      <w:proofErr w:type="spellEnd"/>
      <w:r w:rsidRPr="004D6B55">
        <w:rPr>
          <w:rFonts w:cstheme="minorHAnsi"/>
          <w:color w:val="000000" w:themeColor="text1"/>
          <w:lang w:val="en-US"/>
        </w:rPr>
        <w:t xml:space="preserve"> variants within LS carriers, offering a nuanced understanding of how specific genetic backgrounds might influence the systemic metabolomic profile. </w:t>
      </w:r>
    </w:p>
    <w:p w14:paraId="1E9217CC" w14:textId="77777777" w:rsidR="00844014" w:rsidRPr="004D6B55" w:rsidRDefault="00844014" w:rsidP="00844014">
      <w:pPr>
        <w:jc w:val="both"/>
        <w:rPr>
          <w:rFonts w:cstheme="minorHAnsi"/>
          <w:color w:val="000000" w:themeColor="text1"/>
          <w:lang w:val="en-US"/>
        </w:rPr>
      </w:pPr>
    </w:p>
    <w:p w14:paraId="65A7A933" w14:textId="77777777" w:rsidR="00844014" w:rsidRDefault="00844014" w:rsidP="00844014">
      <w:pPr>
        <w:jc w:val="both"/>
        <w:rPr>
          <w:rFonts w:cstheme="minorHAnsi"/>
          <w:color w:val="000000" w:themeColor="text1"/>
          <w:lang w:val="en-US"/>
        </w:rPr>
      </w:pPr>
      <w:r w:rsidRPr="004D6B55">
        <w:rPr>
          <w:rFonts w:cstheme="minorHAnsi"/>
          <w:color w:val="000000" w:themeColor="text1"/>
          <w:lang w:val="en-US"/>
        </w:rPr>
        <w:t xml:space="preserve">While our study provides valuable insights, it is important to acknowledge certain limitations. The sample size of our study, although comprehensive, might still be relatively small for detecting subtle differences in certain metabolomic parameters. A larger and more diverse cohort, including a greater representation of </w:t>
      </w:r>
      <w:r w:rsidRPr="004D6B55">
        <w:rPr>
          <w:rFonts w:cstheme="minorHAnsi"/>
          <w:i/>
          <w:iCs/>
          <w:color w:val="000000" w:themeColor="text1"/>
          <w:lang w:val="en-US"/>
        </w:rPr>
        <w:t>MSH2,</w:t>
      </w:r>
      <w:r w:rsidRPr="004D6B55">
        <w:rPr>
          <w:rFonts w:cstheme="minorHAnsi"/>
          <w:color w:val="000000" w:themeColor="text1"/>
          <w:lang w:val="en-US"/>
        </w:rPr>
        <w:t xml:space="preserve"> </w:t>
      </w:r>
      <w:r w:rsidRPr="004D6B55">
        <w:rPr>
          <w:rFonts w:cstheme="minorHAnsi"/>
          <w:i/>
          <w:iCs/>
          <w:color w:val="000000" w:themeColor="text1"/>
          <w:lang w:val="en-US"/>
        </w:rPr>
        <w:t>MSH6,</w:t>
      </w:r>
      <w:r w:rsidRPr="004D6B55">
        <w:rPr>
          <w:rFonts w:cstheme="minorHAnsi"/>
          <w:color w:val="000000" w:themeColor="text1"/>
          <w:lang w:val="en-US"/>
        </w:rPr>
        <w:t xml:space="preserve"> and </w:t>
      </w:r>
      <w:r w:rsidRPr="004D6B55">
        <w:rPr>
          <w:rFonts w:cstheme="minorHAnsi"/>
          <w:i/>
          <w:iCs/>
          <w:color w:val="000000" w:themeColor="text1"/>
          <w:lang w:val="en-US"/>
        </w:rPr>
        <w:t>PSM2</w:t>
      </w:r>
      <w:r w:rsidRPr="004D6B55">
        <w:rPr>
          <w:rFonts w:cstheme="minorHAnsi"/>
          <w:color w:val="000000" w:themeColor="text1"/>
          <w:lang w:val="en-US"/>
        </w:rPr>
        <w:t xml:space="preserve"> carriers, could potentially uncover more intricate details regarding how different </w:t>
      </w:r>
      <w:proofErr w:type="spellStart"/>
      <w:r w:rsidRPr="004D6B55">
        <w:rPr>
          <w:rFonts w:cstheme="minorHAnsi"/>
          <w:i/>
          <w:iCs/>
          <w:color w:val="000000" w:themeColor="text1"/>
          <w:lang w:val="en-US"/>
        </w:rPr>
        <w:t>path_MMR</w:t>
      </w:r>
      <w:proofErr w:type="spellEnd"/>
      <w:r w:rsidRPr="004D6B55">
        <w:rPr>
          <w:rFonts w:cstheme="minorHAnsi"/>
          <w:color w:val="000000" w:themeColor="text1"/>
          <w:lang w:val="en-US"/>
        </w:rPr>
        <w:t xml:space="preserve"> variants associate with distinct metabolic signatures.</w:t>
      </w:r>
    </w:p>
    <w:p w14:paraId="6C12FD4A" w14:textId="77777777" w:rsidR="00844014" w:rsidRPr="004D6B55" w:rsidRDefault="00844014" w:rsidP="00844014">
      <w:pPr>
        <w:jc w:val="both"/>
        <w:rPr>
          <w:rFonts w:cstheme="minorHAnsi"/>
          <w:color w:val="000000" w:themeColor="text1"/>
          <w:lang w:val="en-US"/>
        </w:rPr>
      </w:pPr>
    </w:p>
    <w:p w14:paraId="65EFCD17" w14:textId="1759B767" w:rsidR="00D65FB5" w:rsidRPr="004D6B55" w:rsidRDefault="00844014" w:rsidP="00D65FB5">
      <w:pPr>
        <w:jc w:val="both"/>
        <w:rPr>
          <w:rFonts w:cstheme="minorHAnsi"/>
          <w:color w:val="000000" w:themeColor="text1"/>
          <w:lang w:val="en-US"/>
        </w:rPr>
      </w:pPr>
      <w:r w:rsidRPr="004D6B55">
        <w:rPr>
          <w:rFonts w:cstheme="minorHAnsi"/>
          <w:color w:val="000000" w:themeColor="text1"/>
          <w:lang w:val="en-US"/>
        </w:rPr>
        <w:t>Additionally, it is essential to note that our LS and CRC cohorts were collected under different setups</w:t>
      </w:r>
      <w:r>
        <w:rPr>
          <w:rFonts w:cstheme="minorHAnsi"/>
          <w:color w:val="000000" w:themeColor="text1"/>
          <w:lang w:val="en-US"/>
        </w:rPr>
        <w:t xml:space="preserve"> than control</w:t>
      </w:r>
      <w:r w:rsidRPr="004D6B55">
        <w:rPr>
          <w:rFonts w:cstheme="minorHAnsi"/>
          <w:color w:val="000000" w:themeColor="text1"/>
          <w:lang w:val="en-US"/>
        </w:rPr>
        <w:t xml:space="preserve">. LS and CRC serum samples were obtained prior to colonoscopy surveillance, whereas control samples originated from both biobank sources and University of </w:t>
      </w:r>
      <w:proofErr w:type="spellStart"/>
      <w:r w:rsidRPr="004D6B55">
        <w:rPr>
          <w:rFonts w:cstheme="minorHAnsi"/>
          <w:color w:val="000000" w:themeColor="text1"/>
          <w:lang w:val="en-US"/>
        </w:rPr>
        <w:t>Jyväskylä</w:t>
      </w:r>
      <w:proofErr w:type="spellEnd"/>
      <w:r w:rsidRPr="004D6B55">
        <w:rPr>
          <w:rFonts w:cstheme="minorHAnsi"/>
          <w:color w:val="000000" w:themeColor="text1"/>
          <w:lang w:val="en-US"/>
        </w:rPr>
        <w:t xml:space="preserve"> (JYU) studies. Although all samples were collected under an overnight fasted state, moderate variations in fasting instructions (detailed in the materials and methods section) could potentially impact metabolite levels</w:t>
      </w:r>
      <w:r>
        <w:rPr>
          <w:rFonts w:cstheme="minorHAnsi"/>
          <w:color w:val="000000" w:themeColor="text1"/>
          <w:lang w:val="en-US"/>
        </w:rPr>
        <w:t>.</w:t>
      </w:r>
      <w:r w:rsidR="00D65FB5">
        <w:rPr>
          <w:rFonts w:cstheme="minorHAnsi"/>
          <w:color w:val="000000" w:themeColor="text1"/>
          <w:lang w:val="en-US"/>
        </w:rPr>
        <w:t xml:space="preserve"> W</w:t>
      </w:r>
      <w:r>
        <w:rPr>
          <w:rFonts w:cstheme="minorHAnsi"/>
          <w:color w:val="000000" w:themeColor="text1"/>
          <w:lang w:val="en-US"/>
        </w:rPr>
        <w:t xml:space="preserve">e are not aware of studies showing the effects of bowel preparation in serum </w:t>
      </w:r>
      <w:proofErr w:type="gramStart"/>
      <w:r>
        <w:rPr>
          <w:rFonts w:cstheme="minorHAnsi"/>
          <w:color w:val="000000" w:themeColor="text1"/>
          <w:lang w:val="en-US"/>
        </w:rPr>
        <w:t>metabolomics,</w:t>
      </w:r>
      <w:proofErr w:type="gramEnd"/>
      <w:r>
        <w:rPr>
          <w:rFonts w:cstheme="minorHAnsi"/>
          <w:color w:val="000000" w:themeColor="text1"/>
          <w:lang w:val="en-US"/>
        </w:rPr>
        <w:t xml:space="preserve"> thus, it is not clear whether this methodological issue would affect results. </w:t>
      </w:r>
      <w:r w:rsidR="00D65FB5">
        <w:rPr>
          <w:rFonts w:cstheme="minorHAnsi"/>
          <w:color w:val="000000" w:themeColor="text1"/>
          <w:lang w:val="en-US"/>
        </w:rPr>
        <w:t xml:space="preserve">However, here we would like to raise </w:t>
      </w:r>
      <w:r w:rsidR="00D65FB5" w:rsidRPr="004D6B55">
        <w:rPr>
          <w:rFonts w:cstheme="minorHAnsi"/>
          <w:color w:val="000000" w:themeColor="text1"/>
          <w:lang w:val="en-US"/>
        </w:rPr>
        <w:t>the observed increase in ketone body levels in both LS carriers and CRC patients</w:t>
      </w:r>
      <w:r w:rsidR="00D65FB5">
        <w:rPr>
          <w:rFonts w:cstheme="minorHAnsi"/>
          <w:color w:val="000000" w:themeColor="text1"/>
          <w:lang w:val="en-US"/>
        </w:rPr>
        <w:t xml:space="preserve">, which </w:t>
      </w:r>
      <w:r w:rsidR="00D65FB5" w:rsidRPr="004D6B55">
        <w:rPr>
          <w:rFonts w:cstheme="minorHAnsi"/>
          <w:color w:val="000000" w:themeColor="text1"/>
          <w:lang w:val="en-US"/>
        </w:rPr>
        <w:t xml:space="preserve">could be attributed to the fasting instructions they followed before blood sampling. LS and CRC cohorts had wider fasting guidelines as they underwent colonoscopy surveillance on the same day as blood collection, </w:t>
      </w:r>
      <w:r w:rsidR="00D65FB5">
        <w:rPr>
          <w:rFonts w:cstheme="minorHAnsi"/>
          <w:color w:val="000000" w:themeColor="text1"/>
          <w:lang w:val="en-US"/>
        </w:rPr>
        <w:t xml:space="preserve">possibly </w:t>
      </w:r>
      <w:r w:rsidR="00D65FB5" w:rsidRPr="004D6B55">
        <w:rPr>
          <w:rFonts w:cstheme="minorHAnsi"/>
          <w:color w:val="000000" w:themeColor="text1"/>
          <w:lang w:val="en-US"/>
        </w:rPr>
        <w:t xml:space="preserve">leading to an upregulation of ketone bodies as a response to the energy deficit caused by fasting. However, beyond the fasting-related effects, it is also plausible that </w:t>
      </w:r>
      <w:proofErr w:type="spellStart"/>
      <w:r w:rsidR="00D65FB5" w:rsidRPr="004D6B55">
        <w:rPr>
          <w:rFonts w:cstheme="minorHAnsi"/>
          <w:i/>
          <w:iCs/>
          <w:color w:val="000000" w:themeColor="text1"/>
          <w:lang w:val="en-US"/>
        </w:rPr>
        <w:t>path_MMR</w:t>
      </w:r>
      <w:proofErr w:type="spellEnd"/>
      <w:r w:rsidR="00D65FB5" w:rsidRPr="004D6B55">
        <w:rPr>
          <w:rFonts w:cstheme="minorHAnsi"/>
          <w:color w:val="000000" w:themeColor="text1"/>
          <w:lang w:val="en-US"/>
        </w:rPr>
        <w:t xml:space="preserve"> genes influence overall cell ketone body metabolism, leading to alterations in the circulating ketone body levels. These genes might have broader implications for the metabolism of ketone bodies in the body. Additionally, it remains unclear whether there are specific systemic-level changes in ketone body consumption that could contribute to the observed increase in circulating ketone bodies in LS carriers and CRC patients. Further investigations are warranted to explore the potential interplay between </w:t>
      </w:r>
      <w:proofErr w:type="spellStart"/>
      <w:r w:rsidR="00D65FB5" w:rsidRPr="004D6B55">
        <w:rPr>
          <w:rFonts w:cstheme="minorHAnsi"/>
          <w:i/>
          <w:iCs/>
          <w:color w:val="000000" w:themeColor="text1"/>
          <w:lang w:val="en-US"/>
        </w:rPr>
        <w:t>path_MMR</w:t>
      </w:r>
      <w:proofErr w:type="spellEnd"/>
      <w:r w:rsidR="00D65FB5" w:rsidRPr="004D6B55">
        <w:rPr>
          <w:rFonts w:cstheme="minorHAnsi"/>
          <w:color w:val="000000" w:themeColor="text1"/>
          <w:lang w:val="en-US"/>
        </w:rPr>
        <w:t xml:space="preserve"> genes, systemic ketone body metabolism, and their implications in cancer development. In summary, while fasting-related factors might explain part of the increased ketone body levels in LS carriers and CRC patients, the role of </w:t>
      </w:r>
      <w:proofErr w:type="spellStart"/>
      <w:r w:rsidR="00D65FB5" w:rsidRPr="004D6B55">
        <w:rPr>
          <w:rFonts w:cstheme="minorHAnsi"/>
          <w:i/>
          <w:iCs/>
          <w:color w:val="000000" w:themeColor="text1"/>
          <w:lang w:val="en-US"/>
        </w:rPr>
        <w:t>path_MMR</w:t>
      </w:r>
      <w:proofErr w:type="spellEnd"/>
      <w:r w:rsidR="00D65FB5" w:rsidRPr="004D6B55">
        <w:rPr>
          <w:rFonts w:cstheme="minorHAnsi"/>
          <w:color w:val="000000" w:themeColor="text1"/>
          <w:lang w:val="en-US"/>
        </w:rPr>
        <w:t xml:space="preserve"> genes and systemic-level ketone body metabolism alterations deserves thorough investigation to </w:t>
      </w:r>
      <w:r w:rsidR="00D65FB5">
        <w:rPr>
          <w:rFonts w:cstheme="minorHAnsi"/>
          <w:color w:val="000000" w:themeColor="text1"/>
          <w:lang w:val="en-US"/>
        </w:rPr>
        <w:t>gain</w:t>
      </w:r>
      <w:r w:rsidR="00D65FB5" w:rsidRPr="004D6B55">
        <w:rPr>
          <w:rFonts w:cstheme="minorHAnsi"/>
          <w:color w:val="000000" w:themeColor="text1"/>
          <w:lang w:val="en-US"/>
        </w:rPr>
        <w:t xml:space="preserve"> a comprehensive understanding of their impact on cancer risk and metabolic processes.</w:t>
      </w:r>
    </w:p>
    <w:p w14:paraId="239D55C3" w14:textId="77777777" w:rsidR="00D65FB5" w:rsidRDefault="00D65FB5" w:rsidP="00844014">
      <w:pPr>
        <w:jc w:val="both"/>
        <w:rPr>
          <w:rFonts w:cstheme="minorHAnsi"/>
          <w:color w:val="000000" w:themeColor="text1"/>
          <w:lang w:val="en-US"/>
        </w:rPr>
      </w:pPr>
    </w:p>
    <w:p w14:paraId="2F8BF213" w14:textId="5C0955A4" w:rsidR="00844014" w:rsidRPr="004D6B55" w:rsidRDefault="00844014" w:rsidP="00844014">
      <w:pPr>
        <w:jc w:val="both"/>
        <w:rPr>
          <w:rFonts w:cstheme="minorHAnsi"/>
          <w:color w:val="000000" w:themeColor="text1"/>
          <w:lang w:val="en-US"/>
        </w:rPr>
      </w:pPr>
      <w:r w:rsidRPr="004D6B55">
        <w:rPr>
          <w:rFonts w:cstheme="minorHAnsi"/>
          <w:color w:val="000000" w:themeColor="text1"/>
          <w:lang w:val="en-US"/>
        </w:rPr>
        <w:t>Furthermore, the lack of detailed lifestyle information for the different cohorts introduces an element of uncertainty, as lifestyle factors can significantly influence overall metabolite signatures. However, it is noteworthy that all cohorts consist</w:t>
      </w:r>
      <w:r>
        <w:rPr>
          <w:rFonts w:cstheme="minorHAnsi"/>
          <w:color w:val="000000" w:themeColor="text1"/>
          <w:lang w:val="en-US"/>
        </w:rPr>
        <w:t>ed</w:t>
      </w:r>
      <w:r w:rsidRPr="004D6B55">
        <w:rPr>
          <w:rFonts w:cstheme="minorHAnsi"/>
          <w:color w:val="000000" w:themeColor="text1"/>
          <w:lang w:val="en-US"/>
        </w:rPr>
        <w:t xml:space="preserve"> of Finnish individuals, and we have striven to balance the cohorts by sex and BMI to mitigate potential confounding effects.</w:t>
      </w:r>
    </w:p>
    <w:p w14:paraId="26D295DA" w14:textId="77777777" w:rsidR="00844014" w:rsidRPr="004D6B55" w:rsidRDefault="00844014" w:rsidP="00844014">
      <w:pPr>
        <w:jc w:val="both"/>
        <w:rPr>
          <w:rFonts w:cstheme="minorHAnsi"/>
          <w:color w:val="000000" w:themeColor="text1"/>
          <w:lang w:val="en-US"/>
        </w:rPr>
      </w:pPr>
      <w:r w:rsidRPr="004D6B55">
        <w:rPr>
          <w:rFonts w:cstheme="minorHAnsi"/>
          <w:color w:val="000000" w:themeColor="text1"/>
          <w:lang w:val="en-US"/>
        </w:rPr>
        <w:lastRenderedPageBreak/>
        <w:t>It is important to acknowledge that the mean age of the CRC patient cohort is higher than that of the LS cohort. This discrepancy arises from the fact that sporadic CRC incidences are most prevalent in older age groups, making it challenging to establish an exact age-matched Finnish LS cohort within the same age range. To address this, we incorporated age as a covariate in the ANCOVA analysis and expanded the control cohort to encompass participants across the full age spectrum represented by both the LS and CRC cohorts.</w:t>
      </w:r>
    </w:p>
    <w:p w14:paraId="77CB8297" w14:textId="77777777" w:rsidR="00844014" w:rsidRPr="004D6B55" w:rsidRDefault="00844014" w:rsidP="00844014">
      <w:pPr>
        <w:jc w:val="both"/>
        <w:rPr>
          <w:rFonts w:cstheme="minorHAnsi"/>
          <w:color w:val="000000" w:themeColor="text1"/>
          <w:lang w:val="en-US"/>
        </w:rPr>
      </w:pPr>
      <w:r w:rsidRPr="004D6B55">
        <w:rPr>
          <w:rFonts w:cstheme="minorHAnsi"/>
          <w:color w:val="000000" w:themeColor="text1"/>
          <w:lang w:val="en-US"/>
        </w:rPr>
        <w:t>The cross-sectional design of our study limits our ability to infer causality or the temporal sequence of metabolic changes in relation to LS-related cancer development. Longitudinal studies tracking metabolic alterations over time would provide a more dynamic perspective on the interplay between systemic metabolism and cancer risk.</w:t>
      </w:r>
    </w:p>
    <w:p w14:paraId="467EB50B" w14:textId="77777777" w:rsidR="00844014" w:rsidRDefault="00844014"/>
    <w:sectPr w:rsidR="0084401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014"/>
    <w:rsid w:val="00844014"/>
    <w:rsid w:val="00D65FB5"/>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decimalSymbol w:val=","/>
  <w:listSeparator w:val=","/>
  <w14:docId w14:val="0BC1BE91"/>
  <w15:chartTrackingRefBased/>
  <w15:docId w15:val="{6871089E-8B99-F84F-84B6-CC5B89F9F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01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654</Words>
  <Characters>3732</Characters>
  <Application>Microsoft Office Word</Application>
  <DocSecurity>0</DocSecurity>
  <Lines>31</Lines>
  <Paragraphs>8</Paragraphs>
  <ScaleCrop>false</ScaleCrop>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Tiina Jokela</dc:creator>
  <cp:keywords/>
  <dc:description/>
  <cp:lastModifiedBy>Tiina Jokela</cp:lastModifiedBy>
  <cp:revision>2</cp:revision>
  <dcterms:created xsi:type="dcterms:W3CDTF">2023-09-15T07:56:00Z</dcterms:created>
  <dcterms:modified xsi:type="dcterms:W3CDTF">2023-09-15T08:03:00Z</dcterms:modified>
</cp:coreProperties>
</file>