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86F84" w14:textId="0BE8471B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E23FC9">
        <w:rPr>
          <w:rFonts w:ascii="Arial" w:hAnsi="Arial" w:cs="Arial"/>
          <w:b/>
          <w:bCs/>
          <w:sz w:val="32"/>
          <w:szCs w:val="32"/>
        </w:rPr>
        <w:t xml:space="preserve">Supplemental </w:t>
      </w:r>
      <w:r w:rsidR="00AB1496" w:rsidRPr="00E23FC9">
        <w:rPr>
          <w:rFonts w:ascii="Arial" w:hAnsi="Arial" w:cs="Arial"/>
          <w:b/>
          <w:bCs/>
          <w:sz w:val="32"/>
          <w:szCs w:val="32"/>
        </w:rPr>
        <w:t>Information</w:t>
      </w:r>
    </w:p>
    <w:p w14:paraId="1B8808A0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b/>
        </w:rPr>
      </w:pPr>
      <w:r w:rsidRPr="00E23FC9">
        <w:rPr>
          <w:rFonts w:ascii="Arial" w:hAnsi="Arial" w:cs="Arial"/>
          <w:b/>
        </w:rPr>
        <w:t xml:space="preserve">Single cell atlas of kidney cancer endothelial cells reveals distinct expression profiles and </w:t>
      </w:r>
      <w:proofErr w:type="gramStart"/>
      <w:r w:rsidRPr="00E23FC9">
        <w:rPr>
          <w:rFonts w:ascii="Arial" w:hAnsi="Arial" w:cs="Arial"/>
          <w:b/>
        </w:rPr>
        <w:t>phenotypes</w:t>
      </w:r>
      <w:proofErr w:type="gramEnd"/>
    </w:p>
    <w:p w14:paraId="78596D4F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  <w:vertAlign w:val="superscript"/>
        </w:rPr>
      </w:pPr>
      <w:proofErr w:type="spellStart"/>
      <w:r w:rsidRPr="00E23FC9">
        <w:rPr>
          <w:rFonts w:ascii="Arial" w:hAnsi="Arial" w:cs="Arial"/>
          <w:shd w:val="clear" w:color="auto" w:fill="FFFFFF"/>
        </w:rPr>
        <w:t>Yuexin</w:t>
      </w:r>
      <w:proofErr w:type="spellEnd"/>
      <w:r w:rsidRPr="00E23FC9">
        <w:rPr>
          <w:rFonts w:ascii="Arial" w:hAnsi="Arial" w:cs="Arial"/>
          <w:shd w:val="clear" w:color="auto" w:fill="FFFFFF"/>
        </w:rPr>
        <w:t xml:space="preserve"> Xu</w:t>
      </w:r>
      <w:r w:rsidRPr="00E23FC9">
        <w:rPr>
          <w:rFonts w:ascii="Arial" w:hAnsi="Arial" w:cs="Arial"/>
          <w:shd w:val="clear" w:color="auto" w:fill="FFFFFF"/>
          <w:vertAlign w:val="superscript"/>
        </w:rPr>
        <w:t>1</w:t>
      </w:r>
    </w:p>
    <w:p w14:paraId="19C3650A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  <w:vertAlign w:val="superscript"/>
        </w:rPr>
      </w:pPr>
      <w:r w:rsidRPr="00E23FC9">
        <w:rPr>
          <w:rFonts w:ascii="Arial" w:hAnsi="Arial" w:cs="Arial"/>
          <w:shd w:val="clear" w:color="auto" w:fill="FFFFFF"/>
        </w:rPr>
        <w:t>Chris P. Miller</w:t>
      </w:r>
      <w:r w:rsidRPr="00E23FC9">
        <w:rPr>
          <w:rFonts w:ascii="Arial" w:hAnsi="Arial" w:cs="Arial"/>
          <w:shd w:val="clear" w:color="auto" w:fill="FFFFFF"/>
          <w:vertAlign w:val="superscript"/>
        </w:rPr>
        <w:t>1</w:t>
      </w:r>
    </w:p>
    <w:p w14:paraId="7807F57D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  <w:vertAlign w:val="superscript"/>
        </w:rPr>
      </w:pPr>
      <w:r w:rsidRPr="00E23FC9">
        <w:rPr>
          <w:rFonts w:ascii="Arial" w:hAnsi="Arial" w:cs="Arial"/>
          <w:shd w:val="clear" w:color="auto" w:fill="FFFFFF"/>
        </w:rPr>
        <w:t>Jun Xue</w:t>
      </w:r>
      <w:r w:rsidRPr="00E23FC9">
        <w:rPr>
          <w:rFonts w:ascii="Arial" w:hAnsi="Arial" w:cs="Arial"/>
          <w:shd w:val="clear" w:color="auto" w:fill="FFFFFF"/>
          <w:vertAlign w:val="superscript"/>
        </w:rPr>
        <w:t>2,3</w:t>
      </w:r>
    </w:p>
    <w:p w14:paraId="6461B9D7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  <w:vertAlign w:val="superscript"/>
        </w:rPr>
      </w:pPr>
      <w:r w:rsidRPr="00E23FC9">
        <w:rPr>
          <w:rFonts w:ascii="Arial" w:hAnsi="Arial" w:cs="Arial"/>
          <w:shd w:val="clear" w:color="auto" w:fill="FFFFFF"/>
        </w:rPr>
        <w:t>Ying Zheng</w:t>
      </w:r>
      <w:r w:rsidRPr="00E23FC9">
        <w:rPr>
          <w:rFonts w:ascii="Arial" w:hAnsi="Arial" w:cs="Arial"/>
          <w:shd w:val="clear" w:color="auto" w:fill="FFFFFF"/>
          <w:vertAlign w:val="superscript"/>
        </w:rPr>
        <w:t>2,3</w:t>
      </w:r>
    </w:p>
    <w:p w14:paraId="142349A5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</w:rPr>
      </w:pPr>
      <w:proofErr w:type="spellStart"/>
      <w:r w:rsidRPr="00E23FC9">
        <w:rPr>
          <w:rFonts w:ascii="Arial" w:hAnsi="Arial" w:cs="Arial"/>
          <w:shd w:val="clear" w:color="auto" w:fill="FFFFFF"/>
        </w:rPr>
        <w:t>Edus</w:t>
      </w:r>
      <w:proofErr w:type="spellEnd"/>
      <w:r w:rsidRPr="00E23FC9">
        <w:rPr>
          <w:rFonts w:ascii="Arial" w:hAnsi="Arial" w:cs="Arial"/>
          <w:shd w:val="clear" w:color="auto" w:fill="FFFFFF"/>
        </w:rPr>
        <w:t xml:space="preserve"> H. Warren</w:t>
      </w:r>
      <w:r w:rsidRPr="00E23FC9">
        <w:rPr>
          <w:rFonts w:ascii="Arial" w:hAnsi="Arial" w:cs="Arial"/>
          <w:shd w:val="clear" w:color="auto" w:fill="FFFFFF"/>
          <w:vertAlign w:val="superscript"/>
        </w:rPr>
        <w:t>1,4,5</w:t>
      </w:r>
    </w:p>
    <w:p w14:paraId="28CCFEEF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shd w:val="clear" w:color="auto" w:fill="FFFFFF"/>
          <w:vertAlign w:val="superscript"/>
        </w:rPr>
      </w:pPr>
      <w:r w:rsidRPr="00E23FC9">
        <w:rPr>
          <w:rFonts w:ascii="Arial" w:hAnsi="Arial" w:cs="Arial"/>
          <w:shd w:val="clear" w:color="auto" w:fill="FFFFFF"/>
        </w:rPr>
        <w:t>Scott S. Tykodi</w:t>
      </w:r>
      <w:r w:rsidRPr="00E23FC9">
        <w:rPr>
          <w:rFonts w:ascii="Arial" w:hAnsi="Arial" w:cs="Arial"/>
          <w:shd w:val="clear" w:color="auto" w:fill="FFFFFF"/>
          <w:vertAlign w:val="superscript"/>
        </w:rPr>
        <w:t>5,6*</w:t>
      </w:r>
    </w:p>
    <w:p w14:paraId="5B5CCEF2" w14:textId="77777777" w:rsidR="008E119E" w:rsidRPr="00E23FC9" w:rsidRDefault="008E119E" w:rsidP="00E23FC9">
      <w:pPr>
        <w:suppressLineNumbers/>
        <w:spacing w:line="360" w:lineRule="auto"/>
        <w:jc w:val="both"/>
        <w:rPr>
          <w:rFonts w:ascii="Arial" w:hAnsi="Arial" w:cs="Arial"/>
          <w:color w:val="333333"/>
          <w:shd w:val="clear" w:color="auto" w:fill="FFFFFF"/>
        </w:rPr>
      </w:pPr>
      <w:proofErr w:type="spellStart"/>
      <w:r w:rsidRPr="00E23FC9">
        <w:rPr>
          <w:rFonts w:ascii="Arial" w:hAnsi="Arial" w:cs="Arial"/>
          <w:shd w:val="clear" w:color="auto" w:fill="FFFFFF"/>
        </w:rPr>
        <w:t>Shreeram</w:t>
      </w:r>
      <w:proofErr w:type="spellEnd"/>
      <w:r w:rsidRPr="00E23FC9">
        <w:rPr>
          <w:rFonts w:ascii="Arial" w:hAnsi="Arial" w:cs="Arial"/>
          <w:shd w:val="clear" w:color="auto" w:fill="FFFFFF"/>
        </w:rPr>
        <w:t xml:space="preserve"> Akilesh</w:t>
      </w:r>
      <w:r w:rsidRPr="00E23FC9">
        <w:rPr>
          <w:rFonts w:ascii="Arial" w:hAnsi="Arial" w:cs="Arial"/>
          <w:shd w:val="clear" w:color="auto" w:fill="FFFFFF"/>
          <w:vertAlign w:val="superscript"/>
        </w:rPr>
        <w:t>4,7</w:t>
      </w:r>
      <w:r w:rsidRPr="00E23FC9">
        <w:rPr>
          <w:rFonts w:ascii="Arial" w:hAnsi="Arial" w:cs="Arial"/>
          <w:vertAlign w:val="superscript"/>
        </w:rPr>
        <w:t>*</w:t>
      </w:r>
    </w:p>
    <w:p w14:paraId="6F602CDE" w14:textId="77777777" w:rsidR="008E119E" w:rsidRPr="00E23FC9" w:rsidRDefault="008E119E" w:rsidP="00E23FC9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C0B6F7A" w14:textId="33D463E7" w:rsidR="00952396" w:rsidRPr="00E23FC9" w:rsidRDefault="008E119E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color w:val="000000" w:themeColor="text1"/>
        </w:rPr>
        <w:t>Supplementary Methods</w:t>
      </w:r>
    </w:p>
    <w:p w14:paraId="05A7C4C9" w14:textId="5DE47D13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 xml:space="preserve">Suppl. Fig. 1. Quality control plots of </w:t>
      </w:r>
      <w:proofErr w:type="spellStart"/>
      <w:r w:rsidRPr="00E23FC9">
        <w:rPr>
          <w:rFonts w:ascii="Arial" w:hAnsi="Arial" w:cs="Arial"/>
          <w:b/>
          <w:bCs/>
        </w:rPr>
        <w:t>scRNA</w:t>
      </w:r>
      <w:proofErr w:type="spellEnd"/>
      <w:r w:rsidRPr="00E23FC9">
        <w:rPr>
          <w:rFonts w:ascii="Arial" w:hAnsi="Arial" w:cs="Arial"/>
          <w:b/>
          <w:bCs/>
        </w:rPr>
        <w:t>-seq data.</w:t>
      </w:r>
    </w:p>
    <w:p w14:paraId="245234A7" w14:textId="00BABBBF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Suppl. Fig. 2. Selected pathway gene expression in TECs and NECs.</w:t>
      </w:r>
    </w:p>
    <w:p w14:paraId="5955D8CE" w14:textId="4D6B437B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 xml:space="preserve">Suppl. Fig 3. </w:t>
      </w:r>
      <w:r w:rsidRPr="00E23FC9">
        <w:rPr>
          <w:rFonts w:ascii="Arial" w:hAnsi="Arial" w:cs="Arial"/>
          <w:b/>
          <w:bCs/>
          <w:i/>
          <w:iCs/>
        </w:rPr>
        <w:t>IGFBP3</w:t>
      </w:r>
      <w:r w:rsidRPr="00E23FC9">
        <w:rPr>
          <w:rFonts w:ascii="Arial" w:hAnsi="Arial" w:cs="Arial"/>
          <w:b/>
          <w:bCs/>
        </w:rPr>
        <w:t xml:space="preserve"> and </w:t>
      </w:r>
      <w:r w:rsidRPr="00E23FC9">
        <w:rPr>
          <w:rFonts w:ascii="Arial" w:hAnsi="Arial" w:cs="Arial"/>
          <w:b/>
          <w:bCs/>
          <w:i/>
          <w:iCs/>
        </w:rPr>
        <w:t>IGFBP5</w:t>
      </w:r>
      <w:r w:rsidRPr="00E23FC9">
        <w:rPr>
          <w:rFonts w:ascii="Arial" w:hAnsi="Arial" w:cs="Arial"/>
          <w:b/>
          <w:bCs/>
        </w:rPr>
        <w:t xml:space="preserve"> survival curves from TCGA data.</w:t>
      </w:r>
    </w:p>
    <w:p w14:paraId="1159A87D" w14:textId="0DB5F9E0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color w:val="000000"/>
          <w:shd w:val="clear" w:color="auto" w:fill="FFFFFF"/>
        </w:rPr>
        <w:t xml:space="preserve">Suppl. Fig 4. </w:t>
      </w:r>
      <w:r w:rsidRPr="00E23FC9">
        <w:rPr>
          <w:rFonts w:ascii="Arial" w:hAnsi="Arial" w:cs="Arial"/>
          <w:b/>
          <w:bCs/>
        </w:rPr>
        <w:t>The expression of tyrosine kinase inhibitor targets in TECs and NECs.</w:t>
      </w:r>
    </w:p>
    <w:p w14:paraId="3D2E84C2" w14:textId="637F88AB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Suppl. Fig 5. The composition of adherent CD45</w:t>
      </w:r>
      <w:r w:rsidRPr="00E23FC9">
        <w:rPr>
          <w:rFonts w:ascii="Arial" w:hAnsi="Arial" w:cs="Arial"/>
          <w:b/>
          <w:bCs/>
          <w:vertAlign w:val="superscript"/>
        </w:rPr>
        <w:t>+</w:t>
      </w:r>
      <w:r w:rsidRPr="00E23FC9">
        <w:rPr>
          <w:rFonts w:ascii="Arial" w:hAnsi="Arial" w:cs="Arial"/>
          <w:b/>
          <w:bCs/>
        </w:rPr>
        <w:t xml:space="preserve"> leukocytes on ECs.</w:t>
      </w:r>
    </w:p>
    <w:p w14:paraId="76FCAC2B" w14:textId="46759742" w:rsidR="008E119E" w:rsidRPr="00E23FC9" w:rsidRDefault="008E119E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Table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  <w:b/>
          <w:bCs/>
        </w:rPr>
        <w:t>S1. Patient demographics and sample description</w:t>
      </w:r>
    </w:p>
    <w:p w14:paraId="268F8763" w14:textId="1D0C49F5" w:rsidR="00C00AB1" w:rsidRPr="00E23FC9" w:rsidRDefault="00C00AB1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Table S</w:t>
      </w:r>
      <w:r w:rsidR="008E119E" w:rsidRPr="00E23FC9">
        <w:rPr>
          <w:rFonts w:ascii="Arial" w:hAnsi="Arial" w:cs="Arial"/>
          <w:b/>
          <w:bCs/>
        </w:rPr>
        <w:t>2</w:t>
      </w:r>
      <w:r w:rsidRPr="00E23FC9">
        <w:rPr>
          <w:rFonts w:ascii="Arial" w:hAnsi="Arial" w:cs="Arial"/>
          <w:b/>
          <w:bCs/>
        </w:rPr>
        <w:t>. Endothelial cell Garnett markers</w:t>
      </w:r>
    </w:p>
    <w:p w14:paraId="10D9722D" w14:textId="28D7B92D" w:rsidR="00C00AB1" w:rsidRPr="00E23FC9" w:rsidRDefault="00C00AB1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Table S</w:t>
      </w:r>
      <w:r w:rsidR="008E119E" w:rsidRPr="00E23FC9">
        <w:rPr>
          <w:rFonts w:ascii="Arial" w:hAnsi="Arial" w:cs="Arial"/>
          <w:b/>
          <w:bCs/>
        </w:rPr>
        <w:t>3</w:t>
      </w:r>
      <w:r w:rsidRPr="00E23FC9">
        <w:rPr>
          <w:rFonts w:ascii="Arial" w:hAnsi="Arial" w:cs="Arial"/>
          <w:b/>
          <w:bCs/>
        </w:rPr>
        <w:t xml:space="preserve">. </w:t>
      </w:r>
      <w:r w:rsidR="00027885" w:rsidRPr="00E23FC9">
        <w:rPr>
          <w:rFonts w:ascii="Arial" w:hAnsi="Arial" w:cs="Arial"/>
          <w:b/>
          <w:bCs/>
        </w:rPr>
        <w:t>Endothelial cell DEGs</w:t>
      </w:r>
    </w:p>
    <w:p w14:paraId="0152C22D" w14:textId="34B4C7C0" w:rsidR="00C00AB1" w:rsidRPr="00E23FC9" w:rsidRDefault="00C00AB1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Table S</w:t>
      </w:r>
      <w:r w:rsidR="008E119E" w:rsidRPr="00E23FC9">
        <w:rPr>
          <w:rFonts w:ascii="Arial" w:hAnsi="Arial" w:cs="Arial"/>
          <w:b/>
          <w:bCs/>
        </w:rPr>
        <w:t>4</w:t>
      </w:r>
      <w:r w:rsidRPr="00E23FC9">
        <w:rPr>
          <w:rFonts w:ascii="Arial" w:hAnsi="Arial" w:cs="Arial"/>
          <w:b/>
          <w:bCs/>
        </w:rPr>
        <w:t>.</w:t>
      </w:r>
      <w:r w:rsidR="00027885" w:rsidRPr="00E23FC9">
        <w:rPr>
          <w:rFonts w:ascii="Arial" w:hAnsi="Arial" w:cs="Arial"/>
          <w:b/>
          <w:bCs/>
        </w:rPr>
        <w:t xml:space="preserve"> Endothelial cell count in published RCC single-cell </w:t>
      </w:r>
      <w:proofErr w:type="spellStart"/>
      <w:r w:rsidR="00027885" w:rsidRPr="00E23FC9">
        <w:rPr>
          <w:rFonts w:ascii="Arial" w:hAnsi="Arial" w:cs="Arial"/>
          <w:b/>
          <w:bCs/>
        </w:rPr>
        <w:t>RNAseq</w:t>
      </w:r>
      <w:proofErr w:type="spellEnd"/>
      <w:r w:rsidR="00027885" w:rsidRPr="00E23FC9">
        <w:rPr>
          <w:rFonts w:ascii="Arial" w:hAnsi="Arial" w:cs="Arial"/>
          <w:b/>
          <w:bCs/>
        </w:rPr>
        <w:t xml:space="preserve"> datasets</w:t>
      </w:r>
    </w:p>
    <w:p w14:paraId="798FFAF5" w14:textId="76BD8B49" w:rsidR="00C00AB1" w:rsidRPr="00E23FC9" w:rsidRDefault="00C00AB1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Table S</w:t>
      </w:r>
      <w:r w:rsidR="008E119E" w:rsidRPr="00E23FC9">
        <w:rPr>
          <w:rFonts w:ascii="Arial" w:hAnsi="Arial" w:cs="Arial"/>
          <w:b/>
          <w:bCs/>
        </w:rPr>
        <w:t>5</w:t>
      </w:r>
      <w:r w:rsidRPr="00E23FC9">
        <w:rPr>
          <w:rFonts w:ascii="Arial" w:hAnsi="Arial" w:cs="Arial"/>
          <w:b/>
          <w:bCs/>
        </w:rPr>
        <w:t xml:space="preserve">. </w:t>
      </w:r>
      <w:r w:rsidR="00027885" w:rsidRPr="00E23FC9">
        <w:rPr>
          <w:rFonts w:ascii="Arial" w:hAnsi="Arial" w:cs="Arial"/>
          <w:b/>
          <w:bCs/>
        </w:rPr>
        <w:t>qPCR primers</w:t>
      </w:r>
    </w:p>
    <w:p w14:paraId="4CBB2D76" w14:textId="77777777" w:rsidR="00C83068" w:rsidRPr="00E23FC9" w:rsidRDefault="00027885" w:rsidP="00E23FC9">
      <w:pPr>
        <w:spacing w:line="360" w:lineRule="auto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br w:type="page"/>
      </w:r>
      <w:r w:rsidR="00E61392" w:rsidRPr="00E23FC9">
        <w:rPr>
          <w:rFonts w:ascii="Arial" w:hAnsi="Arial" w:cs="Arial"/>
          <w:b/>
          <w:bCs/>
          <w:color w:val="000000" w:themeColor="text1"/>
        </w:rPr>
        <w:lastRenderedPageBreak/>
        <w:t>Supplementary Methods</w:t>
      </w:r>
      <w:r w:rsidR="00E61392" w:rsidRPr="00E23FC9">
        <w:rPr>
          <w:rFonts w:ascii="Arial" w:hAnsi="Arial" w:cs="Arial"/>
          <w:b/>
          <w:bCs/>
        </w:rPr>
        <w:t xml:space="preserve"> </w:t>
      </w:r>
    </w:p>
    <w:p w14:paraId="489A59FD" w14:textId="76FC4704" w:rsidR="00C83068" w:rsidRPr="00E23FC9" w:rsidRDefault="00C83068" w:rsidP="00E23FC9">
      <w:pPr>
        <w:spacing w:line="360" w:lineRule="auto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Tissue s</w:t>
      </w:r>
      <w:r w:rsidRPr="00E23FC9">
        <w:rPr>
          <w:rFonts w:ascii="Arial" w:hAnsi="Arial" w:cs="Arial"/>
          <w:b/>
          <w:bCs/>
        </w:rPr>
        <w:t>ample processing</w:t>
      </w:r>
    </w:p>
    <w:p w14:paraId="44E7078F" w14:textId="04D877AD" w:rsidR="00E61392" w:rsidRPr="00E23FC9" w:rsidRDefault="00C83068" w:rsidP="00E23FC9">
      <w:pPr>
        <w:spacing w:line="360" w:lineRule="auto"/>
        <w:jc w:val="both"/>
        <w:outlineLvl w:val="0"/>
        <w:rPr>
          <w:rFonts w:ascii="Arial" w:hAnsi="Arial" w:cs="Arial"/>
        </w:rPr>
      </w:pPr>
      <w:r w:rsidRPr="00E23FC9">
        <w:rPr>
          <w:rFonts w:ascii="Arial" w:hAnsi="Arial" w:cs="Arial"/>
        </w:rPr>
        <w:t xml:space="preserve">Single-cell suspensions were prepared from primary tissues using the </w:t>
      </w:r>
      <w:proofErr w:type="spellStart"/>
      <w:r w:rsidRPr="00E23FC9">
        <w:rPr>
          <w:rFonts w:ascii="Arial" w:hAnsi="Arial" w:cs="Arial"/>
        </w:rPr>
        <w:t>gentleMACS</w:t>
      </w:r>
      <w:r w:rsidRPr="00E23FC9">
        <w:rPr>
          <w:rFonts w:ascii="Arial" w:hAnsi="Arial" w:cs="Arial"/>
          <w:vertAlign w:val="superscript"/>
        </w:rPr>
        <w:t>TM</w:t>
      </w:r>
      <w:proofErr w:type="spellEnd"/>
      <w:r w:rsidRPr="00E23FC9">
        <w:rPr>
          <w:rFonts w:ascii="Arial" w:hAnsi="Arial" w:cs="Arial"/>
        </w:rPr>
        <w:t xml:space="preserve"> tissue </w:t>
      </w:r>
      <w:proofErr w:type="spellStart"/>
      <w:r w:rsidRPr="00E23FC9">
        <w:rPr>
          <w:rFonts w:ascii="Arial" w:hAnsi="Arial" w:cs="Arial"/>
        </w:rPr>
        <w:t>dissociator</w:t>
      </w:r>
      <w:proofErr w:type="spellEnd"/>
      <w:r w:rsidRPr="00E23FC9">
        <w:rPr>
          <w:rFonts w:ascii="Arial" w:hAnsi="Arial" w:cs="Arial"/>
        </w:rPr>
        <w:t xml:space="preserve"> and tumor dissociation kit (</w:t>
      </w:r>
      <w:proofErr w:type="spellStart"/>
      <w:r w:rsidRPr="00E23FC9">
        <w:rPr>
          <w:rFonts w:ascii="Arial" w:hAnsi="Arial" w:cs="Arial"/>
          <w:color w:val="000000" w:themeColor="text1"/>
        </w:rPr>
        <w:t>Miltenyi</w:t>
      </w:r>
      <w:proofErr w:type="spellEnd"/>
      <w:r w:rsidRPr="00E23FC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23FC9">
        <w:rPr>
          <w:rFonts w:ascii="Arial" w:hAnsi="Arial" w:cs="Arial"/>
          <w:color w:val="000000" w:themeColor="text1"/>
        </w:rPr>
        <w:t>Biotec</w:t>
      </w:r>
      <w:proofErr w:type="spellEnd"/>
      <w:r w:rsidRPr="00E23FC9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E23FC9">
        <w:rPr>
          <w:rFonts w:ascii="Arial" w:hAnsi="Arial" w:cs="Arial"/>
          <w:color w:val="000000" w:themeColor="text1"/>
          <w:shd w:val="clear" w:color="auto" w:fill="FFFFFF"/>
        </w:rPr>
        <w:t>Bergisch</w:t>
      </w:r>
      <w:proofErr w:type="spellEnd"/>
      <w:r w:rsidRPr="00E23FC9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23FC9">
        <w:rPr>
          <w:rFonts w:ascii="Arial" w:hAnsi="Arial" w:cs="Arial"/>
          <w:color w:val="000000" w:themeColor="text1"/>
          <w:shd w:val="clear" w:color="auto" w:fill="FFFFFF"/>
        </w:rPr>
        <w:t>Gladbach</w:t>
      </w:r>
      <w:proofErr w:type="spellEnd"/>
      <w:r w:rsidRPr="00E23FC9">
        <w:rPr>
          <w:rFonts w:ascii="Arial" w:hAnsi="Arial" w:cs="Arial"/>
          <w:color w:val="000000" w:themeColor="text1"/>
        </w:rPr>
        <w:t>, Germany</w:t>
      </w:r>
      <w:r w:rsidRPr="00E23FC9">
        <w:rPr>
          <w:rFonts w:ascii="Arial" w:hAnsi="Arial" w:cs="Arial"/>
        </w:rPr>
        <w:t xml:space="preserve">) using the “soft tissue” setting. PBMC were processed using Lymphocyte Separation Medium (Corning Inc., Corning, NY) density gradient centrifugation or </w:t>
      </w:r>
      <w:proofErr w:type="spellStart"/>
      <w:r w:rsidRPr="00E23FC9">
        <w:rPr>
          <w:rFonts w:ascii="Arial" w:hAnsi="Arial" w:cs="Arial"/>
        </w:rPr>
        <w:t>SepMate</w:t>
      </w:r>
      <w:proofErr w:type="spellEnd"/>
      <w:r w:rsidRPr="00E23FC9">
        <w:rPr>
          <w:rFonts w:ascii="Arial" w:hAnsi="Arial" w:cs="Arial"/>
        </w:rPr>
        <w:t xml:space="preserve"> PBMC Isolation (</w:t>
      </w:r>
      <w:proofErr w:type="spellStart"/>
      <w:r w:rsidRPr="00E23FC9">
        <w:rPr>
          <w:rFonts w:ascii="Arial" w:hAnsi="Arial" w:cs="Arial"/>
        </w:rPr>
        <w:t>StemCell</w:t>
      </w:r>
      <w:proofErr w:type="spellEnd"/>
      <w:r w:rsidRPr="00E23FC9">
        <w:rPr>
          <w:rFonts w:ascii="Arial" w:hAnsi="Arial" w:cs="Arial"/>
        </w:rPr>
        <w:t xml:space="preserve"> Technologies, Vancouver, Canada).  </w:t>
      </w:r>
    </w:p>
    <w:p w14:paraId="6236FCB7" w14:textId="77777777" w:rsidR="00E61392" w:rsidRPr="00E23FC9" w:rsidRDefault="00E61392" w:rsidP="00E23FC9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Quantitative reverse-transcriptase PCR</w:t>
      </w:r>
    </w:p>
    <w:p w14:paraId="7289F05D" w14:textId="77777777" w:rsidR="00E61392" w:rsidRPr="00E23FC9" w:rsidRDefault="00E61392" w:rsidP="00E23FC9">
      <w:pPr>
        <w:spacing w:after="120" w:line="360" w:lineRule="auto"/>
        <w:jc w:val="both"/>
        <w:rPr>
          <w:rFonts w:ascii="Arial" w:hAnsi="Arial" w:cs="Arial"/>
          <w:color w:val="000000"/>
        </w:rPr>
      </w:pPr>
      <w:r w:rsidRPr="00E23FC9">
        <w:rPr>
          <w:rFonts w:ascii="Arial" w:hAnsi="Arial" w:cs="Arial"/>
        </w:rPr>
        <w:t xml:space="preserve">RNA samples of passage two and three TEC and NEC cultures and the corresponding primary NAT and RCC tumor cells were reverse-transcribed into cDNA libraries using </w:t>
      </w:r>
      <w:proofErr w:type="spellStart"/>
      <w:r w:rsidRPr="00E23FC9">
        <w:rPr>
          <w:rFonts w:ascii="Arial" w:hAnsi="Arial" w:cs="Arial"/>
        </w:rPr>
        <w:t>SuperScript</w:t>
      </w:r>
      <w:proofErr w:type="spellEnd"/>
      <w:r w:rsidRPr="00E23FC9">
        <w:rPr>
          <w:rFonts w:ascii="Arial" w:hAnsi="Arial" w:cs="Arial"/>
        </w:rPr>
        <w:t>™ III One-Step RT-PCR System (</w:t>
      </w:r>
      <w:proofErr w:type="spellStart"/>
      <w:r w:rsidRPr="00E23FC9">
        <w:rPr>
          <w:rFonts w:ascii="Arial" w:hAnsi="Arial" w:cs="Arial"/>
        </w:rPr>
        <w:t>ThermoFisher</w:t>
      </w:r>
      <w:proofErr w:type="spellEnd"/>
      <w:r w:rsidRPr="00E23FC9">
        <w:rPr>
          <w:rFonts w:ascii="Arial" w:hAnsi="Arial" w:cs="Arial"/>
        </w:rPr>
        <w:t xml:space="preserve"> Scientific). All the qPCR primers (IDT, Newark, NJ) have been validated in previous publications (Table S4).  The qPCR reactions were established with 20ng cDNA with </w:t>
      </w:r>
      <w:proofErr w:type="spellStart"/>
      <w:r w:rsidRPr="00E23FC9">
        <w:rPr>
          <w:rFonts w:ascii="Arial" w:hAnsi="Arial" w:cs="Arial"/>
          <w:color w:val="000000"/>
        </w:rPr>
        <w:t>PowerUp</w:t>
      </w:r>
      <w:proofErr w:type="spellEnd"/>
      <w:r w:rsidRPr="00E23FC9">
        <w:rPr>
          <w:rFonts w:ascii="Arial" w:hAnsi="Arial" w:cs="Arial"/>
          <w:color w:val="000000"/>
        </w:rPr>
        <w:t xml:space="preserve">™ SYBR™ Green Master Mix (2X) </w:t>
      </w:r>
      <w:r w:rsidRPr="00E23FC9">
        <w:rPr>
          <w:rFonts w:ascii="Arial" w:hAnsi="Arial" w:cs="Arial"/>
        </w:rPr>
        <w:t>(</w:t>
      </w:r>
      <w:proofErr w:type="spellStart"/>
      <w:r w:rsidRPr="00E23FC9">
        <w:rPr>
          <w:rFonts w:ascii="Arial" w:hAnsi="Arial" w:cs="Arial"/>
        </w:rPr>
        <w:t>ThermoFisher</w:t>
      </w:r>
      <w:proofErr w:type="spellEnd"/>
      <w:r w:rsidRPr="00E23FC9">
        <w:rPr>
          <w:rFonts w:ascii="Arial" w:hAnsi="Arial" w:cs="Arial"/>
        </w:rPr>
        <w:t xml:space="preserve"> Scientific)</w:t>
      </w:r>
      <w:r w:rsidRPr="00E23FC9">
        <w:rPr>
          <w:rFonts w:ascii="Arial" w:hAnsi="Arial" w:cs="Arial"/>
          <w:color w:val="000000"/>
        </w:rPr>
        <w:t xml:space="preserve"> at 20 </w:t>
      </w:r>
      <w:proofErr w:type="spellStart"/>
      <w:r w:rsidRPr="00E23FC9">
        <w:rPr>
          <w:rFonts w:ascii="Arial" w:hAnsi="Arial" w:cs="Arial"/>
          <w:color w:val="000000"/>
        </w:rPr>
        <w:t>μL</w:t>
      </w:r>
      <w:proofErr w:type="spellEnd"/>
      <w:r w:rsidRPr="00E23FC9">
        <w:rPr>
          <w:rFonts w:ascii="Arial" w:hAnsi="Arial" w:cs="Arial"/>
          <w:color w:val="000000"/>
        </w:rPr>
        <w:t xml:space="preserve"> volume. The reactions were amplified for 40 cycles on QuantStudio5 Real Time PCR Systems (</w:t>
      </w:r>
      <w:proofErr w:type="spellStart"/>
      <w:r w:rsidRPr="00E23FC9">
        <w:rPr>
          <w:rFonts w:ascii="Arial" w:hAnsi="Arial" w:cs="Arial"/>
        </w:rPr>
        <w:t>ThermoFisher</w:t>
      </w:r>
      <w:proofErr w:type="spellEnd"/>
      <w:r w:rsidRPr="00E23FC9">
        <w:rPr>
          <w:rFonts w:ascii="Arial" w:hAnsi="Arial" w:cs="Arial"/>
        </w:rPr>
        <w:t xml:space="preserve"> Scientific</w:t>
      </w:r>
      <w:r w:rsidRPr="00E23FC9">
        <w:rPr>
          <w:rFonts w:ascii="Arial" w:hAnsi="Arial" w:cs="Arial"/>
          <w:color w:val="000000"/>
        </w:rPr>
        <w:t xml:space="preserve">) using the following PCR program: </w:t>
      </w:r>
      <w:r w:rsidRPr="00E23FC9">
        <w:rPr>
          <w:rFonts w:ascii="Arial" w:hAnsi="Arial" w:cs="Arial"/>
          <w:color w:val="000000"/>
          <w:shd w:val="clear" w:color="auto" w:fill="FFFFFF"/>
        </w:rPr>
        <w:t>95°C (10 minutes), followed by 40 cycles of 95°C (15 seconds) and 60°C (1 minutes)</w:t>
      </w:r>
      <w:r w:rsidRPr="00E23FC9">
        <w:rPr>
          <w:rFonts w:ascii="Arial" w:hAnsi="Arial" w:cs="Arial"/>
          <w:color w:val="000000"/>
        </w:rPr>
        <w:t>.</w:t>
      </w:r>
    </w:p>
    <w:p w14:paraId="318C64A2" w14:textId="255EDBEC" w:rsidR="0077740D" w:rsidRPr="00E23FC9" w:rsidRDefault="0077740D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color w:val="000000"/>
        </w:rPr>
        <w:t xml:space="preserve">EC and </w:t>
      </w:r>
      <w:r w:rsidRPr="00E23FC9">
        <w:rPr>
          <w:rFonts w:ascii="Arial" w:hAnsi="Arial" w:cs="Arial"/>
          <w:b/>
          <w:bCs/>
        </w:rPr>
        <w:t>immune cell co-culture</w:t>
      </w:r>
    </w:p>
    <w:p w14:paraId="58A6D6AB" w14:textId="77777777" w:rsidR="0077740D" w:rsidRPr="00E23FC9" w:rsidRDefault="0077740D" w:rsidP="00E23FC9">
      <w:pPr>
        <w:spacing w:line="360" w:lineRule="auto"/>
        <w:jc w:val="both"/>
        <w:rPr>
          <w:rFonts w:ascii="Arial" w:hAnsi="Arial" w:cs="Arial"/>
        </w:rPr>
      </w:pPr>
      <w:r w:rsidRPr="00E23FC9">
        <w:rPr>
          <w:rFonts w:ascii="Arial" w:hAnsi="Arial" w:cs="Arial"/>
        </w:rPr>
        <w:t>For co-culture experiments, autologous CD45</w:t>
      </w:r>
      <w:r w:rsidRPr="00E23FC9">
        <w:rPr>
          <w:rFonts w:ascii="Arial" w:hAnsi="Arial" w:cs="Arial"/>
          <w:vertAlign w:val="superscript"/>
        </w:rPr>
        <w:t>+</w:t>
      </w:r>
      <w:r w:rsidRPr="00E23FC9">
        <w:rPr>
          <w:rFonts w:ascii="Arial" w:hAnsi="Arial" w:cs="Arial"/>
        </w:rPr>
        <w:t xml:space="preserve"> leukocytes were sorted from the same set RCC tumor and NAT tissue single-cell suspension and stained for </w:t>
      </w:r>
      <w:proofErr w:type="spellStart"/>
      <w:r w:rsidRPr="00E23FC9">
        <w:rPr>
          <w:rFonts w:ascii="Arial" w:hAnsi="Arial" w:cs="Arial"/>
        </w:rPr>
        <w:t>CellTracker</w:t>
      </w:r>
      <w:proofErr w:type="spellEnd"/>
      <w:r w:rsidRPr="00E23FC9">
        <w:rPr>
          <w:rFonts w:ascii="Arial" w:hAnsi="Arial" w:cs="Arial"/>
        </w:rPr>
        <w:t>™ Green CMFDA Dye (</w:t>
      </w:r>
      <w:proofErr w:type="spellStart"/>
      <w:r w:rsidRPr="00E23FC9">
        <w:rPr>
          <w:rFonts w:ascii="Arial" w:hAnsi="Arial" w:cs="Arial"/>
        </w:rPr>
        <w:t>Thermo</w:t>
      </w:r>
      <w:proofErr w:type="spellEnd"/>
      <w:r w:rsidRPr="00E23FC9">
        <w:rPr>
          <w:rFonts w:ascii="Arial" w:hAnsi="Arial" w:cs="Arial"/>
        </w:rPr>
        <w:t xml:space="preserve"> Fisher Scientific). At day 0, NECs and TECs were stained by </w:t>
      </w:r>
      <w:proofErr w:type="spellStart"/>
      <w:r w:rsidRPr="00E23FC9">
        <w:rPr>
          <w:rFonts w:ascii="Arial" w:hAnsi="Arial" w:cs="Arial"/>
        </w:rPr>
        <w:t>CellTracker</w:t>
      </w:r>
      <w:proofErr w:type="spellEnd"/>
      <w:r w:rsidRPr="00E23FC9">
        <w:rPr>
          <w:rFonts w:ascii="Arial" w:hAnsi="Arial" w:cs="Arial"/>
        </w:rPr>
        <w:t>™ Red CMTPX Dye (</w:t>
      </w:r>
      <w:proofErr w:type="spellStart"/>
      <w:r w:rsidRPr="00E23FC9">
        <w:rPr>
          <w:rFonts w:ascii="Arial" w:hAnsi="Arial" w:cs="Arial"/>
        </w:rPr>
        <w:t>Thermo</w:t>
      </w:r>
      <w:proofErr w:type="spellEnd"/>
      <w:r w:rsidRPr="00E23FC9">
        <w:rPr>
          <w:rFonts w:ascii="Arial" w:hAnsi="Arial" w:cs="Arial"/>
        </w:rPr>
        <w:t xml:space="preserve"> Fisher Scientific) and seeded at 0.1 million per well in endothelial media mixed with CTL cell media at 1:1 ratio. The VEGF concentration was 10ng/</w:t>
      </w:r>
      <w:proofErr w:type="spellStart"/>
      <w:r w:rsidRPr="00E23FC9">
        <w:rPr>
          <w:rFonts w:ascii="Arial" w:hAnsi="Arial" w:cs="Arial"/>
        </w:rPr>
        <w:t>mL.</w:t>
      </w:r>
      <w:proofErr w:type="spellEnd"/>
      <w:r w:rsidRPr="00E23FC9">
        <w:rPr>
          <w:rFonts w:ascii="Arial" w:hAnsi="Arial" w:cs="Arial"/>
        </w:rPr>
        <w:t xml:space="preserve"> The plates were cultured in </w:t>
      </w:r>
      <w:proofErr w:type="spellStart"/>
      <w:r w:rsidRPr="00E23FC9">
        <w:rPr>
          <w:rFonts w:ascii="Arial" w:hAnsi="Arial" w:cs="Arial"/>
        </w:rPr>
        <w:t>Incucyte</w:t>
      </w:r>
      <w:proofErr w:type="spellEnd"/>
      <w:r w:rsidRPr="00E23FC9">
        <w:rPr>
          <w:rFonts w:ascii="Arial" w:hAnsi="Arial" w:cs="Arial"/>
        </w:rPr>
        <w:t xml:space="preserve"> S3. 24 hours after seeding, the corresponding autologous CD45</w:t>
      </w:r>
      <w:r w:rsidRPr="00E23FC9">
        <w:rPr>
          <w:rFonts w:ascii="Arial" w:hAnsi="Arial" w:cs="Arial"/>
          <w:vertAlign w:val="superscript"/>
        </w:rPr>
        <w:t>+</w:t>
      </w:r>
      <w:r w:rsidRPr="00E23FC9">
        <w:rPr>
          <w:rFonts w:ascii="Arial" w:hAnsi="Arial" w:cs="Arial"/>
        </w:rPr>
        <w:t xml:space="preserve"> cells were added to the culture using the same media cocktail. On day2, the floating cells were harvested, imaged the plate on green and red channel on </w:t>
      </w:r>
      <w:proofErr w:type="spellStart"/>
      <w:r w:rsidRPr="00E23FC9">
        <w:rPr>
          <w:rFonts w:ascii="Arial" w:hAnsi="Arial" w:cs="Arial"/>
        </w:rPr>
        <w:t>incucyte</w:t>
      </w:r>
      <w:proofErr w:type="spellEnd"/>
      <w:r w:rsidRPr="00E23FC9">
        <w:rPr>
          <w:rFonts w:ascii="Arial" w:hAnsi="Arial" w:cs="Arial"/>
        </w:rPr>
        <w:t xml:space="preserve">. 16 separate images were taken on each of the wells. We then </w:t>
      </w:r>
      <w:proofErr w:type="spellStart"/>
      <w:r w:rsidRPr="00E23FC9">
        <w:rPr>
          <w:rFonts w:ascii="Arial" w:hAnsi="Arial" w:cs="Arial"/>
        </w:rPr>
        <w:t>trypsinized</w:t>
      </w:r>
      <w:proofErr w:type="spellEnd"/>
      <w:r w:rsidRPr="00E23FC9">
        <w:rPr>
          <w:rFonts w:ascii="Arial" w:hAnsi="Arial" w:cs="Arial"/>
        </w:rPr>
        <w:t xml:space="preserve"> the adherent cells, flow stained for immune cell population to analyze the adherent CD45</w:t>
      </w:r>
      <w:r w:rsidRPr="00E23FC9">
        <w:rPr>
          <w:rFonts w:ascii="Arial" w:hAnsi="Arial" w:cs="Arial"/>
          <w:vertAlign w:val="superscript"/>
        </w:rPr>
        <w:t>+</w:t>
      </w:r>
      <w:r w:rsidRPr="00E23FC9">
        <w:rPr>
          <w:rFonts w:ascii="Arial" w:hAnsi="Arial" w:cs="Arial"/>
        </w:rPr>
        <w:t xml:space="preserve"> cell composition using the following antibody panel each at 1:20 dilution at BD </w:t>
      </w:r>
      <w:proofErr w:type="spellStart"/>
      <w:r w:rsidRPr="00E23FC9">
        <w:rPr>
          <w:rFonts w:ascii="Arial" w:hAnsi="Arial" w:cs="Arial"/>
        </w:rPr>
        <w:t>FACSymphony</w:t>
      </w:r>
      <w:proofErr w:type="spellEnd"/>
      <w:r w:rsidRPr="00E23FC9">
        <w:rPr>
          <w:rFonts w:ascii="Arial" w:hAnsi="Arial" w:cs="Arial"/>
        </w:rPr>
        <w:t xml:space="preserve">™ analyzer (BD Biosciences): PE-Cy7 mouse anti-human labeled CD19 (clone HIB19, BD Biosciences), BV605 labeled mouse anti-human CD25 (clone </w:t>
      </w:r>
      <w:r w:rsidRPr="00E23FC9">
        <w:rPr>
          <w:rFonts w:ascii="Arial" w:hAnsi="Arial" w:cs="Arial"/>
        </w:rPr>
        <w:lastRenderedPageBreak/>
        <w:t xml:space="preserve">2A3, BD Biosciences), PerCP-Cy5.5 labeled mouse anti-human CD4 (clone RPA-T4, BD Biosciences), BV786 labeled mouse anti-human CD8 (clone RPA-T8, </w:t>
      </w:r>
      <w:proofErr w:type="spellStart"/>
      <w:r w:rsidRPr="00E23FC9">
        <w:rPr>
          <w:rFonts w:ascii="Arial" w:hAnsi="Arial" w:cs="Arial"/>
        </w:rPr>
        <w:t>BDBiosciences</w:t>
      </w:r>
      <w:proofErr w:type="spellEnd"/>
      <w:r w:rsidRPr="00E23FC9">
        <w:rPr>
          <w:rFonts w:ascii="Arial" w:hAnsi="Arial" w:cs="Arial"/>
        </w:rPr>
        <w:t>), APC-R700 labeled mouse anti-human CD56 (clone NCAM16.2, BD Biosciences) and AF647 labeled mouse anti-human CD68 (clone Y1/82A, BD Biosciences).</w:t>
      </w:r>
    </w:p>
    <w:p w14:paraId="0785D700" w14:textId="77777777" w:rsidR="0077740D" w:rsidRPr="00E23FC9" w:rsidRDefault="0077740D" w:rsidP="00E23FC9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Bulk RNA-sequencing</w:t>
      </w:r>
    </w:p>
    <w:p w14:paraId="3495D7EC" w14:textId="77777777" w:rsidR="0077740D" w:rsidRPr="00E23FC9" w:rsidRDefault="0077740D" w:rsidP="00E23FC9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</w:rPr>
      </w:pPr>
      <w:r w:rsidRPr="00E23FC9">
        <w:rPr>
          <w:rFonts w:ascii="Arial" w:hAnsi="Arial" w:cs="Arial"/>
        </w:rPr>
        <w:t xml:space="preserve">Three pairs of TEC and NEC cultures at passage three as well as the corresponding primary normal kidney and RCC tumor tissues were </w:t>
      </w:r>
      <w:proofErr w:type="spellStart"/>
      <w:r w:rsidRPr="00E23FC9">
        <w:rPr>
          <w:rFonts w:ascii="Arial" w:hAnsi="Arial" w:cs="Arial"/>
        </w:rPr>
        <w:t>trypsinized</w:t>
      </w:r>
      <w:proofErr w:type="spellEnd"/>
      <w:r w:rsidRPr="00E23FC9">
        <w:rPr>
          <w:rFonts w:ascii="Arial" w:hAnsi="Arial" w:cs="Arial"/>
        </w:rPr>
        <w:t xml:space="preserve"> to single-cell suspensions. The primary ECs were enriched by sorting on the DAPI</w:t>
      </w:r>
      <w:r w:rsidRPr="00E23FC9">
        <w:rPr>
          <w:rFonts w:ascii="Arial" w:hAnsi="Arial" w:cs="Arial"/>
          <w:vertAlign w:val="superscript"/>
        </w:rPr>
        <w:t>-</w:t>
      </w:r>
      <w:r w:rsidRPr="00E23FC9">
        <w:rPr>
          <w:rFonts w:ascii="Arial" w:hAnsi="Arial" w:cs="Arial"/>
        </w:rPr>
        <w:t>CD31</w:t>
      </w:r>
      <w:r w:rsidRPr="00E23FC9">
        <w:rPr>
          <w:rFonts w:ascii="Arial" w:hAnsi="Arial" w:cs="Arial"/>
          <w:vertAlign w:val="superscript"/>
        </w:rPr>
        <w:t>+</w:t>
      </w:r>
      <w:r w:rsidRPr="00E23FC9">
        <w:rPr>
          <w:rFonts w:ascii="Arial" w:hAnsi="Arial" w:cs="Arial"/>
        </w:rPr>
        <w:t>CD144</w:t>
      </w:r>
      <w:r w:rsidRPr="00E23FC9">
        <w:rPr>
          <w:rFonts w:ascii="Arial" w:hAnsi="Arial" w:cs="Arial"/>
          <w:vertAlign w:val="superscript"/>
        </w:rPr>
        <w:t>+</w:t>
      </w:r>
      <w:r w:rsidRPr="00E23FC9">
        <w:rPr>
          <w:rFonts w:ascii="Arial" w:hAnsi="Arial" w:cs="Arial"/>
        </w:rPr>
        <w:t xml:space="preserve"> population. RNA samples were extracted using RNeasy Plus Mini kit (Qiagen, Hilden, Germany) to remove genomic DNA. 50ng RNA samples at 5ng/</w:t>
      </w:r>
      <w:proofErr w:type="spellStart"/>
      <w:r w:rsidRPr="00E23FC9">
        <w:rPr>
          <w:rFonts w:ascii="Arial" w:hAnsi="Arial" w:cs="Arial"/>
        </w:rPr>
        <w:t>μL</w:t>
      </w:r>
      <w:proofErr w:type="spellEnd"/>
      <w:r w:rsidRPr="00E23FC9">
        <w:rPr>
          <w:rFonts w:ascii="Arial" w:hAnsi="Arial" w:cs="Arial"/>
        </w:rPr>
        <w:t xml:space="preserve"> concentration were reverse-transcribed by poly-A selection using oligo dT primer. </w:t>
      </w:r>
      <w:proofErr w:type="spellStart"/>
      <w:r w:rsidRPr="00E23FC9">
        <w:rPr>
          <w:rFonts w:ascii="Arial" w:hAnsi="Arial" w:cs="Arial"/>
        </w:rPr>
        <w:t>Clontech</w:t>
      </w:r>
      <w:proofErr w:type="spellEnd"/>
      <w:r w:rsidRPr="00E23FC9">
        <w:rPr>
          <w:rFonts w:ascii="Arial" w:hAnsi="Arial" w:cs="Arial"/>
        </w:rPr>
        <w:t xml:space="preserve"> SMARTv4 (Takara Bio) and </w:t>
      </w:r>
      <w:proofErr w:type="spellStart"/>
      <w:r w:rsidRPr="00E23FC9">
        <w:rPr>
          <w:rFonts w:ascii="Arial" w:hAnsi="Arial" w:cs="Arial"/>
        </w:rPr>
        <w:t>Nextera</w:t>
      </w:r>
      <w:proofErr w:type="spellEnd"/>
      <w:r w:rsidRPr="00E23FC9">
        <w:rPr>
          <w:rFonts w:ascii="Arial" w:hAnsi="Arial" w:cs="Arial"/>
        </w:rPr>
        <w:t xml:space="preserve"> XT (</w:t>
      </w:r>
      <w:proofErr w:type="spellStart"/>
      <w:r w:rsidRPr="00E23FC9">
        <w:rPr>
          <w:rFonts w:ascii="Arial" w:eastAsiaTheme="minorEastAsia" w:hAnsi="Arial" w:cs="Arial"/>
        </w:rPr>
        <w:t>llumina</w:t>
      </w:r>
      <w:proofErr w:type="spellEnd"/>
      <w:r w:rsidRPr="00E23FC9">
        <w:rPr>
          <w:rFonts w:ascii="Arial" w:hAnsi="Arial" w:cs="Arial"/>
        </w:rPr>
        <w:t xml:space="preserve">) kits are used to construct the library according to the manufacture’s protocol. The sample pool was sequenced at 30 million 50PE reads per sample on an Illumina </w:t>
      </w:r>
      <w:proofErr w:type="spellStart"/>
      <w:r w:rsidRPr="00E23FC9">
        <w:rPr>
          <w:rFonts w:ascii="Arial" w:hAnsi="Arial" w:cs="Arial"/>
        </w:rPr>
        <w:t>Nextseq</w:t>
      </w:r>
      <w:proofErr w:type="spellEnd"/>
      <w:r w:rsidRPr="00E23FC9">
        <w:rPr>
          <w:rFonts w:ascii="Arial" w:hAnsi="Arial" w:cs="Arial"/>
        </w:rPr>
        <w:t xml:space="preserve"> P2 </w:t>
      </w:r>
      <w:proofErr w:type="spellStart"/>
      <w:r w:rsidRPr="00E23FC9">
        <w:rPr>
          <w:rFonts w:ascii="Arial" w:hAnsi="Arial" w:cs="Arial"/>
        </w:rPr>
        <w:t>flowcell</w:t>
      </w:r>
      <w:proofErr w:type="spellEnd"/>
      <w:r w:rsidRPr="00E23FC9">
        <w:rPr>
          <w:rFonts w:ascii="Arial" w:hAnsi="Arial" w:cs="Arial"/>
        </w:rPr>
        <w:t>.</w:t>
      </w:r>
    </w:p>
    <w:p w14:paraId="2A127845" w14:textId="77777777" w:rsidR="0077740D" w:rsidRPr="00E23FC9" w:rsidRDefault="0077740D" w:rsidP="00E23FC9">
      <w:pPr>
        <w:spacing w:line="360" w:lineRule="auto"/>
        <w:jc w:val="both"/>
        <w:rPr>
          <w:rFonts w:ascii="Arial" w:hAnsi="Arial" w:cs="Arial"/>
        </w:rPr>
      </w:pPr>
    </w:p>
    <w:p w14:paraId="26ABC74D" w14:textId="77777777" w:rsidR="0077740D" w:rsidRPr="00E23FC9" w:rsidRDefault="0077740D" w:rsidP="00E23FC9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147EF13" w14:textId="71FD792F" w:rsidR="00E61392" w:rsidRPr="00E23FC9" w:rsidRDefault="00E61392" w:rsidP="00E23FC9">
      <w:pPr>
        <w:spacing w:after="120" w:line="360" w:lineRule="auto"/>
        <w:jc w:val="both"/>
        <w:rPr>
          <w:rFonts w:ascii="Arial" w:hAnsi="Arial" w:cs="Arial"/>
          <w:color w:val="000000"/>
        </w:rPr>
      </w:pPr>
    </w:p>
    <w:p w14:paraId="642E80E0" w14:textId="13A62DD5" w:rsidR="00E61392" w:rsidRPr="00E23FC9" w:rsidRDefault="00E61392" w:rsidP="00E23FC9">
      <w:pPr>
        <w:spacing w:line="360" w:lineRule="auto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br w:type="page"/>
      </w:r>
    </w:p>
    <w:p w14:paraId="04B2C40E" w14:textId="77777777" w:rsidR="00027885" w:rsidRPr="00E23FC9" w:rsidRDefault="00027885" w:rsidP="00E23FC9">
      <w:pPr>
        <w:spacing w:line="360" w:lineRule="auto"/>
        <w:rPr>
          <w:rFonts w:ascii="Arial" w:hAnsi="Arial" w:cs="Arial"/>
          <w:b/>
          <w:bCs/>
        </w:rPr>
      </w:pPr>
    </w:p>
    <w:p w14:paraId="413AEF8C" w14:textId="5ADD9D2B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Supplemental Figures</w:t>
      </w:r>
    </w:p>
    <w:p w14:paraId="4A832722" w14:textId="77777777" w:rsidR="00027885" w:rsidRPr="00E23FC9" w:rsidRDefault="00027885" w:rsidP="00E23FC9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D04AA79" w14:textId="334A74D8" w:rsidR="00027885" w:rsidRPr="00E23FC9" w:rsidRDefault="00027885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noProof/>
          <w14:ligatures w14:val="standardContextual"/>
        </w:rPr>
        <w:drawing>
          <wp:inline distT="0" distB="0" distL="0" distR="0" wp14:anchorId="117C796F" wp14:editId="60764524">
            <wp:extent cx="5943600" cy="3272155"/>
            <wp:effectExtent l="0" t="0" r="0" b="4445"/>
            <wp:docPr id="568887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887953" name="Picture 56888795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3FC9">
        <w:rPr>
          <w:rFonts w:ascii="Arial" w:hAnsi="Arial" w:cs="Arial"/>
          <w:b/>
          <w:bCs/>
        </w:rPr>
        <w:t xml:space="preserve">Suppl. Fig. 1. Quality control plots of </w:t>
      </w:r>
      <w:proofErr w:type="spellStart"/>
      <w:r w:rsidRPr="00E23FC9">
        <w:rPr>
          <w:rFonts w:ascii="Arial" w:hAnsi="Arial" w:cs="Arial"/>
          <w:b/>
          <w:bCs/>
        </w:rPr>
        <w:t>scRNA</w:t>
      </w:r>
      <w:proofErr w:type="spellEnd"/>
      <w:r w:rsidRPr="00E23FC9">
        <w:rPr>
          <w:rFonts w:ascii="Arial" w:hAnsi="Arial" w:cs="Arial"/>
          <w:b/>
          <w:bCs/>
        </w:rPr>
        <w:t>-seq data. (A)</w:t>
      </w:r>
      <w:r w:rsidRPr="00E23FC9">
        <w:rPr>
          <w:rFonts w:ascii="Arial" w:hAnsi="Arial" w:cs="Arial"/>
        </w:rPr>
        <w:t xml:space="preserve"> Tissue origin of each cell.  HUVEC cells were spiked into samples extracted from tumor and normal kidney (NAT). </w:t>
      </w:r>
      <w:r w:rsidRPr="00E23FC9">
        <w:rPr>
          <w:rFonts w:ascii="Arial" w:hAnsi="Arial" w:cs="Arial"/>
          <w:b/>
          <w:bCs/>
        </w:rPr>
        <w:t xml:space="preserve">(B) </w:t>
      </w:r>
      <w:r w:rsidRPr="00E23FC9">
        <w:rPr>
          <w:rFonts w:ascii="Arial" w:hAnsi="Arial" w:cs="Arial"/>
        </w:rPr>
        <w:t xml:space="preserve">HTO tag assignment of each cell. </w:t>
      </w:r>
      <w:r w:rsidRPr="00E23FC9">
        <w:rPr>
          <w:rFonts w:ascii="Arial" w:hAnsi="Arial" w:cs="Arial"/>
          <w:b/>
          <w:bCs/>
        </w:rPr>
        <w:t xml:space="preserve">(C) </w:t>
      </w:r>
      <w:r w:rsidRPr="00E23FC9">
        <w:rPr>
          <w:rFonts w:ascii="Arial" w:hAnsi="Arial" w:cs="Arial"/>
        </w:rPr>
        <w:t xml:space="preserve">Cell lineage marker expression of each cluster. </w:t>
      </w:r>
      <w:r w:rsidRPr="00E23FC9">
        <w:rPr>
          <w:rFonts w:ascii="Arial" w:hAnsi="Arial" w:cs="Arial"/>
          <w:b/>
          <w:bCs/>
        </w:rPr>
        <w:t>(D)</w:t>
      </w:r>
      <w:r w:rsidRPr="00E23FC9">
        <w:rPr>
          <w:rFonts w:ascii="Arial" w:hAnsi="Arial" w:cs="Arial"/>
          <w:b/>
        </w:rPr>
        <w:t xml:space="preserve"> </w:t>
      </w:r>
      <w:r w:rsidRPr="00E23FC9">
        <w:rPr>
          <w:rFonts w:ascii="Arial" w:hAnsi="Arial" w:cs="Arial"/>
        </w:rPr>
        <w:t>UMAP plots of al</w:t>
      </w:r>
      <w:r w:rsidR="006C7BC2" w:rsidRPr="00E23FC9">
        <w:rPr>
          <w:rFonts w:ascii="Arial" w:hAnsi="Arial" w:cs="Arial"/>
        </w:rPr>
        <w:t>l cells with barcodes colored by four patients,</w:t>
      </w:r>
      <w:r w:rsidR="006C7BC2" w:rsidRPr="00E23FC9">
        <w:rPr>
          <w:rFonts w:ascii="Arial" w:hAnsi="Arial" w:cs="Arial"/>
          <w:b/>
          <w:bCs/>
        </w:rPr>
        <w:t xml:space="preserve"> (E) </w:t>
      </w:r>
      <w:r w:rsidR="006C7BC2" w:rsidRPr="00E23FC9">
        <w:rPr>
          <w:rFonts w:ascii="Arial" w:hAnsi="Arial" w:cs="Arial"/>
        </w:rPr>
        <w:t>two separate libraries, and</w:t>
      </w:r>
      <w:r w:rsidR="006C7BC2" w:rsidRPr="00E23FC9">
        <w:rPr>
          <w:rFonts w:ascii="Arial" w:hAnsi="Arial" w:cs="Arial"/>
          <w:b/>
          <w:bCs/>
        </w:rPr>
        <w:t xml:space="preserve"> (F) </w:t>
      </w:r>
      <w:r w:rsidR="006C7BC2" w:rsidRPr="00E23FC9">
        <w:rPr>
          <w:rFonts w:ascii="Arial" w:hAnsi="Arial" w:cs="Arial"/>
          <w:i/>
        </w:rPr>
        <w:t>ACTB</w:t>
      </w:r>
      <w:r w:rsidR="006C7BC2" w:rsidRPr="00E23FC9">
        <w:rPr>
          <w:rFonts w:ascii="Arial" w:hAnsi="Arial" w:cs="Arial"/>
        </w:rPr>
        <w:t xml:space="preserve"> expression.</w:t>
      </w:r>
      <w:r w:rsidR="006C7BC2" w:rsidRPr="00E23FC9">
        <w:rPr>
          <w:rFonts w:ascii="Arial" w:hAnsi="Arial" w:cs="Arial"/>
          <w:b/>
          <w:bCs/>
        </w:rPr>
        <w:t xml:space="preserve"> </w:t>
      </w:r>
    </w:p>
    <w:p w14:paraId="4A713F76" w14:textId="77777777" w:rsidR="00027885" w:rsidRPr="00E23FC9" w:rsidRDefault="00027885" w:rsidP="00E23FC9">
      <w:pPr>
        <w:spacing w:line="360" w:lineRule="auto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br w:type="page"/>
      </w:r>
    </w:p>
    <w:p w14:paraId="076E7350" w14:textId="24808F22" w:rsidR="006C7BC2" w:rsidRPr="00E23FC9" w:rsidRDefault="00027885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72FFCF29" wp14:editId="5CA6117D">
            <wp:extent cx="3022600" cy="6692900"/>
            <wp:effectExtent l="0" t="0" r="0" b="0"/>
            <wp:docPr id="2205209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520971" name="Picture 22052097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669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CAAEB" w14:textId="537048E0" w:rsidR="00027885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 xml:space="preserve">Suppl. Fig. 2. Selected pathway gene expression in TECs and NECs. </w:t>
      </w:r>
      <w:r w:rsidRPr="00E23FC9">
        <w:rPr>
          <w:rFonts w:ascii="Arial" w:hAnsi="Arial" w:cs="Arial"/>
        </w:rPr>
        <w:t xml:space="preserve">The expression of </w:t>
      </w:r>
      <w:r w:rsidRPr="00E23FC9">
        <w:rPr>
          <w:rFonts w:ascii="Arial" w:hAnsi="Arial" w:cs="Arial"/>
          <w:b/>
          <w:bCs/>
        </w:rPr>
        <w:t xml:space="preserve">(A) </w:t>
      </w:r>
      <w:r w:rsidRPr="00E23FC9">
        <w:rPr>
          <w:rFonts w:ascii="Arial" w:hAnsi="Arial" w:cs="Arial"/>
          <w:i/>
          <w:iCs/>
        </w:rPr>
        <w:t>MMP</w:t>
      </w:r>
      <w:r w:rsidRPr="00E23FC9">
        <w:rPr>
          <w:rFonts w:ascii="Arial" w:hAnsi="Arial" w:cs="Arial"/>
        </w:rPr>
        <w:t xml:space="preserve"> and </w:t>
      </w:r>
      <w:r w:rsidRPr="00E23FC9">
        <w:rPr>
          <w:rFonts w:ascii="Arial" w:hAnsi="Arial" w:cs="Arial"/>
          <w:b/>
          <w:bCs/>
        </w:rPr>
        <w:t xml:space="preserve">(B) </w:t>
      </w:r>
      <w:r w:rsidRPr="00E23FC9">
        <w:rPr>
          <w:rFonts w:ascii="Arial" w:hAnsi="Arial" w:cs="Arial"/>
          <w:i/>
          <w:iCs/>
        </w:rPr>
        <w:t>ADAMT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>genes in TECs and NECs.</w:t>
      </w:r>
      <w:r w:rsidRPr="00E23FC9">
        <w:rPr>
          <w:rFonts w:ascii="Arial" w:hAnsi="Arial" w:cs="Arial"/>
          <w:b/>
          <w:bCs/>
        </w:rPr>
        <w:t xml:space="preserve"> (C) </w:t>
      </w:r>
      <w:r w:rsidRPr="00E23FC9">
        <w:rPr>
          <w:rFonts w:ascii="Arial" w:hAnsi="Arial" w:cs="Arial"/>
        </w:rPr>
        <w:t>The expression of angiogenic pathway genes (GO:0001525) in TECs and NECs.</w:t>
      </w:r>
      <w:r w:rsidRPr="00E23FC9">
        <w:rPr>
          <w:rFonts w:ascii="Arial" w:hAnsi="Arial" w:cs="Arial"/>
          <w:b/>
          <w:bCs/>
        </w:rPr>
        <w:t xml:space="preserve"> </w:t>
      </w:r>
    </w:p>
    <w:p w14:paraId="15A88CA0" w14:textId="77777777" w:rsidR="00027885" w:rsidRPr="00E23FC9" w:rsidRDefault="00027885" w:rsidP="00E23FC9">
      <w:pPr>
        <w:spacing w:line="360" w:lineRule="auto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br w:type="page"/>
      </w:r>
    </w:p>
    <w:p w14:paraId="325DCC38" w14:textId="05487701" w:rsidR="006C7BC2" w:rsidRPr="00E23FC9" w:rsidRDefault="00027885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480A0D0C" wp14:editId="7BFA54D9">
            <wp:extent cx="5943600" cy="3766185"/>
            <wp:effectExtent l="0" t="0" r="0" b="5715"/>
            <wp:docPr id="193698709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987092" name="Picture 193698709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5AD60" w14:textId="3B59BBC8" w:rsidR="00027885" w:rsidRPr="00E23FC9" w:rsidRDefault="006C7BC2" w:rsidP="00E23FC9">
      <w:pPr>
        <w:spacing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E23FC9">
        <w:rPr>
          <w:rFonts w:ascii="Arial" w:hAnsi="Arial" w:cs="Arial"/>
          <w:b/>
          <w:bCs/>
        </w:rPr>
        <w:t xml:space="preserve">Suppl. Fig 3. </w:t>
      </w:r>
      <w:r w:rsidRPr="00E23FC9">
        <w:rPr>
          <w:rFonts w:ascii="Arial" w:hAnsi="Arial" w:cs="Arial"/>
          <w:b/>
          <w:bCs/>
          <w:i/>
          <w:iCs/>
        </w:rPr>
        <w:t>IGFBP3</w:t>
      </w:r>
      <w:r w:rsidRPr="00E23FC9">
        <w:rPr>
          <w:rFonts w:ascii="Arial" w:hAnsi="Arial" w:cs="Arial"/>
          <w:b/>
          <w:bCs/>
        </w:rPr>
        <w:t xml:space="preserve"> and </w:t>
      </w:r>
      <w:r w:rsidRPr="00E23FC9">
        <w:rPr>
          <w:rFonts w:ascii="Arial" w:hAnsi="Arial" w:cs="Arial"/>
          <w:b/>
          <w:bCs/>
          <w:i/>
          <w:iCs/>
        </w:rPr>
        <w:t>IGFBP5</w:t>
      </w:r>
      <w:r w:rsidRPr="00E23FC9">
        <w:rPr>
          <w:rFonts w:ascii="Arial" w:hAnsi="Arial" w:cs="Arial"/>
          <w:b/>
          <w:bCs/>
        </w:rPr>
        <w:t xml:space="preserve"> survival curves from TCGA data. </w:t>
      </w:r>
      <w:r w:rsidRPr="00E23FC9">
        <w:rPr>
          <w:rFonts w:ascii="Arial" w:hAnsi="Arial" w:cs="Arial"/>
        </w:rPr>
        <w:t xml:space="preserve">The expression of </w:t>
      </w:r>
      <w:r w:rsidRPr="00E23FC9">
        <w:rPr>
          <w:rFonts w:ascii="Arial" w:hAnsi="Arial" w:cs="Arial"/>
          <w:b/>
          <w:bCs/>
        </w:rPr>
        <w:t xml:space="preserve">(A) </w:t>
      </w:r>
      <w:r w:rsidRPr="00E23FC9">
        <w:rPr>
          <w:rFonts w:ascii="Arial" w:hAnsi="Arial" w:cs="Arial"/>
          <w:i/>
          <w:iCs/>
        </w:rPr>
        <w:t>IGFBP3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 xml:space="preserve">and </w:t>
      </w:r>
      <w:r w:rsidRPr="00E23FC9">
        <w:rPr>
          <w:rFonts w:ascii="Arial" w:hAnsi="Arial" w:cs="Arial"/>
          <w:b/>
          <w:bCs/>
        </w:rPr>
        <w:t xml:space="preserve">(B) </w:t>
      </w:r>
      <w:r w:rsidRPr="00E23FC9">
        <w:rPr>
          <w:rFonts w:ascii="Arial" w:hAnsi="Arial" w:cs="Arial"/>
          <w:i/>
          <w:iCs/>
        </w:rPr>
        <w:t>IGFBP5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>in all cell clusters.</w:t>
      </w:r>
      <w:r w:rsidRPr="00E23FC9">
        <w:rPr>
          <w:rFonts w:ascii="Arial" w:hAnsi="Arial" w:cs="Arial"/>
          <w:b/>
          <w:bCs/>
        </w:rPr>
        <w:t xml:space="preserve"> (C) </w:t>
      </w:r>
      <w:r w:rsidRPr="00E23FC9">
        <w:rPr>
          <w:rFonts w:ascii="Arial" w:hAnsi="Arial" w:cs="Arial"/>
        </w:rPr>
        <w:t>The expression of IGF pathway genes in individual cell types.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 xml:space="preserve">The protein expression of </w:t>
      </w:r>
      <w:r w:rsidRPr="00E23FC9">
        <w:rPr>
          <w:rFonts w:ascii="Arial" w:hAnsi="Arial" w:cs="Arial"/>
          <w:b/>
          <w:bCs/>
        </w:rPr>
        <w:t xml:space="preserve">(D) </w:t>
      </w:r>
      <w:r w:rsidRPr="00E23FC9">
        <w:rPr>
          <w:rFonts w:ascii="Arial" w:hAnsi="Arial" w:cs="Arial"/>
        </w:rPr>
        <w:t>IGFBP3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 xml:space="preserve">and </w:t>
      </w:r>
      <w:r w:rsidRPr="00E23FC9">
        <w:rPr>
          <w:rFonts w:ascii="Arial" w:hAnsi="Arial" w:cs="Arial"/>
          <w:b/>
          <w:bCs/>
        </w:rPr>
        <w:t xml:space="preserve">(E) </w:t>
      </w:r>
      <w:r w:rsidRPr="00E23FC9">
        <w:rPr>
          <w:rFonts w:ascii="Arial" w:hAnsi="Arial" w:cs="Arial"/>
        </w:rPr>
        <w:t>IGFBP5</w:t>
      </w:r>
      <w:r w:rsidRPr="00E23FC9">
        <w:rPr>
          <w:rFonts w:ascii="Arial" w:hAnsi="Arial" w:cs="Arial"/>
          <w:b/>
          <w:bCs/>
        </w:rPr>
        <w:t xml:space="preserve"> </w:t>
      </w:r>
      <w:r w:rsidRPr="00E23FC9">
        <w:rPr>
          <w:rFonts w:ascii="Arial" w:hAnsi="Arial" w:cs="Arial"/>
        </w:rPr>
        <w:t xml:space="preserve">in normal human organs and tumors. </w:t>
      </w:r>
      <w:r w:rsidRPr="00E23FC9">
        <w:rPr>
          <w:rFonts w:ascii="Arial" w:hAnsi="Arial" w:cs="Arial"/>
          <w:color w:val="000000"/>
          <w:shd w:val="clear" w:color="auto" w:fill="FFFFFF"/>
        </w:rPr>
        <w:t xml:space="preserve">Images are from the Human Protein Atlas (v22.0.proteinatlas.org). The overall survival curve stratified by </w:t>
      </w:r>
      <w:r w:rsidRPr="00E23FC9">
        <w:rPr>
          <w:rFonts w:ascii="Arial" w:hAnsi="Arial" w:cs="Arial"/>
          <w:b/>
          <w:bCs/>
          <w:color w:val="000000"/>
          <w:shd w:val="clear" w:color="auto" w:fill="FFFFFF"/>
        </w:rPr>
        <w:t xml:space="preserve">(F) </w:t>
      </w:r>
      <w:r w:rsidRPr="00E23FC9">
        <w:rPr>
          <w:rFonts w:ascii="Arial" w:hAnsi="Arial" w:cs="Arial"/>
          <w:i/>
          <w:iCs/>
          <w:color w:val="000000"/>
          <w:shd w:val="clear" w:color="auto" w:fill="FFFFFF"/>
        </w:rPr>
        <w:t>IGFBP3</w:t>
      </w:r>
      <w:r w:rsidRPr="00E23FC9">
        <w:rPr>
          <w:rFonts w:ascii="Arial" w:hAnsi="Arial" w:cs="Arial"/>
          <w:color w:val="000000"/>
          <w:shd w:val="clear" w:color="auto" w:fill="FFFFFF"/>
        </w:rPr>
        <w:t xml:space="preserve"> and </w:t>
      </w:r>
      <w:r w:rsidRPr="00E23FC9">
        <w:rPr>
          <w:rFonts w:ascii="Arial" w:hAnsi="Arial" w:cs="Arial"/>
          <w:b/>
          <w:bCs/>
          <w:color w:val="000000"/>
          <w:shd w:val="clear" w:color="auto" w:fill="FFFFFF"/>
        </w:rPr>
        <w:t>(G)</w:t>
      </w:r>
      <w:r w:rsidRPr="00E23FC9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E23FC9">
        <w:rPr>
          <w:rFonts w:ascii="Arial" w:hAnsi="Arial" w:cs="Arial"/>
          <w:i/>
          <w:iCs/>
          <w:color w:val="000000"/>
          <w:shd w:val="clear" w:color="auto" w:fill="FFFFFF"/>
        </w:rPr>
        <w:t>IGFBP5</w:t>
      </w:r>
      <w:r w:rsidRPr="00E23FC9">
        <w:rPr>
          <w:rFonts w:ascii="Arial" w:hAnsi="Arial" w:cs="Arial"/>
          <w:color w:val="000000"/>
          <w:shd w:val="clear" w:color="auto" w:fill="FFFFFF"/>
        </w:rPr>
        <w:t xml:space="preserve"> from the TCGA </w:t>
      </w:r>
      <w:proofErr w:type="spellStart"/>
      <w:r w:rsidRPr="00E23FC9">
        <w:rPr>
          <w:rFonts w:ascii="Arial" w:hAnsi="Arial" w:cs="Arial"/>
          <w:color w:val="000000"/>
          <w:shd w:val="clear" w:color="auto" w:fill="FFFFFF"/>
        </w:rPr>
        <w:t>ccRCC</w:t>
      </w:r>
      <w:proofErr w:type="spellEnd"/>
      <w:r w:rsidRPr="00E23FC9">
        <w:rPr>
          <w:rFonts w:ascii="Arial" w:hAnsi="Arial" w:cs="Arial"/>
          <w:color w:val="000000"/>
          <w:shd w:val="clear" w:color="auto" w:fill="FFFFFF"/>
        </w:rPr>
        <w:t xml:space="preserve"> dataset (KIRC). The cohort was divided into two equal size groups by the expression of the mRNA. The results here are based upon </w:t>
      </w:r>
      <w:proofErr w:type="spellStart"/>
      <w:r w:rsidRPr="00E23FC9">
        <w:rPr>
          <w:rFonts w:ascii="Arial" w:hAnsi="Arial" w:cs="Arial"/>
          <w:color w:val="000000"/>
          <w:shd w:val="clear" w:color="auto" w:fill="FFFFFF"/>
        </w:rPr>
        <w:t>RNAseq</w:t>
      </w:r>
      <w:proofErr w:type="spellEnd"/>
      <w:r w:rsidRPr="00E23FC9">
        <w:rPr>
          <w:rFonts w:ascii="Arial" w:hAnsi="Arial" w:cs="Arial"/>
          <w:color w:val="000000"/>
          <w:shd w:val="clear" w:color="auto" w:fill="FFFFFF"/>
        </w:rPr>
        <w:t xml:space="preserve"> data generated by the TCGA Research Network: </w:t>
      </w:r>
      <w:hyperlink r:id="rId7" w:history="1">
        <w:r w:rsidRPr="00E23FC9">
          <w:rPr>
            <w:rStyle w:val="Hyperlink"/>
            <w:rFonts w:ascii="Arial" w:hAnsi="Arial" w:cs="Arial"/>
            <w:shd w:val="clear" w:color="auto" w:fill="FFFFFF"/>
          </w:rPr>
          <w:t>https://www.cancer.gov/tcga</w:t>
        </w:r>
      </w:hyperlink>
      <w:r w:rsidRPr="00E23FC9">
        <w:rPr>
          <w:rFonts w:ascii="Arial" w:hAnsi="Arial" w:cs="Arial"/>
          <w:color w:val="000000"/>
          <w:shd w:val="clear" w:color="auto" w:fill="FFFFFF"/>
        </w:rPr>
        <w:t>.</w:t>
      </w:r>
    </w:p>
    <w:p w14:paraId="7C85C071" w14:textId="77777777" w:rsidR="00027885" w:rsidRPr="00E23FC9" w:rsidRDefault="00027885" w:rsidP="00E23FC9">
      <w:pPr>
        <w:spacing w:line="360" w:lineRule="auto"/>
        <w:rPr>
          <w:rFonts w:ascii="Arial" w:hAnsi="Arial" w:cs="Arial"/>
          <w:color w:val="000000"/>
          <w:shd w:val="clear" w:color="auto" w:fill="FFFFFF"/>
        </w:rPr>
      </w:pPr>
      <w:r w:rsidRPr="00E23FC9">
        <w:rPr>
          <w:rFonts w:ascii="Arial" w:hAnsi="Arial" w:cs="Arial"/>
          <w:color w:val="000000"/>
          <w:shd w:val="clear" w:color="auto" w:fill="FFFFFF"/>
        </w:rPr>
        <w:br w:type="page"/>
      </w:r>
    </w:p>
    <w:p w14:paraId="0D02B155" w14:textId="6A7F0C20" w:rsidR="006C7BC2" w:rsidRPr="00E23FC9" w:rsidRDefault="00027885" w:rsidP="00E23FC9">
      <w:pPr>
        <w:spacing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E23FC9">
        <w:rPr>
          <w:rFonts w:ascii="Arial" w:hAnsi="Arial" w:cs="Arial"/>
          <w:noProof/>
          <w:color w:val="000000"/>
          <w:shd w:val="clear" w:color="auto" w:fill="FFFFFF"/>
          <w14:ligatures w14:val="standardContextual"/>
        </w:rPr>
        <w:lastRenderedPageBreak/>
        <w:drawing>
          <wp:inline distT="0" distB="0" distL="0" distR="0" wp14:anchorId="27012009" wp14:editId="5EB551B2">
            <wp:extent cx="2844800" cy="4292600"/>
            <wp:effectExtent l="0" t="0" r="0" b="0"/>
            <wp:docPr id="9684630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463056" name="Picture 96846305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8F199" w14:textId="3D80BFE4" w:rsidR="00027885" w:rsidRPr="00E23FC9" w:rsidRDefault="006C7BC2" w:rsidP="00E23FC9">
      <w:pPr>
        <w:spacing w:line="360" w:lineRule="auto"/>
        <w:jc w:val="both"/>
        <w:rPr>
          <w:rFonts w:ascii="Arial" w:hAnsi="Arial" w:cs="Arial"/>
        </w:rPr>
      </w:pPr>
      <w:r w:rsidRPr="00E23FC9">
        <w:rPr>
          <w:rFonts w:ascii="Arial" w:hAnsi="Arial" w:cs="Arial"/>
          <w:b/>
          <w:bCs/>
          <w:color w:val="000000"/>
          <w:shd w:val="clear" w:color="auto" w:fill="FFFFFF"/>
        </w:rPr>
        <w:t xml:space="preserve">Suppl. Fig 4. </w:t>
      </w:r>
      <w:r w:rsidRPr="00E23FC9">
        <w:rPr>
          <w:rFonts w:ascii="Arial" w:hAnsi="Arial" w:cs="Arial"/>
          <w:b/>
          <w:bCs/>
        </w:rPr>
        <w:t>The expression of tyrosine kinase inhibitor targets in TECs and NECs. (A)</w:t>
      </w:r>
      <w:r w:rsidRPr="00E23FC9">
        <w:rPr>
          <w:rFonts w:ascii="Arial" w:hAnsi="Arial" w:cs="Arial"/>
        </w:rPr>
        <w:t xml:space="preserve"> Heatmap of tyrosine kinase inhibitor target expression in cultured TECs/NECs and primary TECs/NECs. Gene expression was calculated by the populational average and centered by Z-score. </w:t>
      </w:r>
    </w:p>
    <w:p w14:paraId="0F4E6C18" w14:textId="77777777" w:rsidR="00027885" w:rsidRPr="00E23FC9" w:rsidRDefault="00027885" w:rsidP="00E23FC9">
      <w:pPr>
        <w:spacing w:line="360" w:lineRule="auto"/>
        <w:rPr>
          <w:rFonts w:ascii="Arial" w:hAnsi="Arial" w:cs="Arial"/>
        </w:rPr>
      </w:pPr>
      <w:r w:rsidRPr="00E23FC9">
        <w:rPr>
          <w:rFonts w:ascii="Arial" w:hAnsi="Arial" w:cs="Arial"/>
        </w:rPr>
        <w:br w:type="page"/>
      </w:r>
    </w:p>
    <w:p w14:paraId="02778046" w14:textId="79828F52" w:rsidR="006C7BC2" w:rsidRPr="00E23FC9" w:rsidRDefault="00027885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20C13414" wp14:editId="779D2F3A">
            <wp:extent cx="5943600" cy="3259455"/>
            <wp:effectExtent l="0" t="0" r="0" b="4445"/>
            <wp:docPr id="17003615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361562" name="Picture 170036156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95D7D" w14:textId="77777777" w:rsidR="006C7BC2" w:rsidRPr="00E23FC9" w:rsidRDefault="006C7BC2" w:rsidP="00E23FC9">
      <w:pPr>
        <w:spacing w:line="360" w:lineRule="auto"/>
        <w:jc w:val="both"/>
        <w:rPr>
          <w:rFonts w:ascii="Arial" w:hAnsi="Arial" w:cs="Arial"/>
          <w:b/>
          <w:bCs/>
        </w:rPr>
      </w:pPr>
      <w:r w:rsidRPr="00E23FC9">
        <w:rPr>
          <w:rFonts w:ascii="Arial" w:hAnsi="Arial" w:cs="Arial"/>
          <w:b/>
          <w:bCs/>
        </w:rPr>
        <w:t>Suppl. Fig 5. The composition of adherent CD45</w:t>
      </w:r>
      <w:r w:rsidRPr="00E23FC9">
        <w:rPr>
          <w:rFonts w:ascii="Arial" w:hAnsi="Arial" w:cs="Arial"/>
          <w:b/>
          <w:bCs/>
          <w:vertAlign w:val="superscript"/>
        </w:rPr>
        <w:t>+</w:t>
      </w:r>
      <w:r w:rsidRPr="00E23FC9">
        <w:rPr>
          <w:rFonts w:ascii="Arial" w:hAnsi="Arial" w:cs="Arial"/>
          <w:b/>
          <w:bCs/>
        </w:rPr>
        <w:t xml:space="preserve"> leukocytes on ECs (A) </w:t>
      </w:r>
      <w:r w:rsidRPr="00E23FC9">
        <w:rPr>
          <w:rFonts w:ascii="Arial" w:hAnsi="Arial" w:cs="Arial"/>
        </w:rPr>
        <w:t>The flow gating strategy of different leukocytes populations.</w:t>
      </w:r>
      <w:r w:rsidRPr="00E23FC9">
        <w:rPr>
          <w:rFonts w:ascii="Arial" w:hAnsi="Arial" w:cs="Arial"/>
          <w:b/>
          <w:bCs/>
        </w:rPr>
        <w:t xml:space="preserve"> (B) </w:t>
      </w:r>
      <w:r w:rsidRPr="00E23FC9">
        <w:rPr>
          <w:rFonts w:ascii="Arial" w:hAnsi="Arial" w:cs="Arial"/>
        </w:rPr>
        <w:t>The % of total cells of each adherent leukocyte populations on the TECs and NECs.</w:t>
      </w:r>
      <w:r w:rsidRPr="00E23FC9">
        <w:rPr>
          <w:rFonts w:ascii="Arial" w:hAnsi="Arial" w:cs="Arial"/>
          <w:b/>
          <w:bCs/>
        </w:rPr>
        <w:t xml:space="preserve">  </w:t>
      </w:r>
    </w:p>
    <w:p w14:paraId="3B445542" w14:textId="77777777" w:rsidR="006C7BC2" w:rsidRPr="00840312" w:rsidRDefault="006C7BC2" w:rsidP="006C7BC2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44BA76AA" w14:textId="77777777" w:rsidR="008A4711" w:rsidRDefault="008A4711"/>
    <w:sectPr w:rsidR="008A4711" w:rsidSect="00E23FC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BC2"/>
    <w:rsid w:val="00001A25"/>
    <w:rsid w:val="00001F72"/>
    <w:rsid w:val="00002E44"/>
    <w:rsid w:val="00027833"/>
    <w:rsid w:val="00027885"/>
    <w:rsid w:val="0003559A"/>
    <w:rsid w:val="0004002B"/>
    <w:rsid w:val="00044202"/>
    <w:rsid w:val="000524C0"/>
    <w:rsid w:val="000A7E52"/>
    <w:rsid w:val="000F1965"/>
    <w:rsid w:val="000F3605"/>
    <w:rsid w:val="00117270"/>
    <w:rsid w:val="00175974"/>
    <w:rsid w:val="00175A77"/>
    <w:rsid w:val="0019652D"/>
    <w:rsid w:val="001A7BEE"/>
    <w:rsid w:val="001C0CD5"/>
    <w:rsid w:val="001C4292"/>
    <w:rsid w:val="001F414F"/>
    <w:rsid w:val="001F77F0"/>
    <w:rsid w:val="00201D0F"/>
    <w:rsid w:val="002033AF"/>
    <w:rsid w:val="002171FF"/>
    <w:rsid w:val="00235DBC"/>
    <w:rsid w:val="00275490"/>
    <w:rsid w:val="0029582A"/>
    <w:rsid w:val="002D018D"/>
    <w:rsid w:val="002F7B5C"/>
    <w:rsid w:val="00330932"/>
    <w:rsid w:val="003444A4"/>
    <w:rsid w:val="00367439"/>
    <w:rsid w:val="003818AD"/>
    <w:rsid w:val="003854C9"/>
    <w:rsid w:val="003C7E4E"/>
    <w:rsid w:val="003E065A"/>
    <w:rsid w:val="004129A3"/>
    <w:rsid w:val="004238EE"/>
    <w:rsid w:val="00444E4B"/>
    <w:rsid w:val="00454E0C"/>
    <w:rsid w:val="00460397"/>
    <w:rsid w:val="00483866"/>
    <w:rsid w:val="00484DCE"/>
    <w:rsid w:val="0049455D"/>
    <w:rsid w:val="005202A6"/>
    <w:rsid w:val="00542C0E"/>
    <w:rsid w:val="005534D6"/>
    <w:rsid w:val="00567A3B"/>
    <w:rsid w:val="005B139B"/>
    <w:rsid w:val="005D44BF"/>
    <w:rsid w:val="00605B66"/>
    <w:rsid w:val="00615138"/>
    <w:rsid w:val="00615305"/>
    <w:rsid w:val="00640350"/>
    <w:rsid w:val="00664128"/>
    <w:rsid w:val="006C7BC2"/>
    <w:rsid w:val="00757F53"/>
    <w:rsid w:val="0077740D"/>
    <w:rsid w:val="00780816"/>
    <w:rsid w:val="007C6B72"/>
    <w:rsid w:val="007D769E"/>
    <w:rsid w:val="008A4711"/>
    <w:rsid w:val="008E119E"/>
    <w:rsid w:val="008E168E"/>
    <w:rsid w:val="0091745C"/>
    <w:rsid w:val="00923B17"/>
    <w:rsid w:val="00923D99"/>
    <w:rsid w:val="00952396"/>
    <w:rsid w:val="00952E2E"/>
    <w:rsid w:val="009571BB"/>
    <w:rsid w:val="009E30BB"/>
    <w:rsid w:val="00A07DE0"/>
    <w:rsid w:val="00A3650F"/>
    <w:rsid w:val="00A60C94"/>
    <w:rsid w:val="00A74E62"/>
    <w:rsid w:val="00A9054D"/>
    <w:rsid w:val="00AB1496"/>
    <w:rsid w:val="00AD1599"/>
    <w:rsid w:val="00AD2C23"/>
    <w:rsid w:val="00AD6CA1"/>
    <w:rsid w:val="00AF6F19"/>
    <w:rsid w:val="00B135C4"/>
    <w:rsid w:val="00B462A1"/>
    <w:rsid w:val="00B73D95"/>
    <w:rsid w:val="00BA1FCE"/>
    <w:rsid w:val="00BA4C10"/>
    <w:rsid w:val="00BB185E"/>
    <w:rsid w:val="00C00AB1"/>
    <w:rsid w:val="00C26CC6"/>
    <w:rsid w:val="00C57F13"/>
    <w:rsid w:val="00C74EFA"/>
    <w:rsid w:val="00C83068"/>
    <w:rsid w:val="00C915EF"/>
    <w:rsid w:val="00C97CC5"/>
    <w:rsid w:val="00CA3D5D"/>
    <w:rsid w:val="00D109B4"/>
    <w:rsid w:val="00D4266E"/>
    <w:rsid w:val="00D70456"/>
    <w:rsid w:val="00D91B8D"/>
    <w:rsid w:val="00D95792"/>
    <w:rsid w:val="00D97FA1"/>
    <w:rsid w:val="00DA4DB0"/>
    <w:rsid w:val="00DC6D9A"/>
    <w:rsid w:val="00E20F2B"/>
    <w:rsid w:val="00E23FC9"/>
    <w:rsid w:val="00E30F75"/>
    <w:rsid w:val="00E61392"/>
    <w:rsid w:val="00E66346"/>
    <w:rsid w:val="00EC7232"/>
    <w:rsid w:val="00F02EDF"/>
    <w:rsid w:val="00F3524C"/>
    <w:rsid w:val="00F44B17"/>
    <w:rsid w:val="00F77EF8"/>
    <w:rsid w:val="00FB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761A47"/>
  <w15:chartTrackingRefBased/>
  <w15:docId w15:val="{A104D86C-4702-084E-A136-769C71664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BC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7BC2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23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hyperlink" Target="https://www.cancer.gov/tcg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PhD, Yuexin</dc:creator>
  <cp:keywords/>
  <dc:description/>
  <cp:lastModifiedBy>Xu PhD, Yuexin</cp:lastModifiedBy>
  <cp:revision>4</cp:revision>
  <dcterms:created xsi:type="dcterms:W3CDTF">2023-08-25T21:24:00Z</dcterms:created>
  <dcterms:modified xsi:type="dcterms:W3CDTF">2023-10-30T21:34:00Z</dcterms:modified>
</cp:coreProperties>
</file>