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4"/>
        </w:rPr>
        <w:t xml:space="preserve">Table 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S1</w:t>
      </w:r>
      <w:r>
        <w:rPr>
          <w:rFonts w:ascii="Times New Roman" w:hAnsi="Times New Roman"/>
          <w:b/>
          <w:bCs/>
          <w:sz w:val="24"/>
        </w:rPr>
        <w:t>. General characteristics of the study participants according to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 xml:space="preserve"> </w:t>
      </w:r>
      <w:bookmarkStart w:id="0" w:name="OLE_LINK3"/>
      <w:r>
        <w:rPr>
          <w:rFonts w:hint="eastAsia" w:ascii="Times New Roman" w:hAnsi="Times New Roman"/>
          <w:b/>
          <w:bCs/>
          <w:sz w:val="24"/>
          <w:lang w:val="en-US" w:eastAsia="zh-CN"/>
        </w:rPr>
        <w:t>HFpEF</w:t>
      </w:r>
      <w:bookmarkEnd w:id="0"/>
    </w:p>
    <w:tbl>
      <w:tblPr>
        <w:tblStyle w:val="3"/>
        <w:tblW w:w="10857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58"/>
        <w:gridCol w:w="2000"/>
        <w:gridCol w:w="2054"/>
        <w:gridCol w:w="2208"/>
        <w:gridCol w:w="1137"/>
      </w:tblGrid>
      <w:tr>
        <w:trPr>
          <w:trHeight w:val="724" w:hRule="atLeast"/>
          <w:jc w:val="center"/>
        </w:trPr>
        <w:tc>
          <w:tcPr>
            <w:tcW w:w="3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Characteristic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 xml:space="preserve">Total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=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8606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2054" w:type="dxa"/>
            <w:tcBorders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 xml:space="preserve">No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HFpEF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4"/>
                <w:szCs w:val="24"/>
                <w:highlight w:val="none"/>
              </w:rPr>
              <w:t>n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=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6710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2208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HFpEF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4"/>
                <w:szCs w:val="24"/>
                <w:highlight w:val="none"/>
              </w:rPr>
              <w:t>n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=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896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1137" w:type="dxa"/>
            <w:tcBorders>
              <w:lef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cs="Times New Roman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4"/>
                <w:szCs w:val="24"/>
                <w:highlight w:val="none"/>
              </w:rPr>
              <w:t>P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-value</w:t>
            </w:r>
          </w:p>
        </w:tc>
      </w:tr>
      <w:tr>
        <w:trPr>
          <w:jc w:val="center"/>
        </w:trPr>
        <w:tc>
          <w:tcPr>
            <w:tcW w:w="3458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Sex, n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%)</w:t>
            </w:r>
          </w:p>
        </w:tc>
        <w:tc>
          <w:tcPr>
            <w:tcW w:w="2000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54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08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37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&lt;0.001</w:t>
            </w:r>
          </w:p>
        </w:tc>
      </w:tr>
      <w:tr>
        <w:trPr>
          <w:jc w:val="center"/>
        </w:trPr>
        <w:tc>
          <w:tcPr>
            <w:tcW w:w="345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40" w:firstLineChars="100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Male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4891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.8)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3886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57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22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1005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rPr>
          <w:jc w:val="center"/>
        </w:trPr>
        <w:tc>
          <w:tcPr>
            <w:tcW w:w="345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40" w:firstLineChars="100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Female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3715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.2)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2824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42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22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891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rPr>
          <w:jc w:val="center"/>
        </w:trPr>
        <w:tc>
          <w:tcPr>
            <w:tcW w:w="345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Age, years, median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IQR)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(5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-6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63(5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-6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22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65(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-70)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&lt;0.001</w:t>
            </w:r>
          </w:p>
        </w:tc>
      </w:tr>
      <w:tr>
        <w:trPr>
          <w:jc w:val="center"/>
        </w:trPr>
        <w:tc>
          <w:tcPr>
            <w:tcW w:w="345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SBP, mmHg, median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IQR)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(12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-15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(12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-15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22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41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(1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-1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&lt;0.001</w:t>
            </w:r>
          </w:p>
        </w:tc>
      </w:tr>
      <w:tr>
        <w:trPr>
          <w:jc w:val="center"/>
        </w:trPr>
        <w:tc>
          <w:tcPr>
            <w:tcW w:w="345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DBP, mmHg, median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IQR)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8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-90)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8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-90)</w:t>
            </w:r>
          </w:p>
        </w:tc>
        <w:tc>
          <w:tcPr>
            <w:tcW w:w="22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(7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-90)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0.311</w:t>
            </w:r>
          </w:p>
        </w:tc>
      </w:tr>
      <w:tr>
        <w:trPr>
          <w:trHeight w:val="90" w:hRule="atLeast"/>
          <w:jc w:val="center"/>
        </w:trPr>
        <w:tc>
          <w:tcPr>
            <w:tcW w:w="345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TyG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index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10.34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9.98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10.98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10.30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9.96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10.95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22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10.46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10.04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11.09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&lt;0.001</w:t>
            </w:r>
          </w:p>
        </w:tc>
      </w:tr>
      <w:tr>
        <w:trPr>
          <w:trHeight w:val="90" w:hRule="atLeast"/>
          <w:jc w:val="center"/>
        </w:trPr>
        <w:tc>
          <w:tcPr>
            <w:tcW w:w="345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FPG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, median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IQR)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6.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(5.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59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6.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(5.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22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63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(5.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36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&lt;0.001</w:t>
            </w:r>
          </w:p>
        </w:tc>
      </w:tr>
      <w:tr>
        <w:trPr>
          <w:trHeight w:val="90" w:hRule="atLeast"/>
          <w:jc w:val="center"/>
        </w:trPr>
        <w:tc>
          <w:tcPr>
            <w:tcW w:w="345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HbA1c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, median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IQR)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70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96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70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22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70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-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0.431</w:t>
            </w:r>
          </w:p>
        </w:tc>
      </w:tr>
      <w:tr>
        <w:trPr>
          <w:trHeight w:val="90" w:hRule="atLeast"/>
          <w:jc w:val="center"/>
        </w:trPr>
        <w:tc>
          <w:tcPr>
            <w:tcW w:w="345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LDL-C, mmol/L, median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IQR)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82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7-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.52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9-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.54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22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75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-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44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0.013</w:t>
            </w:r>
          </w:p>
        </w:tc>
      </w:tr>
      <w:tr>
        <w:trPr>
          <w:trHeight w:val="90" w:hRule="atLeast"/>
          <w:jc w:val="center"/>
        </w:trPr>
        <w:tc>
          <w:tcPr>
            <w:tcW w:w="345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HDL-C, mmol/L, median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IQR)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2(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.8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-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2(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.8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-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22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84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-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0.270</w:t>
            </w:r>
          </w:p>
        </w:tc>
      </w:tr>
      <w:tr>
        <w:trPr>
          <w:trHeight w:val="90" w:hRule="atLeast"/>
          <w:jc w:val="center"/>
        </w:trPr>
        <w:tc>
          <w:tcPr>
            <w:tcW w:w="345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TG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, mmol/L, median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IQR)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38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1.97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38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1.97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22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1.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37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99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-1.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9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0.407</w:t>
            </w:r>
          </w:p>
        </w:tc>
      </w:tr>
      <w:tr>
        <w:trPr>
          <w:trHeight w:val="90" w:hRule="atLeast"/>
          <w:jc w:val="center"/>
        </w:trPr>
        <w:tc>
          <w:tcPr>
            <w:tcW w:w="345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C, mmol/L, median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IQR)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47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68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-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33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71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-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36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22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58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-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&lt;0.001</w:t>
            </w:r>
          </w:p>
        </w:tc>
      </w:tr>
      <w:tr>
        <w:trPr>
          <w:trHeight w:val="90" w:hRule="atLeast"/>
          <w:jc w:val="center"/>
        </w:trPr>
        <w:tc>
          <w:tcPr>
            <w:tcW w:w="345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Smoking, n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%)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088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2489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37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.1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22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99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&lt;0.001</w:t>
            </w:r>
          </w:p>
        </w:tc>
      </w:tr>
      <w:tr>
        <w:trPr>
          <w:trHeight w:val="90" w:hRule="atLeast"/>
          <w:jc w:val="center"/>
        </w:trPr>
        <w:tc>
          <w:tcPr>
            <w:tcW w:w="345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Drinking, n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%)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7410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86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5808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86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22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1602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84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)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0.022</w:t>
            </w:r>
          </w:p>
        </w:tc>
      </w:tr>
      <w:tr>
        <w:trPr>
          <w:trHeight w:val="90" w:hRule="atLeast"/>
          <w:jc w:val="center"/>
        </w:trPr>
        <w:tc>
          <w:tcPr>
            <w:tcW w:w="345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LVEF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62(59-65)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62(59-65)</w:t>
            </w:r>
          </w:p>
        </w:tc>
        <w:tc>
          <w:tcPr>
            <w:tcW w:w="22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61(58-64)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&lt;0.001</w:t>
            </w:r>
          </w:p>
        </w:tc>
      </w:tr>
      <w:tr>
        <w:trPr>
          <w:trHeight w:val="90" w:hRule="atLeast"/>
          <w:jc w:val="center"/>
        </w:trPr>
        <w:tc>
          <w:tcPr>
            <w:tcW w:w="345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Glucose regulation state, n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%)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5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&lt;0.001</w:t>
            </w:r>
          </w:p>
        </w:tc>
      </w:tr>
      <w:tr>
        <w:trPr>
          <w:trHeight w:val="90" w:hRule="atLeast"/>
          <w:jc w:val="center"/>
        </w:trPr>
        <w:tc>
          <w:tcPr>
            <w:tcW w:w="3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240" w:firstLineChars="10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Normal glucose regulation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31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17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36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2554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22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563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rPr>
          <w:trHeight w:val="90" w:hRule="atLeast"/>
          <w:jc w:val="center"/>
        </w:trPr>
        <w:tc>
          <w:tcPr>
            <w:tcW w:w="3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240" w:firstLineChars="10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Prediabetes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2143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(2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646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(2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22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497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(2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rPr>
          <w:trHeight w:val="90" w:hRule="atLeast"/>
          <w:jc w:val="center"/>
        </w:trPr>
        <w:tc>
          <w:tcPr>
            <w:tcW w:w="3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240" w:firstLineChars="10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Diabetes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3346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.9)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2510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37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.4)</w:t>
            </w:r>
          </w:p>
        </w:tc>
        <w:tc>
          <w:tcPr>
            <w:tcW w:w="22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836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44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rPr>
          <w:trHeight w:val="90" w:hRule="atLeast"/>
          <w:jc w:val="center"/>
        </w:trPr>
        <w:tc>
          <w:tcPr>
            <w:tcW w:w="345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instrText xml:space="preserve"> HYPERLINK "javascript:;" </w:instrTex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Hypertension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, n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%)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8079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93.9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5858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87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22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1643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86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0.458</w:t>
            </w:r>
          </w:p>
        </w:tc>
      </w:tr>
      <w:tr>
        <w:trPr>
          <w:trHeight w:val="90" w:hRule="atLeast"/>
          <w:jc w:val="center"/>
        </w:trPr>
        <w:tc>
          <w:tcPr>
            <w:tcW w:w="345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instrText xml:space="preserve"> HYPERLINK "javascript:;" </w:instrTex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Dyslipidemia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, n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eastAsia="zh-CN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</w:rPr>
              <w:t>%)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8047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93.5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6292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93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22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1787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94.3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0.441</w:t>
            </w:r>
          </w:p>
        </w:tc>
      </w:tr>
      <w:tr>
        <w:trPr>
          <w:trHeight w:val="90" w:hRule="atLeast"/>
          <w:jc w:val="center"/>
        </w:trPr>
        <w:tc>
          <w:tcPr>
            <w:tcW w:w="34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Use of antihypertensives, n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%)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6331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(7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6273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93.5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22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774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93.6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0.903</w:t>
            </w:r>
          </w:p>
        </w:tc>
      </w:tr>
      <w:tr>
        <w:trPr>
          <w:jc w:val="center"/>
        </w:trPr>
        <w:tc>
          <w:tcPr>
            <w:tcW w:w="345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24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Use of antilipidemic, n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%)</w:t>
            </w:r>
          </w:p>
        </w:tc>
        <w:tc>
          <w:tcPr>
            <w:tcW w:w="20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5450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4225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22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1225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(6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0.190</w:t>
            </w:r>
          </w:p>
        </w:tc>
      </w:tr>
    </w:tbl>
    <w:p>
      <w:pPr>
        <w:rPr>
          <w:rFonts w:hint="eastAsia" w:ascii="Times New Roman" w:hAnsi="Times New Roman"/>
          <w:color w:val="000000"/>
          <w:kern w:val="0"/>
          <w:sz w:val="24"/>
          <w:lang w:eastAsia="zh-CN" w:bidi="ar"/>
        </w:rPr>
      </w:pPr>
      <w:r>
        <w:rPr>
          <w:rFonts w:ascii="Times New Roman" w:hAnsi="Times New Roman"/>
          <w:color w:val="000000"/>
          <w:kern w:val="0"/>
          <w:sz w:val="24"/>
          <w:lang w:bidi="ar"/>
        </w:rPr>
        <w:t>Data are presented as median</w:t>
      </w:r>
      <w:r>
        <w:rPr>
          <w:rFonts w:hint="eastAsia" w:ascii="Times New Roman" w:hAnsi="Times New Roman"/>
          <w:color w:val="000000"/>
          <w:kern w:val="0"/>
          <w:sz w:val="24"/>
          <w:lang w:eastAsia="zh-CN" w:bidi="ar"/>
        </w:rPr>
        <w:t xml:space="preserve"> (</w:t>
      </w:r>
      <w:r>
        <w:rPr>
          <w:rFonts w:ascii="Times New Roman" w:hAnsi="Times New Roman"/>
          <w:color w:val="000000"/>
          <w:kern w:val="0"/>
          <w:sz w:val="24"/>
          <w:lang w:bidi="ar"/>
        </w:rPr>
        <w:t>interquartile) or number</w:t>
      </w:r>
      <w:r>
        <w:rPr>
          <w:rFonts w:hint="eastAsia" w:ascii="Times New Roman" w:hAnsi="Times New Roman"/>
          <w:color w:val="000000"/>
          <w:kern w:val="0"/>
          <w:sz w:val="24"/>
          <w:lang w:eastAsia="zh-CN" w:bidi="ar"/>
        </w:rPr>
        <w:t xml:space="preserve"> (</w:t>
      </w:r>
      <w:r>
        <w:rPr>
          <w:rFonts w:ascii="Times New Roman" w:hAnsi="Times New Roman"/>
          <w:color w:val="000000"/>
          <w:kern w:val="0"/>
          <w:sz w:val="24"/>
          <w:lang w:bidi="ar"/>
        </w:rPr>
        <w:t>proportion, %)</w:t>
      </w:r>
      <w:r>
        <w:rPr>
          <w:rFonts w:hint="eastAsia" w:ascii="Times New Roman" w:hAnsi="Times New Roman"/>
          <w:color w:val="000000"/>
          <w:kern w:val="0"/>
          <w:sz w:val="24"/>
          <w:lang w:val="en-US" w:eastAsia="zh-CN" w:bidi="ar"/>
        </w:rPr>
        <w:t>.</w:t>
      </w:r>
    </w:p>
    <w:p>
      <w:pPr>
        <w:rPr>
          <w:rFonts w:ascii="Times New Roman" w:hAnsi="Times New Roman"/>
          <w:color w:val="000000"/>
          <w:kern w:val="0"/>
          <w:sz w:val="24"/>
          <w:lang w:bidi="ar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w:rPr>
          <w:rFonts w:hint="eastAsia" w:ascii="Times New Roman" w:hAnsi="Times New Roman"/>
          <w:color w:val="000000"/>
          <w:kern w:val="0"/>
          <w:sz w:val="24"/>
          <w:lang w:eastAsia="zh-CN" w:bidi="ar"/>
        </w:rPr>
        <w:t>TyG</w:t>
      </w:r>
      <w:r>
        <w:rPr>
          <w:rFonts w:ascii="Times New Roman" w:hAnsi="Times New Roman"/>
          <w:color w:val="000000"/>
          <w:kern w:val="0"/>
          <w:sz w:val="24"/>
          <w:lang w:bidi="ar"/>
        </w:rPr>
        <w:t>: triglyceride-glucose index, SBP: systolic blood pressure, DBP: diastolic blood pressure, FPG: fasting plasma glucose, TC: total cholesterol, TG: triglycerides, HDL-C: high-density lipoprotein cholesterol, LDL-C: low-density lipoprotein cholesterol, HbA1c: glycated haemoglobin, IQR: interquartile range.</w:t>
      </w:r>
    </w:p>
    <w:p>
      <w:pPr>
        <w:rPr>
          <w:rFonts w:ascii="Times New Roman" w:hAnsi="Times New Roman"/>
          <w:b/>
          <w:bCs/>
          <w:color w:val="000000"/>
          <w:kern w:val="0"/>
          <w:sz w:val="24"/>
          <w:lang w:bidi="ar"/>
        </w:rPr>
      </w:pPr>
      <w:r>
        <w:rPr>
          <w:rFonts w:ascii="Times New Roman" w:hAnsi="Times New Roman"/>
          <w:b/>
          <w:bCs/>
          <w:sz w:val="24"/>
        </w:rPr>
        <w:t xml:space="preserve">Table 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S2</w:t>
      </w:r>
      <w:r>
        <w:rPr>
          <w:rFonts w:ascii="Times New Roman" w:hAnsi="Times New Roman"/>
          <w:b/>
          <w:bCs/>
          <w:color w:val="000000"/>
          <w:kern w:val="0"/>
          <w:sz w:val="24"/>
          <w:lang w:bidi="ar"/>
        </w:rPr>
        <w:t xml:space="preserve">. Association between the TyG index and the risk of </w:t>
      </w:r>
      <w:r>
        <w:rPr>
          <w:rFonts w:hint="eastAsia" w:ascii="Times New Roman" w:hAnsi="Times New Roman"/>
          <w:b/>
          <w:bCs/>
          <w:color w:val="000000"/>
          <w:kern w:val="0"/>
          <w:sz w:val="24"/>
          <w:lang w:val="en-US" w:eastAsia="zh-CN" w:bidi="ar"/>
        </w:rPr>
        <w:t>d</w:t>
      </w:r>
      <w:r>
        <w:rPr>
          <w:rFonts w:ascii="Times New Roman" w:hAnsi="Times New Roman"/>
          <w:b/>
          <w:bCs/>
          <w:color w:val="000000"/>
          <w:kern w:val="0"/>
          <w:sz w:val="24"/>
          <w:lang w:bidi="ar"/>
        </w:rPr>
        <w:t>ifferent types of heart failure</w:t>
      </w:r>
    </w:p>
    <w:tbl>
      <w:tblPr>
        <w:tblStyle w:val="2"/>
        <w:tblW w:w="1373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3"/>
        <w:gridCol w:w="2013"/>
        <w:gridCol w:w="1975"/>
        <w:gridCol w:w="2116"/>
        <w:gridCol w:w="1950"/>
        <w:gridCol w:w="2045"/>
        <w:gridCol w:w="2047"/>
      </w:tblGrid>
      <w:tr>
        <w:trPr>
          <w:trHeight w:val="295" w:hRule="atLeast"/>
          <w:jc w:val="center"/>
        </w:trPr>
        <w:tc>
          <w:tcPr>
            <w:tcW w:w="1593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Variables</w:t>
            </w:r>
          </w:p>
        </w:tc>
        <w:tc>
          <w:tcPr>
            <w:tcW w:w="3988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HFrEF</w:t>
            </w:r>
          </w:p>
        </w:tc>
        <w:tc>
          <w:tcPr>
            <w:tcW w:w="4066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HFmrEF</w:t>
            </w:r>
          </w:p>
        </w:tc>
        <w:tc>
          <w:tcPr>
            <w:tcW w:w="4092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HFpEF</w:t>
            </w:r>
          </w:p>
        </w:tc>
      </w:tr>
      <w:tr>
        <w:trPr>
          <w:trHeight w:val="310" w:hRule="atLeast"/>
          <w:jc w:val="center"/>
        </w:trPr>
        <w:tc>
          <w:tcPr>
            <w:tcW w:w="159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01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OR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95% CI)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bidi="ar"/>
              </w:rPr>
              <w:t>a</w:t>
            </w:r>
          </w:p>
        </w:tc>
        <w:tc>
          <w:tcPr>
            <w:tcW w:w="19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OR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95% CI)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b</w:t>
            </w:r>
          </w:p>
        </w:tc>
        <w:tc>
          <w:tcPr>
            <w:tcW w:w="21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OR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95% CI)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bidi="ar"/>
              </w:rPr>
              <w:t>a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OR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95% CI)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b</w:t>
            </w:r>
          </w:p>
        </w:tc>
        <w:tc>
          <w:tcPr>
            <w:tcW w:w="20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OR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95% CI)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bidi="ar"/>
              </w:rPr>
              <w:t>a</w:t>
            </w:r>
          </w:p>
        </w:tc>
        <w:tc>
          <w:tcPr>
            <w:tcW w:w="204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OR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95% CI)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b</w:t>
            </w:r>
          </w:p>
        </w:tc>
      </w:tr>
      <w:tr>
        <w:trPr>
          <w:trHeight w:val="280" w:hRule="atLeast"/>
          <w:jc w:val="center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TyG index</w:t>
            </w:r>
          </w:p>
        </w:tc>
        <w:tc>
          <w:tcPr>
            <w:tcW w:w="2013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23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*</w:t>
            </w:r>
          </w:p>
        </w:tc>
        <w:tc>
          <w:tcPr>
            <w:tcW w:w="197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28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05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57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*</w:t>
            </w:r>
          </w:p>
        </w:tc>
        <w:tc>
          <w:tcPr>
            <w:tcW w:w="211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1.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99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35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1.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1.00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38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*</w:t>
            </w:r>
          </w:p>
        </w:tc>
        <w:tc>
          <w:tcPr>
            <w:tcW w:w="204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26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**</w:t>
            </w:r>
          </w:p>
        </w:tc>
        <w:tc>
          <w:tcPr>
            <w:tcW w:w="204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1.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1.10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25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**</w:t>
            </w:r>
          </w:p>
        </w:tc>
      </w:tr>
      <w:tr>
        <w:trPr>
          <w:trHeight w:val="280" w:hRule="atLeast"/>
          <w:jc w:val="center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T1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0.65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44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0.95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*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0.60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0.88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*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0.73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55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0.97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*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0.73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55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0.97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*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0.70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63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0.79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**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0.71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63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0.79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**</w:t>
            </w:r>
          </w:p>
        </w:tc>
      </w:tr>
      <w:tr>
        <w:trPr>
          <w:trHeight w:val="280" w:hRule="atLeast"/>
          <w:jc w:val="center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T2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0.94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65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36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0.94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64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36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78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35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04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79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37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05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94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17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05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94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17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</w:p>
        </w:tc>
      </w:tr>
      <w:tr>
        <w:trPr>
          <w:trHeight w:val="280" w:hRule="atLeast"/>
          <w:jc w:val="center"/>
        </w:trPr>
        <w:tc>
          <w:tcPr>
            <w:tcW w:w="1593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T3</w:t>
            </w:r>
          </w:p>
        </w:tc>
        <w:tc>
          <w:tcPr>
            <w:tcW w:w="2013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57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2.23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*</w:t>
            </w:r>
          </w:p>
        </w:tc>
        <w:tc>
          <w:tcPr>
            <w:tcW w:w="1975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74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2.49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**</w:t>
            </w:r>
          </w:p>
        </w:tc>
        <w:tc>
          <w:tcPr>
            <w:tcW w:w="2116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*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35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03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77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*</w:t>
            </w:r>
          </w:p>
        </w:tc>
        <w:tc>
          <w:tcPr>
            <w:tcW w:w="2045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34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49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**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47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**</w:t>
            </w:r>
          </w:p>
        </w:tc>
      </w:tr>
    </w:tbl>
    <w:p>
      <w:pPr>
        <w:jc w:val="left"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/>
          <w:color w:val="000000"/>
          <w:kern w:val="0"/>
          <w:sz w:val="24"/>
          <w:vertAlign w:val="superscript"/>
          <w:lang w:bidi="ar"/>
        </w:rPr>
        <w:t>a</w:t>
      </w:r>
      <w:r>
        <w:rPr>
          <w:rFonts w:ascii="Times New Roman" w:hAnsi="Times New Roman"/>
          <w:color w:val="000000"/>
          <w:kern w:val="0"/>
          <w:sz w:val="24"/>
          <w:lang w:bidi="ar"/>
        </w:rPr>
        <w:t>Model 1: adjusted for sex, age;</w:t>
      </w:r>
    </w:p>
    <w:p>
      <w:pPr>
        <w:jc w:val="left"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ascii="Times New Roman" w:hAnsi="Times New Roman"/>
          <w:color w:val="000000"/>
          <w:kern w:val="0"/>
          <w:sz w:val="24"/>
          <w:vertAlign w:val="superscript"/>
          <w:lang w:bidi="ar"/>
        </w:rPr>
        <w:t>b</w:t>
      </w:r>
      <w:r>
        <w:rPr>
          <w:rFonts w:ascii="Times New Roman" w:hAnsi="Times New Roman"/>
          <w:color w:val="000000"/>
          <w:kern w:val="0"/>
          <w:sz w:val="24"/>
          <w:lang w:bidi="ar"/>
        </w:rPr>
        <w:t>Model 2: adjusted for sex, age, smoking,</w:t>
      </w:r>
      <w:r>
        <w:rPr>
          <w:rFonts w:hint="eastAsia" w:ascii="Times New Roman" w:hAnsi="Times New Roman"/>
          <w:color w:val="000000"/>
          <w:kern w:val="0"/>
          <w:sz w:val="24"/>
          <w:lang w:val="en-US" w:eastAsia="zh-CN" w:bidi="ar"/>
        </w:rPr>
        <w:t xml:space="preserve"> </w:t>
      </w:r>
      <w:r>
        <w:rPr>
          <w:rFonts w:ascii="Times New Roman" w:hAnsi="Times New Roman"/>
          <w:color w:val="000000"/>
          <w:kern w:val="0"/>
          <w:sz w:val="24"/>
          <w:lang w:bidi="ar"/>
        </w:rPr>
        <w:t>drinking, SBP, DBP, TC, HDL-C, LDL-C, hypertension, hyperlipidemia, use of antihypertensives, and use of antilipidemic.</w:t>
      </w:r>
      <w:bookmarkStart w:id="1" w:name="_GoBack"/>
      <w:bookmarkEnd w:id="1"/>
    </w:p>
    <w:p>
      <w:pPr>
        <w:jc w:val="left"/>
        <w:rPr>
          <w:rFonts w:hint="eastAsia" w:ascii="Times New Roman" w:hAnsi="Times New Roman" w:cs="Times New Roman" w:eastAsiaTheme="minorEastAsia"/>
          <w:color w:val="000000" w:themeColor="text1"/>
          <w:kern w:val="0"/>
          <w:sz w:val="24"/>
          <w:szCs w:val="24"/>
          <w:vertAlign w:val="baseli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color w:val="000000" w:themeColor="text1"/>
          <w:kern w:val="0"/>
          <w:sz w:val="24"/>
          <w:szCs w:val="24"/>
          <w:vertAlign w:val="baseline"/>
          <w:lang w:val="en-US" w:eastAsia="zh-CN" w:bidi="ar"/>
          <w14:textFill>
            <w14:solidFill>
              <w14:schemeClr w14:val="tx1"/>
            </w14:solidFill>
          </w14:textFill>
        </w:rPr>
        <w:t xml:space="preserve">Compared with no HF, </w:t>
      </w:r>
      <w:r>
        <w:rPr>
          <w:rFonts w:hint="default" w:ascii="Times New Roman" w:hAnsi="Times New Roman" w:cs="Times New Roman" w:eastAsiaTheme="minorEastAsia"/>
          <w:color w:val="000000" w:themeColor="text1"/>
          <w:kern w:val="0"/>
          <w:sz w:val="24"/>
          <w:szCs w:val="24"/>
          <w:vertAlign w:val="superscript"/>
          <w:lang w:val="en-US" w:eastAsia="zh-CN" w:bidi="ar"/>
          <w14:textFill>
            <w14:solidFill>
              <w14:schemeClr w14:val="tx1"/>
            </w14:solidFill>
          </w14:textFill>
        </w:rPr>
        <w:t>*</w:t>
      </w:r>
      <w:r>
        <w:rPr>
          <w:rFonts w:hint="default" w:ascii="Times New Roman" w:hAnsi="Times New Roman" w:cs="Times New Roman" w:eastAsiaTheme="minorEastAsia"/>
          <w:color w:val="000000" w:themeColor="text1"/>
          <w:kern w:val="0"/>
          <w:sz w:val="24"/>
          <w:szCs w:val="24"/>
          <w:vertAlign w:val="baseli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 w:eastAsiaTheme="minorEastAsia"/>
          <w:i/>
          <w:iCs/>
          <w:color w:val="000000" w:themeColor="text1"/>
          <w:kern w:val="0"/>
          <w:sz w:val="24"/>
          <w:szCs w:val="24"/>
          <w:vertAlign w:val="baseline"/>
          <w:lang w:val="en-US" w:eastAsia="zh-CN" w:bidi="ar"/>
          <w14:textFill>
            <w14:solidFill>
              <w14:schemeClr w14:val="tx1"/>
            </w14:solidFill>
          </w14:textFill>
        </w:rPr>
        <w:t>P</w:t>
      </w:r>
      <w:r>
        <w:rPr>
          <w:rFonts w:hint="default" w:ascii="Times New Roman" w:hAnsi="Times New Roman" w:cs="Times New Roman" w:eastAsiaTheme="minorEastAsia"/>
          <w:color w:val="000000" w:themeColor="text1"/>
          <w:kern w:val="0"/>
          <w:sz w:val="24"/>
          <w:szCs w:val="24"/>
          <w:vertAlign w:val="baseline"/>
          <w:lang w:val="en-US" w:eastAsia="zh-CN" w:bidi="ar"/>
          <w14:textFill>
            <w14:solidFill>
              <w14:schemeClr w14:val="tx1"/>
            </w14:solidFill>
          </w14:textFill>
        </w:rPr>
        <w:t xml:space="preserve"> &lt; 0.05, </w:t>
      </w:r>
      <w:r>
        <w:rPr>
          <w:rFonts w:hint="default" w:ascii="Times New Roman" w:hAnsi="Times New Roman" w:cs="Times New Roman" w:eastAsiaTheme="minorEastAsia"/>
          <w:color w:val="000000" w:themeColor="text1"/>
          <w:kern w:val="0"/>
          <w:sz w:val="24"/>
          <w:szCs w:val="24"/>
          <w:vertAlign w:val="superscript"/>
          <w:lang w:val="en-US" w:eastAsia="zh-CN" w:bidi="ar"/>
          <w14:textFill>
            <w14:solidFill>
              <w14:schemeClr w14:val="tx1"/>
            </w14:solidFill>
          </w14:textFill>
        </w:rPr>
        <w:t>**</w:t>
      </w:r>
      <w:r>
        <w:rPr>
          <w:rFonts w:hint="default" w:ascii="Times New Roman" w:hAnsi="Times New Roman" w:cs="Times New Roman" w:eastAsiaTheme="minorEastAsia"/>
          <w:color w:val="000000" w:themeColor="text1"/>
          <w:kern w:val="0"/>
          <w:sz w:val="24"/>
          <w:szCs w:val="24"/>
          <w:vertAlign w:val="baseli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 w:eastAsiaTheme="minorEastAsia"/>
          <w:i/>
          <w:iCs/>
          <w:color w:val="000000" w:themeColor="text1"/>
          <w:kern w:val="0"/>
          <w:sz w:val="24"/>
          <w:szCs w:val="24"/>
          <w:vertAlign w:val="baseline"/>
          <w:lang w:val="en-US" w:eastAsia="zh-CN" w:bidi="ar"/>
          <w14:textFill>
            <w14:solidFill>
              <w14:schemeClr w14:val="tx1"/>
            </w14:solidFill>
          </w14:textFill>
        </w:rPr>
        <w:t>P</w:t>
      </w:r>
      <w:r>
        <w:rPr>
          <w:rFonts w:hint="default" w:ascii="Times New Roman" w:hAnsi="Times New Roman" w:cs="Times New Roman" w:eastAsiaTheme="minorEastAsia"/>
          <w:color w:val="000000" w:themeColor="text1"/>
          <w:kern w:val="0"/>
          <w:sz w:val="24"/>
          <w:szCs w:val="24"/>
          <w:vertAlign w:val="baseline"/>
          <w:lang w:val="en-US" w:eastAsia="zh-CN" w:bidi="ar"/>
          <w14:textFill>
            <w14:solidFill>
              <w14:schemeClr w14:val="tx1"/>
            </w14:solidFill>
          </w14:textFill>
        </w:rPr>
        <w:t xml:space="preserve"> &lt; 0.01</w:t>
      </w:r>
      <w:r>
        <w:rPr>
          <w:rFonts w:hint="eastAsia" w:ascii="Times New Roman" w:hAnsi="Times New Roman" w:cs="Times New Roman" w:eastAsiaTheme="minorEastAsia"/>
          <w:color w:val="000000" w:themeColor="text1"/>
          <w:kern w:val="0"/>
          <w:sz w:val="24"/>
          <w:szCs w:val="24"/>
          <w:vertAlign w:val="baseline"/>
          <w:lang w:val="en-US" w:eastAsia="zh-CN" w:bidi="ar"/>
          <w14:textFill>
            <w14:solidFill>
              <w14:schemeClr w14:val="tx1"/>
            </w14:solidFill>
          </w14:textFill>
        </w:rPr>
        <w:t>.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TSong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kZjc4MTkzMjVhYTI0MzRjZDdjMTYxYjFlMTZlNDMifQ=="/>
  </w:docVars>
  <w:rsids>
    <w:rsidRoot w:val="5C9B57CA"/>
    <w:rsid w:val="019D55FE"/>
    <w:rsid w:val="146E5BB6"/>
    <w:rsid w:val="483074E9"/>
    <w:rsid w:val="597F1326"/>
    <w:rsid w:val="5C9B57CA"/>
    <w:rsid w:val="65103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354</Words>
  <Characters>2486</Characters>
  <Lines>0</Lines>
  <Paragraphs>0</Paragraphs>
  <TotalTime>0</TotalTime>
  <ScaleCrop>false</ScaleCrop>
  <LinksUpToDate>false</LinksUpToDate>
  <CharactersWithSpaces>2680</CharactersWithSpaces>
  <Application>WPS Office_6.0.2.8225_F1E327BC-269C-435d-A152-05C5408002CA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2022-05-13T11:16:00Z</dcterms:created>
  <dc:creator>金百利-黄元志13051603739</dc:creator>
  <cp:lastModifiedBy>李珠</cp:lastModifiedBy>
  <dcterms:modified xsi:type="dcterms:W3CDTF">2023-09-13T21:16:16Z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67F60CD19F10495A86F10C00885EA995</vt:lpwstr>
  </property>
</Properties>
</file>