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4B0AA" w14:textId="663DB2EC" w:rsidR="00F0377D" w:rsidRDefault="00F0377D" w:rsidP="005226F2">
      <w:pPr>
        <w:jc w:val="both"/>
        <w:rPr>
          <w:rFonts w:ascii="Times New Roman" w:hAnsi="Times New Roman" w:cs="Times New Roman"/>
          <w:b/>
          <w:bCs/>
          <w:sz w:val="24"/>
          <w:szCs w:val="24"/>
        </w:rPr>
      </w:pPr>
      <w:r w:rsidRPr="00EB1367">
        <w:rPr>
          <w:rFonts w:ascii="Times New Roman" w:hAnsi="Times New Roman" w:cs="Times New Roman"/>
          <w:b/>
          <w:bCs/>
          <w:sz w:val="24"/>
          <w:szCs w:val="24"/>
        </w:rPr>
        <w:t>Supplementary Info</w:t>
      </w:r>
    </w:p>
    <w:p w14:paraId="5709BA7A" w14:textId="77777777" w:rsidR="00C56CE7" w:rsidRPr="00C56CE7" w:rsidRDefault="00C56CE7" w:rsidP="00C56CE7">
      <w:pPr>
        <w:spacing w:line="360" w:lineRule="auto"/>
        <w:jc w:val="center"/>
        <w:rPr>
          <w:rFonts w:ascii="Times New Roman" w:hAnsi="Times New Roman" w:cs="Times New Roman"/>
          <w:sz w:val="24"/>
          <w:szCs w:val="24"/>
        </w:rPr>
      </w:pPr>
      <w:r w:rsidRPr="00C56CE7">
        <w:rPr>
          <w:rFonts w:ascii="Times New Roman" w:hAnsi="Times New Roman" w:cs="Times New Roman"/>
          <w:b/>
          <w:sz w:val="28"/>
          <w:szCs w:val="28"/>
        </w:rPr>
        <w:t>Fabrication of Scalable Mesoporous Zincospiroffite (Zn</w:t>
      </w:r>
      <w:r w:rsidRPr="00C56CE7">
        <w:rPr>
          <w:rFonts w:ascii="Times New Roman" w:hAnsi="Times New Roman" w:cs="Times New Roman"/>
          <w:b/>
          <w:sz w:val="28"/>
          <w:szCs w:val="28"/>
          <w:vertAlign w:val="subscript"/>
        </w:rPr>
        <w:t>2</w:t>
      </w:r>
      <w:r w:rsidRPr="00C56CE7">
        <w:rPr>
          <w:rFonts w:ascii="Times New Roman" w:hAnsi="Times New Roman" w:cs="Times New Roman"/>
          <w:b/>
          <w:sz w:val="28"/>
          <w:szCs w:val="28"/>
        </w:rPr>
        <w:t>Te</w:t>
      </w:r>
      <w:r w:rsidRPr="00C56CE7">
        <w:rPr>
          <w:rFonts w:ascii="Times New Roman" w:hAnsi="Times New Roman" w:cs="Times New Roman"/>
          <w:b/>
          <w:sz w:val="28"/>
          <w:szCs w:val="28"/>
          <w:vertAlign w:val="subscript"/>
        </w:rPr>
        <w:t>3</w:t>
      </w:r>
      <w:r w:rsidRPr="00C56CE7">
        <w:rPr>
          <w:rFonts w:ascii="Times New Roman" w:hAnsi="Times New Roman" w:cs="Times New Roman"/>
          <w:b/>
          <w:sz w:val="28"/>
          <w:szCs w:val="28"/>
        </w:rPr>
        <w:t>O</w:t>
      </w:r>
      <w:r w:rsidRPr="00C56CE7">
        <w:rPr>
          <w:rFonts w:ascii="Times New Roman" w:hAnsi="Times New Roman" w:cs="Times New Roman"/>
          <w:b/>
          <w:sz w:val="28"/>
          <w:szCs w:val="28"/>
          <w:vertAlign w:val="subscript"/>
        </w:rPr>
        <w:t>8</w:t>
      </w:r>
      <w:r w:rsidRPr="00C56CE7">
        <w:rPr>
          <w:rFonts w:ascii="Times New Roman" w:hAnsi="Times New Roman" w:cs="Times New Roman"/>
          <w:b/>
          <w:sz w:val="28"/>
          <w:szCs w:val="28"/>
        </w:rPr>
        <w:t>) -RGO Hybrid Electrodes for Low-Cost High-Performance Supercapacitors</w:t>
      </w:r>
    </w:p>
    <w:p w14:paraId="2B43C4F2" w14:textId="77777777" w:rsidR="00C56CE7" w:rsidRPr="00C56CE7" w:rsidRDefault="00C56CE7" w:rsidP="00C56CE7">
      <w:pPr>
        <w:jc w:val="center"/>
        <w:rPr>
          <w:rFonts w:ascii="Times New Roman" w:hAnsi="Times New Roman" w:cs="Times New Roman"/>
          <w:sz w:val="24"/>
          <w:szCs w:val="24"/>
        </w:rPr>
      </w:pPr>
      <w:r w:rsidRPr="00C56CE7">
        <w:rPr>
          <w:rFonts w:ascii="Times New Roman" w:hAnsi="Times New Roman" w:cs="Times New Roman"/>
          <w:sz w:val="24"/>
          <w:szCs w:val="24"/>
        </w:rPr>
        <w:t xml:space="preserve">Aswini </w:t>
      </w:r>
      <w:proofErr w:type="spellStart"/>
      <w:r w:rsidRPr="00C56CE7">
        <w:rPr>
          <w:rFonts w:ascii="Times New Roman" w:hAnsi="Times New Roman" w:cs="Times New Roman"/>
          <w:sz w:val="24"/>
          <w:szCs w:val="24"/>
        </w:rPr>
        <w:t>Ramakrishnan</w:t>
      </w:r>
      <w:r w:rsidRPr="00C56CE7">
        <w:rPr>
          <w:rFonts w:ascii="Times New Roman" w:hAnsi="Times New Roman" w:cs="Times New Roman"/>
          <w:sz w:val="24"/>
          <w:szCs w:val="24"/>
          <w:vertAlign w:val="superscript"/>
        </w:rPr>
        <w:t>a</w:t>
      </w:r>
      <w:proofErr w:type="spellEnd"/>
      <w:r w:rsidRPr="00C56CE7">
        <w:rPr>
          <w:rFonts w:ascii="Times New Roman" w:hAnsi="Times New Roman" w:cs="Times New Roman"/>
          <w:sz w:val="24"/>
          <w:szCs w:val="24"/>
        </w:rPr>
        <w:t xml:space="preserve">, </w:t>
      </w:r>
      <w:proofErr w:type="spellStart"/>
      <w:r w:rsidRPr="00C56CE7">
        <w:rPr>
          <w:rFonts w:ascii="Times New Roman" w:hAnsi="Times New Roman" w:cs="Times New Roman"/>
          <w:sz w:val="24"/>
          <w:szCs w:val="24"/>
        </w:rPr>
        <w:t>Bhabina</w:t>
      </w:r>
      <w:proofErr w:type="spellEnd"/>
      <w:r w:rsidRPr="00C56CE7">
        <w:rPr>
          <w:rFonts w:ascii="Times New Roman" w:hAnsi="Times New Roman" w:cs="Times New Roman"/>
          <w:sz w:val="24"/>
          <w:szCs w:val="24"/>
        </w:rPr>
        <w:t xml:space="preserve"> </w:t>
      </w:r>
      <w:proofErr w:type="spellStart"/>
      <w:r w:rsidRPr="00C56CE7">
        <w:rPr>
          <w:rFonts w:ascii="Times New Roman" w:hAnsi="Times New Roman" w:cs="Times New Roman"/>
          <w:sz w:val="24"/>
          <w:szCs w:val="24"/>
        </w:rPr>
        <w:t>Ninnora</w:t>
      </w:r>
      <w:proofErr w:type="spellEnd"/>
      <w:r w:rsidRPr="00C56CE7">
        <w:rPr>
          <w:rFonts w:ascii="Times New Roman" w:hAnsi="Times New Roman" w:cs="Times New Roman"/>
          <w:sz w:val="24"/>
          <w:szCs w:val="24"/>
        </w:rPr>
        <w:t xml:space="preserve"> </w:t>
      </w:r>
      <w:proofErr w:type="spellStart"/>
      <w:r w:rsidRPr="00C56CE7">
        <w:rPr>
          <w:rFonts w:ascii="Times New Roman" w:hAnsi="Times New Roman" w:cs="Times New Roman"/>
          <w:sz w:val="24"/>
          <w:szCs w:val="24"/>
        </w:rPr>
        <w:t>Meethal</w:t>
      </w:r>
      <w:r w:rsidRPr="00C56CE7">
        <w:rPr>
          <w:rFonts w:ascii="Times New Roman" w:hAnsi="Times New Roman" w:cs="Times New Roman"/>
          <w:sz w:val="24"/>
          <w:szCs w:val="24"/>
          <w:vertAlign w:val="superscript"/>
        </w:rPr>
        <w:t>b</w:t>
      </w:r>
      <w:proofErr w:type="spellEnd"/>
      <w:r w:rsidRPr="00C56CE7">
        <w:rPr>
          <w:rFonts w:ascii="Times New Roman" w:hAnsi="Times New Roman" w:cs="Times New Roman"/>
          <w:sz w:val="24"/>
          <w:szCs w:val="24"/>
        </w:rPr>
        <w:t xml:space="preserve">, </w:t>
      </w:r>
      <w:proofErr w:type="spellStart"/>
      <w:r w:rsidRPr="00C56CE7">
        <w:rPr>
          <w:rFonts w:ascii="Times New Roman" w:hAnsi="Times New Roman" w:cs="Times New Roman"/>
          <w:sz w:val="24"/>
          <w:szCs w:val="24"/>
        </w:rPr>
        <w:t>Shaniba</w:t>
      </w:r>
      <w:proofErr w:type="spellEnd"/>
      <w:r w:rsidRPr="00C56CE7">
        <w:rPr>
          <w:rFonts w:ascii="Times New Roman" w:hAnsi="Times New Roman" w:cs="Times New Roman"/>
          <w:sz w:val="24"/>
          <w:szCs w:val="24"/>
        </w:rPr>
        <w:t xml:space="preserve"> </w:t>
      </w:r>
      <w:proofErr w:type="spellStart"/>
      <w:r w:rsidRPr="00C56CE7">
        <w:rPr>
          <w:rFonts w:ascii="Times New Roman" w:hAnsi="Times New Roman" w:cs="Times New Roman"/>
          <w:sz w:val="24"/>
          <w:szCs w:val="24"/>
        </w:rPr>
        <w:t>Thekkethil</w:t>
      </w:r>
      <w:r w:rsidRPr="00C56CE7">
        <w:rPr>
          <w:rFonts w:ascii="Times New Roman" w:hAnsi="Times New Roman" w:cs="Times New Roman"/>
          <w:sz w:val="24"/>
          <w:szCs w:val="24"/>
          <w:vertAlign w:val="superscript"/>
        </w:rPr>
        <w:t>a</w:t>
      </w:r>
      <w:proofErr w:type="spellEnd"/>
      <w:r w:rsidRPr="00C56CE7">
        <w:rPr>
          <w:rFonts w:ascii="Times New Roman" w:hAnsi="Times New Roman" w:cs="Times New Roman"/>
          <w:sz w:val="24"/>
          <w:szCs w:val="24"/>
        </w:rPr>
        <w:t xml:space="preserve">, Sindhu </w:t>
      </w:r>
      <w:proofErr w:type="spellStart"/>
      <w:r w:rsidRPr="00C56CE7">
        <w:rPr>
          <w:rFonts w:ascii="Times New Roman" w:hAnsi="Times New Roman" w:cs="Times New Roman"/>
          <w:sz w:val="24"/>
          <w:szCs w:val="24"/>
        </w:rPr>
        <w:t>Swaminathan</w:t>
      </w:r>
      <w:r w:rsidRPr="00C56CE7">
        <w:rPr>
          <w:rFonts w:ascii="Times New Roman" w:hAnsi="Times New Roman" w:cs="Times New Roman"/>
          <w:sz w:val="24"/>
          <w:szCs w:val="24"/>
          <w:vertAlign w:val="superscript"/>
        </w:rPr>
        <w:t>a</w:t>
      </w:r>
      <w:proofErr w:type="spellEnd"/>
      <w:r w:rsidRPr="00C56CE7">
        <w:rPr>
          <w:rFonts w:ascii="Times New Roman" w:hAnsi="Times New Roman" w:cs="Times New Roman"/>
          <w:sz w:val="24"/>
          <w:szCs w:val="24"/>
          <w:vertAlign w:val="superscript"/>
        </w:rPr>
        <w:t>*</w:t>
      </w:r>
      <w:r w:rsidRPr="00C56CE7">
        <w:rPr>
          <w:rFonts w:ascii="Times New Roman" w:hAnsi="Times New Roman" w:cs="Times New Roman"/>
          <w:sz w:val="24"/>
          <w:szCs w:val="24"/>
        </w:rPr>
        <w:t xml:space="preserve"> </w:t>
      </w:r>
    </w:p>
    <w:p w14:paraId="61E73D98" w14:textId="77777777" w:rsidR="00C56CE7" w:rsidRPr="00C56CE7" w:rsidRDefault="00C56CE7" w:rsidP="00C56CE7">
      <w:pPr>
        <w:pStyle w:val="Normal1"/>
        <w:spacing w:after="0" w:line="360" w:lineRule="auto"/>
        <w:jc w:val="center"/>
        <w:rPr>
          <w:rFonts w:ascii="Times New Roman" w:eastAsia="Times New Roman" w:hAnsi="Times New Roman" w:cs="Times New Roman"/>
          <w:sz w:val="24"/>
          <w:szCs w:val="24"/>
        </w:rPr>
      </w:pPr>
      <w:proofErr w:type="spellStart"/>
      <w:r w:rsidRPr="00C56CE7">
        <w:rPr>
          <w:rFonts w:ascii="Times New Roman" w:eastAsia="Times New Roman" w:hAnsi="Times New Roman" w:cs="Times New Roman"/>
          <w:sz w:val="24"/>
          <w:szCs w:val="24"/>
          <w:vertAlign w:val="superscript"/>
        </w:rPr>
        <w:t>a</w:t>
      </w:r>
      <w:r w:rsidRPr="00C56CE7">
        <w:rPr>
          <w:rFonts w:ascii="Times New Roman" w:eastAsia="Times New Roman" w:hAnsi="Times New Roman" w:cs="Times New Roman"/>
          <w:sz w:val="24"/>
          <w:szCs w:val="24"/>
        </w:rPr>
        <w:t>Department</w:t>
      </w:r>
      <w:proofErr w:type="spellEnd"/>
      <w:r w:rsidRPr="00C56CE7">
        <w:rPr>
          <w:rFonts w:ascii="Times New Roman" w:eastAsia="Times New Roman" w:hAnsi="Times New Roman" w:cs="Times New Roman"/>
          <w:sz w:val="24"/>
          <w:szCs w:val="24"/>
        </w:rPr>
        <w:t xml:space="preserve"> of Nanoscience and Technology, University of Calicut, Kerala 673635, India</w:t>
      </w:r>
    </w:p>
    <w:p w14:paraId="7F32ED92" w14:textId="77777777" w:rsidR="00C56CE7" w:rsidRPr="00C56CE7" w:rsidRDefault="00C56CE7" w:rsidP="00C56CE7">
      <w:pPr>
        <w:ind w:firstLine="720"/>
        <w:rPr>
          <w:rFonts w:ascii="Times New Roman" w:hAnsi="Times New Roman" w:cs="Times New Roman"/>
          <w:sz w:val="24"/>
          <w:szCs w:val="24"/>
        </w:rPr>
      </w:pPr>
      <w:proofErr w:type="spellStart"/>
      <w:r w:rsidRPr="00C56CE7">
        <w:rPr>
          <w:rFonts w:ascii="Times New Roman" w:hAnsi="Times New Roman" w:cs="Times New Roman"/>
          <w:sz w:val="24"/>
          <w:szCs w:val="24"/>
          <w:vertAlign w:val="superscript"/>
        </w:rPr>
        <w:t>b</w:t>
      </w:r>
      <w:r w:rsidRPr="00C56CE7">
        <w:rPr>
          <w:rFonts w:ascii="Times New Roman" w:hAnsi="Times New Roman" w:cs="Times New Roman"/>
          <w:sz w:val="24"/>
          <w:szCs w:val="24"/>
        </w:rPr>
        <w:t>R.</w:t>
      </w:r>
      <w:proofErr w:type="spellEnd"/>
      <w:r w:rsidRPr="00C56CE7">
        <w:rPr>
          <w:rFonts w:ascii="Times New Roman" w:hAnsi="Times New Roman" w:cs="Times New Roman"/>
          <w:sz w:val="24"/>
          <w:szCs w:val="24"/>
        </w:rPr>
        <w:t xml:space="preserve"> S. M. SNDP Yogam College, </w:t>
      </w:r>
      <w:proofErr w:type="spellStart"/>
      <w:r w:rsidRPr="00C56CE7">
        <w:rPr>
          <w:rFonts w:ascii="Times New Roman" w:hAnsi="Times New Roman" w:cs="Times New Roman"/>
          <w:sz w:val="24"/>
          <w:szCs w:val="24"/>
        </w:rPr>
        <w:t>Koyilandi</w:t>
      </w:r>
      <w:proofErr w:type="spellEnd"/>
      <w:r w:rsidRPr="00C56CE7">
        <w:rPr>
          <w:rFonts w:ascii="Times New Roman" w:hAnsi="Times New Roman" w:cs="Times New Roman"/>
          <w:sz w:val="24"/>
          <w:szCs w:val="24"/>
        </w:rPr>
        <w:t>, Kozhikode, Kerala 673305, India</w:t>
      </w:r>
    </w:p>
    <w:p w14:paraId="5FD0F5D2" w14:textId="77777777" w:rsidR="00C56CE7" w:rsidRPr="00C56CE7" w:rsidRDefault="00C56CE7" w:rsidP="00C56CE7">
      <w:pPr>
        <w:jc w:val="center"/>
        <w:rPr>
          <w:rFonts w:ascii="Times New Roman" w:hAnsi="Times New Roman" w:cs="Times New Roman"/>
          <w:bCs/>
          <w:sz w:val="24"/>
          <w:szCs w:val="24"/>
        </w:rPr>
      </w:pPr>
      <w:r w:rsidRPr="00C56CE7">
        <w:rPr>
          <w:rFonts w:ascii="Times New Roman" w:hAnsi="Times New Roman" w:cs="Times New Roman"/>
          <w:bCs/>
          <w:sz w:val="24"/>
          <w:szCs w:val="24"/>
          <w:vertAlign w:val="superscript"/>
        </w:rPr>
        <w:t>*</w:t>
      </w:r>
      <w:r w:rsidRPr="00C56CE7">
        <w:rPr>
          <w:rFonts w:ascii="Times New Roman" w:hAnsi="Times New Roman" w:cs="Times New Roman"/>
          <w:bCs/>
          <w:sz w:val="24"/>
          <w:szCs w:val="24"/>
        </w:rPr>
        <w:t xml:space="preserve">Corresponding author: </w:t>
      </w:r>
      <w:hyperlink r:id="rId6" w:history="1">
        <w:r w:rsidRPr="00C56CE7">
          <w:rPr>
            <w:rStyle w:val="Hyperlink"/>
            <w:rFonts w:ascii="Times New Roman" w:hAnsi="Times New Roman" w:cs="Times New Roman"/>
            <w:bCs/>
            <w:sz w:val="24"/>
            <w:szCs w:val="24"/>
          </w:rPr>
          <w:t>sindhus@uoc.ac.in</w:t>
        </w:r>
      </w:hyperlink>
      <w:r w:rsidRPr="00C56CE7">
        <w:rPr>
          <w:rFonts w:ascii="Times New Roman" w:hAnsi="Times New Roman" w:cs="Times New Roman"/>
          <w:bCs/>
          <w:sz w:val="24"/>
          <w:szCs w:val="24"/>
        </w:rPr>
        <w:t xml:space="preserve"> </w:t>
      </w:r>
    </w:p>
    <w:p w14:paraId="3CC119DB" w14:textId="77777777" w:rsidR="00C56CE7" w:rsidRPr="00C56CE7" w:rsidRDefault="00C56CE7" w:rsidP="005226F2">
      <w:pPr>
        <w:jc w:val="both"/>
        <w:rPr>
          <w:rFonts w:ascii="Times New Roman" w:hAnsi="Times New Roman" w:cs="Times New Roman"/>
          <w:b/>
          <w:bCs/>
          <w:sz w:val="24"/>
          <w:szCs w:val="24"/>
        </w:rPr>
      </w:pPr>
    </w:p>
    <w:p w14:paraId="7EC278EC" w14:textId="201CB3A6" w:rsidR="00FD6149" w:rsidRPr="005226F2" w:rsidRDefault="00FD6149" w:rsidP="005226F2">
      <w:pPr>
        <w:jc w:val="both"/>
        <w:rPr>
          <w:rFonts w:ascii="Times New Roman" w:hAnsi="Times New Roman" w:cs="Times New Roman"/>
          <w:sz w:val="24"/>
          <w:szCs w:val="24"/>
        </w:rPr>
      </w:pPr>
      <w:r w:rsidRPr="005226F2">
        <w:rPr>
          <w:rFonts w:ascii="Times New Roman" w:hAnsi="Times New Roman" w:cs="Times New Roman"/>
          <w:sz w:val="24"/>
          <w:szCs w:val="24"/>
        </w:rPr>
        <w:t>FTIR spectrum</w:t>
      </w:r>
    </w:p>
    <w:p w14:paraId="069E8A28" w14:textId="4ABECEAC" w:rsidR="00FD6149" w:rsidRDefault="00795E64" w:rsidP="005226F2">
      <w:pPr>
        <w:pStyle w:val="Default"/>
        <w:spacing w:line="360" w:lineRule="auto"/>
        <w:jc w:val="both"/>
        <w:rPr>
          <w:sz w:val="23"/>
          <w:szCs w:val="23"/>
        </w:rPr>
      </w:pPr>
      <w:r>
        <w:t>From Fig S1. t</w:t>
      </w:r>
      <w:r w:rsidR="005226F2">
        <w:t>he stretching modes of O-H bonds are responsible for the broad peak at 3437 cm</w:t>
      </w:r>
      <w:r w:rsidR="005226F2" w:rsidRPr="00F0377D">
        <w:rPr>
          <w:vertAlign w:val="superscript"/>
        </w:rPr>
        <w:t>-1</w:t>
      </w:r>
      <w:r w:rsidR="005226F2">
        <w:t>. It is not practical to remove all of the water content from the surface of graphene oxide. This is a component of the graphene oxide structure and is derived from tertiary alcohols. The hydroxyl group is responsible for it. This is because graphene oxide is hydrophilic. It is also derived from the water molecule that is associated with the graphene oxide platform. The peaks at 2929</w:t>
      </w:r>
      <w:r w:rsidR="00D5275C">
        <w:t xml:space="preserve"> cm</w:t>
      </w:r>
      <w:r w:rsidR="00D5275C" w:rsidRPr="00F0377D">
        <w:rPr>
          <w:vertAlign w:val="superscript"/>
        </w:rPr>
        <w:t>-1</w:t>
      </w:r>
      <w:r w:rsidR="00D5275C">
        <w:t xml:space="preserve"> </w:t>
      </w:r>
      <w:r w:rsidR="005226F2">
        <w:t>and 2847 cm</w:t>
      </w:r>
      <w:r w:rsidR="005226F2" w:rsidRPr="00F0377D">
        <w:rPr>
          <w:vertAlign w:val="superscript"/>
        </w:rPr>
        <w:t>-1</w:t>
      </w:r>
      <w:r w:rsidR="005226F2">
        <w:t xml:space="preserve"> correspond to symmetric and anti-symmetric CH</w:t>
      </w:r>
      <w:r w:rsidR="005226F2" w:rsidRPr="00F0377D">
        <w:rPr>
          <w:vertAlign w:val="subscript"/>
        </w:rPr>
        <w:t>2</w:t>
      </w:r>
      <w:r w:rsidR="005226F2">
        <w:t xml:space="preserve"> vibrations, respectively. Graphene oxide is represented by the peaks at 1720 </w:t>
      </w:r>
      <w:r w:rsidR="00F0377D" w:rsidRPr="00F0377D">
        <w:t>cm</w:t>
      </w:r>
      <w:r w:rsidR="00F0377D" w:rsidRPr="00F0377D">
        <w:rPr>
          <w:vertAlign w:val="superscript"/>
        </w:rPr>
        <w:t>-1</w:t>
      </w:r>
      <w:r w:rsidR="00F0377D" w:rsidRPr="00F0377D">
        <w:t xml:space="preserve"> </w:t>
      </w:r>
      <w:r w:rsidR="005226F2" w:rsidRPr="00F0377D">
        <w:t xml:space="preserve">and 1625 </w:t>
      </w:r>
      <w:r w:rsidR="00F0377D">
        <w:t>cm</w:t>
      </w:r>
      <w:r w:rsidR="00F0377D" w:rsidRPr="00F0377D">
        <w:rPr>
          <w:vertAlign w:val="superscript"/>
        </w:rPr>
        <w:t>-1</w:t>
      </w:r>
      <w:r w:rsidR="005226F2" w:rsidRPr="00F0377D">
        <w:t>. They correspond to carboxylic and carbonyl moieties C=O stretching vibrations. There are no</w:t>
      </w:r>
      <w:r w:rsidR="005226F2">
        <w:t xml:space="preserve"> other bands nearby that are clearly visible. The correct position of the first peak ranges from 1719 cm</w:t>
      </w:r>
      <w:r w:rsidR="005226F2" w:rsidRPr="00D5275C">
        <w:rPr>
          <w:vertAlign w:val="superscript"/>
        </w:rPr>
        <w:t>-1</w:t>
      </w:r>
      <w:r w:rsidR="005226F2">
        <w:t xml:space="preserve"> to 1734 cm</w:t>
      </w:r>
      <w:r w:rsidR="005226F2" w:rsidRPr="00F0377D">
        <w:rPr>
          <w:vertAlign w:val="superscript"/>
        </w:rPr>
        <w:t>-1</w:t>
      </w:r>
      <w:r w:rsidR="005226F2">
        <w:t xml:space="preserve">, while the second ranges from 1615 </w:t>
      </w:r>
      <w:r w:rsidR="00F0377D">
        <w:t>cm</w:t>
      </w:r>
      <w:r w:rsidR="00F0377D" w:rsidRPr="00F0377D">
        <w:rPr>
          <w:vertAlign w:val="superscript"/>
        </w:rPr>
        <w:t>-1</w:t>
      </w:r>
      <w:r w:rsidR="00F0377D">
        <w:t xml:space="preserve"> </w:t>
      </w:r>
      <w:r w:rsidR="005226F2">
        <w:t xml:space="preserve">to 1626 </w:t>
      </w:r>
      <w:r w:rsidR="00F0377D">
        <w:t>cm</w:t>
      </w:r>
      <w:r w:rsidR="00F0377D" w:rsidRPr="00F0377D">
        <w:rPr>
          <w:vertAlign w:val="superscript"/>
        </w:rPr>
        <w:t>-1</w:t>
      </w:r>
      <w:r w:rsidR="005226F2">
        <w:t>. The bending vibrations of C-OH functional groups cause the peak at 1394 cm</w:t>
      </w:r>
      <w:r w:rsidR="005226F2" w:rsidRPr="00F0377D">
        <w:rPr>
          <w:vertAlign w:val="superscript"/>
        </w:rPr>
        <w:t>-1</w:t>
      </w:r>
      <w:r w:rsidR="005226F2">
        <w:t>. The two-absorption peak at 1262 cm</w:t>
      </w:r>
      <w:r w:rsidR="005226F2" w:rsidRPr="00F0377D">
        <w:rPr>
          <w:vertAlign w:val="superscript"/>
        </w:rPr>
        <w:t>-1</w:t>
      </w:r>
      <w:r w:rsidR="005226F2">
        <w:t xml:space="preserve"> corresponds to epoxy rings, while the C-O stretching vibrations peak at 1034 cm</w:t>
      </w:r>
      <w:r w:rsidR="005226F2" w:rsidRPr="00F0377D">
        <w:rPr>
          <w:vertAlign w:val="superscript"/>
        </w:rPr>
        <w:t>-1</w:t>
      </w:r>
      <w:r w:rsidR="005226F2">
        <w:t xml:space="preserve"> corresponds to C-O stretching vibrations. </w:t>
      </w:r>
    </w:p>
    <w:p w14:paraId="4313A37C" w14:textId="3670B7F0" w:rsidR="003B649F" w:rsidRDefault="003B649F" w:rsidP="003B649F">
      <w:pPr>
        <w:pStyle w:val="Default"/>
        <w:spacing w:line="360" w:lineRule="auto"/>
        <w:jc w:val="center"/>
        <w:rPr>
          <w:sz w:val="23"/>
          <w:szCs w:val="23"/>
        </w:rPr>
      </w:pPr>
      <w:r>
        <w:rPr>
          <w:noProof/>
          <w:sz w:val="23"/>
          <w:szCs w:val="23"/>
        </w:rPr>
        <w:lastRenderedPageBreak/>
        <w:drawing>
          <wp:inline distT="0" distB="0" distL="0" distR="0" wp14:anchorId="646E0550" wp14:editId="2FA56694">
            <wp:extent cx="3447415" cy="3143232"/>
            <wp:effectExtent l="0" t="0" r="63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469773" cy="3163617"/>
                    </a:xfrm>
                    <a:prstGeom prst="rect">
                      <a:avLst/>
                    </a:prstGeom>
                  </pic:spPr>
                </pic:pic>
              </a:graphicData>
            </a:graphic>
          </wp:inline>
        </w:drawing>
      </w:r>
    </w:p>
    <w:p w14:paraId="0C7217B0" w14:textId="2C370ECA" w:rsidR="00795E64" w:rsidRDefault="00795E64" w:rsidP="003B649F">
      <w:pPr>
        <w:pStyle w:val="Default"/>
        <w:spacing w:line="360" w:lineRule="auto"/>
        <w:jc w:val="center"/>
        <w:rPr>
          <w:sz w:val="23"/>
          <w:szCs w:val="23"/>
        </w:rPr>
      </w:pPr>
      <w:r>
        <w:rPr>
          <w:sz w:val="23"/>
          <w:szCs w:val="23"/>
        </w:rPr>
        <w:t>Figure S1. FTIR analysis of the graphene oxide</w:t>
      </w:r>
    </w:p>
    <w:p w14:paraId="1D4D4A15" w14:textId="261051D2" w:rsidR="003B649F" w:rsidRDefault="003B649F" w:rsidP="003B649F">
      <w:pPr>
        <w:pStyle w:val="Default"/>
        <w:spacing w:line="360" w:lineRule="auto"/>
        <w:jc w:val="center"/>
        <w:rPr>
          <w:sz w:val="23"/>
          <w:szCs w:val="23"/>
        </w:rPr>
      </w:pPr>
    </w:p>
    <w:p w14:paraId="5B1FAFFE" w14:textId="5A814FA2" w:rsidR="003B649F" w:rsidRDefault="003B649F" w:rsidP="003B649F">
      <w:pPr>
        <w:pStyle w:val="Default"/>
        <w:spacing w:line="360" w:lineRule="auto"/>
        <w:rPr>
          <w:sz w:val="23"/>
          <w:szCs w:val="23"/>
        </w:rPr>
      </w:pPr>
      <w:r>
        <w:rPr>
          <w:sz w:val="23"/>
          <w:szCs w:val="23"/>
        </w:rPr>
        <w:t>XRD analysis</w:t>
      </w:r>
    </w:p>
    <w:p w14:paraId="2DD8EC0B" w14:textId="51334CEA" w:rsidR="003B649F" w:rsidRPr="005226F2" w:rsidRDefault="005226F2" w:rsidP="00901C5C">
      <w:pPr>
        <w:pStyle w:val="Default"/>
        <w:spacing w:line="360" w:lineRule="auto"/>
        <w:jc w:val="both"/>
      </w:pPr>
      <w:r>
        <w:t>A strong peak can be seen at 2</w:t>
      </w:r>
      <w:r w:rsidR="00F0377D">
        <w:rPr>
          <w:rFonts w:ascii="Symbol" w:hAnsi="Symbol"/>
        </w:rPr>
        <w:t>q</w:t>
      </w:r>
      <w:r w:rsidR="001C0927">
        <w:rPr>
          <w:rFonts w:ascii="Symbol" w:hAnsi="Symbol"/>
        </w:rPr>
        <w:t xml:space="preserve"> </w:t>
      </w:r>
      <w:r>
        <w:t>=10.89</w:t>
      </w:r>
      <w:r w:rsidR="00F0377D">
        <w:rPr>
          <w:vertAlign w:val="superscript"/>
        </w:rPr>
        <w:t>o</w:t>
      </w:r>
      <w:r>
        <w:t xml:space="preserve"> with a stacking in the (0 0 2) direction</w:t>
      </w:r>
      <w:r w:rsidR="00795E64">
        <w:t xml:space="preserve"> seen in fig S2</w:t>
      </w:r>
      <w:r w:rsidR="006A605D">
        <w:t>a</w:t>
      </w:r>
      <w:r>
        <w:t>. This is the graphene oxide diffraction peak. The interlayer spacing, or d spacing, is 0.816 nm. The presence of oxygen-containing functional groups causes the larger d spacing. This diffraction peak changes with changes in interlayer spacing depending on the concentration of KMnO</w:t>
      </w:r>
      <w:r w:rsidRPr="00D5275C">
        <w:rPr>
          <w:vertAlign w:val="subscript"/>
        </w:rPr>
        <w:t>4</w:t>
      </w:r>
      <w:r>
        <w:t xml:space="preserve">. The extent of oxidation and the number of water molecules intercalated into the interlayer spacing determine the d spacing of graphene oxide in the 0.6 nm to 1.0 nm range. The crystalline size, D, was calculated using Scherrer's equation and was found to be 5.1 nm. The graphene oxide XRD results show that the graphite powder has been successfully oxidised. </w:t>
      </w:r>
      <w:r w:rsidR="006A605D">
        <w:t xml:space="preserve"> </w:t>
      </w:r>
      <w:r w:rsidR="006A605D" w:rsidRPr="00157461">
        <w:t xml:space="preserve">The variation of graphene oxide during synthesis made ZTR1 and ZTR4. </w:t>
      </w:r>
      <w:r w:rsidR="00B447F6" w:rsidRPr="00157461">
        <w:t>T</w:t>
      </w:r>
      <w:r w:rsidR="006A605D" w:rsidRPr="00157461">
        <w:t xml:space="preserve">he XRD pattern given in Fig S2b </w:t>
      </w:r>
      <w:r w:rsidR="00886E8B" w:rsidRPr="00157461">
        <w:t>and is matching with JCPDS data.</w:t>
      </w:r>
    </w:p>
    <w:p w14:paraId="64BC1FC3" w14:textId="201B5575" w:rsidR="007B6271" w:rsidRDefault="007B6271" w:rsidP="007B6271"/>
    <w:p w14:paraId="739B7223" w14:textId="1F2EFFFD" w:rsidR="007B6271" w:rsidRDefault="00E63BCB" w:rsidP="007B6271">
      <w:pPr>
        <w:jc w:val="center"/>
      </w:pPr>
      <w:r>
        <w:rPr>
          <w:noProof/>
        </w:rPr>
        <w:lastRenderedPageBreak/>
        <w:drawing>
          <wp:inline distT="0" distB="0" distL="0" distR="0" wp14:anchorId="4124C40D" wp14:editId="7EB5CAB8">
            <wp:extent cx="3533775" cy="3886200"/>
            <wp:effectExtent l="0" t="0" r="0" b="0"/>
            <wp:docPr id="11515041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3775" cy="3886200"/>
                    </a:xfrm>
                    <a:prstGeom prst="rect">
                      <a:avLst/>
                    </a:prstGeom>
                    <a:noFill/>
                    <a:ln>
                      <a:noFill/>
                    </a:ln>
                  </pic:spPr>
                </pic:pic>
              </a:graphicData>
            </a:graphic>
          </wp:inline>
        </w:drawing>
      </w:r>
    </w:p>
    <w:p w14:paraId="380241BF" w14:textId="081D13F7" w:rsidR="007B6271" w:rsidRDefault="00795E64" w:rsidP="007B6271">
      <w:pPr>
        <w:jc w:val="center"/>
        <w:rPr>
          <w:rFonts w:ascii="Times New Roman" w:hAnsi="Times New Roman" w:cs="Times New Roman"/>
          <w:sz w:val="24"/>
          <w:szCs w:val="24"/>
        </w:rPr>
      </w:pPr>
      <w:r w:rsidRPr="00795E64">
        <w:rPr>
          <w:rFonts w:ascii="Times New Roman" w:hAnsi="Times New Roman" w:cs="Times New Roman"/>
          <w:sz w:val="24"/>
          <w:szCs w:val="24"/>
        </w:rPr>
        <w:t>Figure S2</w:t>
      </w:r>
      <w:r>
        <w:rPr>
          <w:rFonts w:ascii="Times New Roman" w:hAnsi="Times New Roman" w:cs="Times New Roman"/>
          <w:sz w:val="24"/>
          <w:szCs w:val="24"/>
        </w:rPr>
        <w:t>. XRD pattern of the</w:t>
      </w:r>
      <w:r w:rsidR="00E63BCB">
        <w:rPr>
          <w:rFonts w:ascii="Times New Roman" w:hAnsi="Times New Roman" w:cs="Times New Roman"/>
          <w:sz w:val="24"/>
          <w:szCs w:val="24"/>
        </w:rPr>
        <w:t xml:space="preserve"> (a)</w:t>
      </w:r>
      <w:r>
        <w:rPr>
          <w:rFonts w:ascii="Times New Roman" w:hAnsi="Times New Roman" w:cs="Times New Roman"/>
          <w:sz w:val="24"/>
          <w:szCs w:val="24"/>
        </w:rPr>
        <w:t xml:space="preserve"> graphene oxide</w:t>
      </w:r>
      <w:r w:rsidR="00E63BCB">
        <w:rPr>
          <w:rFonts w:ascii="Times New Roman" w:hAnsi="Times New Roman" w:cs="Times New Roman"/>
          <w:sz w:val="24"/>
          <w:szCs w:val="24"/>
        </w:rPr>
        <w:t xml:space="preserve"> </w:t>
      </w:r>
      <w:r w:rsidR="00E63BCB" w:rsidRPr="00157461">
        <w:rPr>
          <w:rFonts w:ascii="Times New Roman" w:hAnsi="Times New Roman" w:cs="Times New Roman"/>
          <w:sz w:val="24"/>
          <w:szCs w:val="24"/>
        </w:rPr>
        <w:t>and (b) ZTR 1 and ZTR4</w:t>
      </w:r>
    </w:p>
    <w:p w14:paraId="4D919FA9" w14:textId="77777777" w:rsidR="007877F8" w:rsidRPr="00795E64" w:rsidRDefault="007877F8" w:rsidP="007B6271">
      <w:pPr>
        <w:jc w:val="center"/>
        <w:rPr>
          <w:rFonts w:ascii="Times New Roman" w:hAnsi="Times New Roman" w:cs="Times New Roman"/>
          <w:sz w:val="24"/>
          <w:szCs w:val="24"/>
        </w:rPr>
      </w:pPr>
    </w:p>
    <w:p w14:paraId="0DAB8007" w14:textId="6691228E" w:rsidR="007B6271" w:rsidRPr="005226F2" w:rsidRDefault="007B6271" w:rsidP="007B6271">
      <w:pPr>
        <w:rPr>
          <w:rFonts w:ascii="Times New Roman" w:hAnsi="Times New Roman" w:cs="Times New Roman"/>
          <w:sz w:val="24"/>
          <w:szCs w:val="24"/>
        </w:rPr>
      </w:pPr>
      <w:r w:rsidRPr="005226F2">
        <w:rPr>
          <w:rFonts w:ascii="Times New Roman" w:hAnsi="Times New Roman" w:cs="Times New Roman"/>
          <w:sz w:val="24"/>
          <w:szCs w:val="24"/>
        </w:rPr>
        <w:t>Raman analysis</w:t>
      </w:r>
    </w:p>
    <w:p w14:paraId="68E79726" w14:textId="7AD266F2" w:rsidR="007B6271" w:rsidRPr="001C0927" w:rsidRDefault="00F0377D" w:rsidP="005226F2">
      <w:pPr>
        <w:spacing w:line="360" w:lineRule="auto"/>
        <w:jc w:val="both"/>
        <w:rPr>
          <w:rFonts w:ascii="Times New Roman" w:hAnsi="Times New Roman" w:cs="Times New Roman"/>
          <w:sz w:val="24"/>
          <w:szCs w:val="24"/>
        </w:rPr>
      </w:pPr>
      <w:r>
        <w:rPr>
          <w:rFonts w:ascii="Times New Roman" w:hAnsi="Times New Roman" w:cs="Times New Roman"/>
          <w:sz w:val="24"/>
          <w:szCs w:val="24"/>
        </w:rPr>
        <w:t>The Raman spectrum reveals two distinct peaks: D-defects and G-graphite. The D band at 1347 cm</w:t>
      </w:r>
      <w:r w:rsidRPr="00EB1367">
        <w:rPr>
          <w:rFonts w:ascii="Times New Roman" w:hAnsi="Times New Roman" w:cs="Times New Roman"/>
          <w:sz w:val="24"/>
          <w:szCs w:val="24"/>
          <w:vertAlign w:val="superscript"/>
        </w:rPr>
        <w:t>-1</w:t>
      </w:r>
      <w:r>
        <w:rPr>
          <w:rFonts w:ascii="Times New Roman" w:hAnsi="Times New Roman" w:cs="Times New Roman"/>
          <w:sz w:val="24"/>
          <w:szCs w:val="24"/>
        </w:rPr>
        <w:t xml:space="preserve"> indicates that the size of the in-plane </w:t>
      </w:r>
      <w:r w:rsidRPr="00416AF0">
        <w:rPr>
          <w:rFonts w:ascii="Times New Roman" w:hAnsi="Times New Roman" w:cs="Times New Roman"/>
          <w:sz w:val="24"/>
          <w:szCs w:val="24"/>
        </w:rPr>
        <w:t>sp</w:t>
      </w:r>
      <w:r w:rsidRPr="00416AF0">
        <w:rPr>
          <w:rFonts w:ascii="Times New Roman" w:hAnsi="Times New Roman" w:cs="Times New Roman"/>
          <w:sz w:val="24"/>
          <w:szCs w:val="24"/>
          <w:vertAlign w:val="superscript"/>
        </w:rPr>
        <w:t>2</w:t>
      </w:r>
      <w:r>
        <w:rPr>
          <w:rFonts w:ascii="Times New Roman" w:hAnsi="Times New Roman" w:cs="Times New Roman"/>
          <w:sz w:val="24"/>
          <w:szCs w:val="24"/>
        </w:rPr>
        <w:t xml:space="preserve"> domains is reduced during oxidation. The intensity of the D peak indicates the degree of disorder, which is the defect in its structure. This band was created as a result of the breathing mode of a six-membered ring. The G band at 1599 cm</w:t>
      </w:r>
      <w:r w:rsidRPr="00EB1367">
        <w:rPr>
          <w:rFonts w:ascii="Times New Roman" w:hAnsi="Times New Roman" w:cs="Times New Roman"/>
          <w:sz w:val="24"/>
          <w:szCs w:val="24"/>
          <w:vertAlign w:val="superscript"/>
        </w:rPr>
        <w:t>-1</w:t>
      </w:r>
      <w:r>
        <w:rPr>
          <w:rFonts w:ascii="Times New Roman" w:hAnsi="Times New Roman" w:cs="Times New Roman"/>
          <w:sz w:val="24"/>
          <w:szCs w:val="24"/>
        </w:rPr>
        <w:t xml:space="preserve"> corresponds to graphene oxide in phase vibration. The obtained I</w:t>
      </w:r>
      <w:r w:rsidRPr="00EB1367">
        <w:rPr>
          <w:rFonts w:ascii="Times New Roman" w:hAnsi="Times New Roman" w:cs="Times New Roman"/>
          <w:sz w:val="24"/>
          <w:szCs w:val="24"/>
          <w:vertAlign w:val="subscript"/>
        </w:rPr>
        <w:t>D</w:t>
      </w:r>
      <w:r>
        <w:rPr>
          <w:rFonts w:ascii="Times New Roman" w:hAnsi="Times New Roman" w:cs="Times New Roman"/>
          <w:sz w:val="24"/>
          <w:szCs w:val="24"/>
        </w:rPr>
        <w:t>/I</w:t>
      </w:r>
      <w:r w:rsidRPr="00EB1367">
        <w:rPr>
          <w:rFonts w:ascii="Times New Roman" w:hAnsi="Times New Roman" w:cs="Times New Roman"/>
          <w:sz w:val="24"/>
          <w:szCs w:val="24"/>
          <w:vertAlign w:val="subscript"/>
        </w:rPr>
        <w:t>G</w:t>
      </w:r>
      <w:r>
        <w:rPr>
          <w:rFonts w:ascii="Times New Roman" w:hAnsi="Times New Roman" w:cs="Times New Roman"/>
          <w:sz w:val="24"/>
          <w:szCs w:val="24"/>
        </w:rPr>
        <w:t xml:space="preserve"> ratio is 0.47</w:t>
      </w:r>
      <w:r w:rsidR="00795E64">
        <w:rPr>
          <w:rFonts w:ascii="Times New Roman" w:hAnsi="Times New Roman" w:cs="Times New Roman"/>
          <w:sz w:val="24"/>
          <w:szCs w:val="24"/>
        </w:rPr>
        <w:t xml:space="preserve"> shown in fig S3</w:t>
      </w:r>
      <w:r w:rsidR="003B2D9E">
        <w:rPr>
          <w:rFonts w:ascii="Times New Roman" w:hAnsi="Times New Roman" w:cs="Times New Roman"/>
          <w:sz w:val="24"/>
          <w:szCs w:val="24"/>
        </w:rPr>
        <w:t>a</w:t>
      </w:r>
      <w:r>
        <w:rPr>
          <w:rFonts w:ascii="Times New Roman" w:hAnsi="Times New Roman" w:cs="Times New Roman"/>
          <w:sz w:val="24"/>
          <w:szCs w:val="24"/>
        </w:rPr>
        <w:t>. The lower the I</w:t>
      </w:r>
      <w:r w:rsidRPr="00EB1367">
        <w:rPr>
          <w:rFonts w:ascii="Times New Roman" w:hAnsi="Times New Roman" w:cs="Times New Roman"/>
          <w:sz w:val="24"/>
          <w:szCs w:val="24"/>
          <w:vertAlign w:val="subscript"/>
        </w:rPr>
        <w:t>D</w:t>
      </w:r>
      <w:r>
        <w:rPr>
          <w:rFonts w:ascii="Times New Roman" w:hAnsi="Times New Roman" w:cs="Times New Roman"/>
          <w:sz w:val="24"/>
          <w:szCs w:val="24"/>
        </w:rPr>
        <w:t>/I</w:t>
      </w:r>
      <w:r w:rsidRPr="00EB1367">
        <w:rPr>
          <w:rFonts w:ascii="Times New Roman" w:hAnsi="Times New Roman" w:cs="Times New Roman"/>
          <w:sz w:val="24"/>
          <w:szCs w:val="24"/>
          <w:vertAlign w:val="subscript"/>
        </w:rPr>
        <w:t>G</w:t>
      </w:r>
      <w:r>
        <w:rPr>
          <w:rFonts w:ascii="Times New Roman" w:hAnsi="Times New Roman" w:cs="Times New Roman"/>
          <w:sz w:val="24"/>
          <w:szCs w:val="24"/>
        </w:rPr>
        <w:t xml:space="preserve"> value, the higher the level of oxidation. </w:t>
      </w:r>
      <w:r w:rsidR="001C0927" w:rsidRPr="00157461">
        <w:rPr>
          <w:rFonts w:ascii="Times New Roman" w:hAnsi="Times New Roman" w:cs="Times New Roman"/>
          <w:sz w:val="24"/>
          <w:szCs w:val="24"/>
        </w:rPr>
        <w:t>The variation in I</w:t>
      </w:r>
      <w:r w:rsidR="001C0927" w:rsidRPr="00157461">
        <w:rPr>
          <w:rFonts w:ascii="Times New Roman" w:hAnsi="Times New Roman" w:cs="Times New Roman"/>
          <w:sz w:val="24"/>
          <w:szCs w:val="24"/>
          <w:vertAlign w:val="subscript"/>
        </w:rPr>
        <w:t>D</w:t>
      </w:r>
      <w:r w:rsidR="001C0927" w:rsidRPr="00157461">
        <w:rPr>
          <w:rFonts w:ascii="Times New Roman" w:hAnsi="Times New Roman" w:cs="Times New Roman"/>
          <w:sz w:val="24"/>
          <w:szCs w:val="24"/>
        </w:rPr>
        <w:t>/I</w:t>
      </w:r>
      <w:r w:rsidR="001C0927" w:rsidRPr="00157461">
        <w:rPr>
          <w:rFonts w:ascii="Times New Roman" w:hAnsi="Times New Roman" w:cs="Times New Roman"/>
          <w:sz w:val="24"/>
          <w:szCs w:val="24"/>
          <w:vertAlign w:val="subscript"/>
        </w:rPr>
        <w:t>G</w:t>
      </w:r>
      <w:r w:rsidR="001C0927" w:rsidRPr="00157461">
        <w:rPr>
          <w:rFonts w:ascii="Times New Roman" w:hAnsi="Times New Roman" w:cs="Times New Roman"/>
          <w:sz w:val="24"/>
          <w:szCs w:val="24"/>
        </w:rPr>
        <w:t xml:space="preserve"> is seen at changing the volume of graphene oxide during the synthesis in </w:t>
      </w:r>
      <w:r w:rsidR="003B2D9E" w:rsidRPr="00157461">
        <w:rPr>
          <w:rFonts w:ascii="Times New Roman" w:hAnsi="Times New Roman" w:cs="Times New Roman"/>
          <w:sz w:val="24"/>
          <w:szCs w:val="24"/>
        </w:rPr>
        <w:t>fig S3b. The samples ZTR1 and ZTR4 behave similar to ZTR2.</w:t>
      </w:r>
    </w:p>
    <w:p w14:paraId="09E318C8" w14:textId="77777777" w:rsidR="005226F2" w:rsidRPr="005226F2" w:rsidRDefault="005226F2" w:rsidP="005226F2">
      <w:pPr>
        <w:spacing w:line="360" w:lineRule="auto"/>
        <w:jc w:val="both"/>
        <w:rPr>
          <w:rFonts w:ascii="Times New Roman" w:hAnsi="Times New Roman" w:cs="Times New Roman"/>
          <w:sz w:val="24"/>
          <w:szCs w:val="24"/>
        </w:rPr>
      </w:pPr>
    </w:p>
    <w:p w14:paraId="55827128" w14:textId="3F373EF6" w:rsidR="007B6271" w:rsidRDefault="00696581" w:rsidP="007B6271">
      <w:pPr>
        <w:jc w:val="center"/>
      </w:pPr>
      <w:r>
        <w:rPr>
          <w:noProof/>
        </w:rPr>
        <w:lastRenderedPageBreak/>
        <w:drawing>
          <wp:inline distT="0" distB="0" distL="0" distR="0" wp14:anchorId="1FB7DC9D" wp14:editId="72ACA7FD">
            <wp:extent cx="3276921" cy="4352925"/>
            <wp:effectExtent l="0" t="0" r="0" b="0"/>
            <wp:docPr id="20220217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8307" cy="4354766"/>
                    </a:xfrm>
                    <a:prstGeom prst="rect">
                      <a:avLst/>
                    </a:prstGeom>
                    <a:noFill/>
                    <a:ln>
                      <a:noFill/>
                    </a:ln>
                  </pic:spPr>
                </pic:pic>
              </a:graphicData>
            </a:graphic>
          </wp:inline>
        </w:drawing>
      </w:r>
    </w:p>
    <w:p w14:paraId="47D704C0" w14:textId="6E1AFDF7" w:rsidR="004D03BB" w:rsidRPr="00157461" w:rsidRDefault="00795E64" w:rsidP="00696581">
      <w:pPr>
        <w:jc w:val="both"/>
      </w:pPr>
      <w:r w:rsidRPr="00157461">
        <w:rPr>
          <w:rFonts w:ascii="Times New Roman" w:hAnsi="Times New Roman" w:cs="Times New Roman"/>
          <w:sz w:val="24"/>
          <w:szCs w:val="24"/>
        </w:rPr>
        <w:t>Figure S3.  Raman spectra of</w:t>
      </w:r>
      <w:r w:rsidR="00696581" w:rsidRPr="00157461">
        <w:rPr>
          <w:rFonts w:ascii="Times New Roman" w:hAnsi="Times New Roman" w:cs="Times New Roman"/>
          <w:sz w:val="24"/>
          <w:szCs w:val="24"/>
        </w:rPr>
        <w:t xml:space="preserve"> (a)</w:t>
      </w:r>
      <w:r w:rsidRPr="00157461">
        <w:rPr>
          <w:rFonts w:ascii="Times New Roman" w:hAnsi="Times New Roman" w:cs="Times New Roman"/>
          <w:sz w:val="24"/>
          <w:szCs w:val="24"/>
        </w:rPr>
        <w:t xml:space="preserve"> graphene oxide (I</w:t>
      </w:r>
      <w:r w:rsidRPr="00157461">
        <w:rPr>
          <w:rFonts w:ascii="Times New Roman" w:hAnsi="Times New Roman" w:cs="Times New Roman"/>
          <w:sz w:val="24"/>
          <w:szCs w:val="24"/>
          <w:vertAlign w:val="subscript"/>
        </w:rPr>
        <w:t>D</w:t>
      </w:r>
      <w:r w:rsidR="00F50AD3" w:rsidRPr="00157461">
        <w:rPr>
          <w:rFonts w:ascii="Times New Roman" w:hAnsi="Times New Roman" w:cs="Times New Roman"/>
          <w:sz w:val="24"/>
          <w:szCs w:val="24"/>
        </w:rPr>
        <w:t>/</w:t>
      </w:r>
      <w:r w:rsidRPr="00157461">
        <w:rPr>
          <w:rFonts w:ascii="Times New Roman" w:hAnsi="Times New Roman" w:cs="Times New Roman"/>
          <w:sz w:val="24"/>
          <w:szCs w:val="24"/>
        </w:rPr>
        <w:t>I</w:t>
      </w:r>
      <w:r w:rsidRPr="00157461">
        <w:rPr>
          <w:rFonts w:ascii="Times New Roman" w:hAnsi="Times New Roman" w:cs="Times New Roman"/>
          <w:sz w:val="24"/>
          <w:szCs w:val="24"/>
          <w:vertAlign w:val="subscript"/>
        </w:rPr>
        <w:t xml:space="preserve">G </w:t>
      </w:r>
      <w:r w:rsidRPr="00157461">
        <w:rPr>
          <w:rFonts w:ascii="Times New Roman" w:hAnsi="Times New Roman" w:cs="Times New Roman"/>
          <w:sz w:val="24"/>
          <w:szCs w:val="24"/>
        </w:rPr>
        <w:t>= 0.47)</w:t>
      </w:r>
      <w:r w:rsidR="007877F8" w:rsidRPr="00157461">
        <w:t xml:space="preserve"> </w:t>
      </w:r>
      <w:r w:rsidR="001C0927" w:rsidRPr="00157461">
        <w:rPr>
          <w:rFonts w:ascii="Times New Roman" w:hAnsi="Times New Roman" w:cs="Times New Roman"/>
          <w:sz w:val="24"/>
          <w:szCs w:val="24"/>
        </w:rPr>
        <w:t>and</w:t>
      </w:r>
      <w:r w:rsidR="00696581" w:rsidRPr="00157461">
        <w:rPr>
          <w:rFonts w:ascii="Times New Roman" w:hAnsi="Times New Roman" w:cs="Times New Roman"/>
          <w:sz w:val="24"/>
          <w:szCs w:val="24"/>
        </w:rPr>
        <w:t xml:space="preserve"> (b)</w:t>
      </w:r>
      <w:r w:rsidR="001C0927" w:rsidRPr="00157461">
        <w:rPr>
          <w:rFonts w:ascii="Times New Roman" w:hAnsi="Times New Roman" w:cs="Times New Roman"/>
          <w:sz w:val="24"/>
          <w:szCs w:val="24"/>
        </w:rPr>
        <w:t xml:space="preserve"> ZTR4 (I</w:t>
      </w:r>
      <w:r w:rsidR="001C0927" w:rsidRPr="00157461">
        <w:rPr>
          <w:rFonts w:ascii="Times New Roman" w:hAnsi="Times New Roman" w:cs="Times New Roman"/>
          <w:sz w:val="24"/>
          <w:szCs w:val="24"/>
          <w:vertAlign w:val="subscript"/>
        </w:rPr>
        <w:t>D</w:t>
      </w:r>
      <w:r w:rsidR="001C0927" w:rsidRPr="00157461">
        <w:rPr>
          <w:rFonts w:ascii="Times New Roman" w:hAnsi="Times New Roman" w:cs="Times New Roman"/>
          <w:sz w:val="24"/>
          <w:szCs w:val="24"/>
        </w:rPr>
        <w:t>/I</w:t>
      </w:r>
      <w:r w:rsidR="001C0927" w:rsidRPr="00157461">
        <w:rPr>
          <w:rFonts w:ascii="Times New Roman" w:hAnsi="Times New Roman" w:cs="Times New Roman"/>
          <w:sz w:val="24"/>
          <w:szCs w:val="24"/>
          <w:vertAlign w:val="subscript"/>
        </w:rPr>
        <w:t xml:space="preserve">G </w:t>
      </w:r>
      <w:r w:rsidR="001C0927" w:rsidRPr="00157461">
        <w:rPr>
          <w:rFonts w:ascii="Times New Roman" w:hAnsi="Times New Roman" w:cs="Times New Roman"/>
          <w:sz w:val="24"/>
          <w:szCs w:val="24"/>
        </w:rPr>
        <w:t>= 0.87 and 1.16)</w:t>
      </w:r>
      <w:r w:rsidR="001C0927" w:rsidRPr="00157461">
        <w:t xml:space="preserve"> </w:t>
      </w:r>
    </w:p>
    <w:p w14:paraId="6B0045F8" w14:textId="17EF0672" w:rsidR="00B762E5" w:rsidRPr="00157461" w:rsidRDefault="005226F2" w:rsidP="005226F2">
      <w:pPr>
        <w:spacing w:line="360" w:lineRule="auto"/>
        <w:rPr>
          <w:rFonts w:ascii="Times New Roman" w:hAnsi="Times New Roman" w:cs="Times New Roman"/>
          <w:sz w:val="24"/>
          <w:szCs w:val="24"/>
        </w:rPr>
      </w:pPr>
      <w:r w:rsidRPr="00157461">
        <w:rPr>
          <w:rFonts w:ascii="Times New Roman" w:hAnsi="Times New Roman" w:cs="Times New Roman"/>
          <w:sz w:val="24"/>
          <w:szCs w:val="24"/>
        </w:rPr>
        <w:t>SEM analysis</w:t>
      </w:r>
    </w:p>
    <w:p w14:paraId="36A311D6" w14:textId="652368A7" w:rsidR="005226F2" w:rsidRDefault="00F0377D" w:rsidP="00892562">
      <w:pPr>
        <w:spacing w:line="360" w:lineRule="auto"/>
        <w:jc w:val="both"/>
      </w:pPr>
      <w:r w:rsidRPr="00157461">
        <w:rPr>
          <w:rFonts w:ascii="Times New Roman" w:hAnsi="Times New Roman" w:cs="Times New Roman"/>
          <w:sz w:val="24"/>
          <w:szCs w:val="24"/>
        </w:rPr>
        <w:t xml:space="preserve">According to SEM micrographs, the structure of graphene oxide is </w:t>
      </w:r>
      <w:r w:rsidR="0099527B" w:rsidRPr="00157461">
        <w:rPr>
          <w:rFonts w:ascii="Times New Roman" w:hAnsi="Times New Roman" w:cs="Times New Roman"/>
          <w:sz w:val="24"/>
          <w:szCs w:val="24"/>
        </w:rPr>
        <w:t xml:space="preserve">look </w:t>
      </w:r>
      <w:r w:rsidRPr="00157461">
        <w:rPr>
          <w:rFonts w:ascii="Times New Roman" w:hAnsi="Times New Roman" w:cs="Times New Roman"/>
          <w:sz w:val="24"/>
          <w:szCs w:val="24"/>
        </w:rPr>
        <w:t>like two-dimensional sheet</w:t>
      </w:r>
      <w:r w:rsidR="00DB2539" w:rsidRPr="00157461">
        <w:rPr>
          <w:rFonts w:ascii="Times New Roman" w:hAnsi="Times New Roman" w:cs="Times New Roman"/>
          <w:sz w:val="24"/>
          <w:szCs w:val="24"/>
        </w:rPr>
        <w:t xml:space="preserve"> in fig S4</w:t>
      </w:r>
      <w:r w:rsidR="003E27C3" w:rsidRPr="00157461">
        <w:rPr>
          <w:rFonts w:ascii="Times New Roman" w:hAnsi="Times New Roman" w:cs="Times New Roman"/>
          <w:sz w:val="24"/>
          <w:szCs w:val="24"/>
        </w:rPr>
        <w:t>a</w:t>
      </w:r>
      <w:r w:rsidR="00DB2539" w:rsidRPr="00157461">
        <w:rPr>
          <w:rFonts w:ascii="Times New Roman" w:hAnsi="Times New Roman" w:cs="Times New Roman"/>
          <w:sz w:val="24"/>
          <w:szCs w:val="24"/>
        </w:rPr>
        <w:t>. (a) and (b)</w:t>
      </w:r>
      <w:r w:rsidR="00D34163" w:rsidRPr="00157461">
        <w:rPr>
          <w:rFonts w:ascii="Times New Roman" w:hAnsi="Times New Roman" w:cs="Times New Roman"/>
          <w:sz w:val="24"/>
          <w:szCs w:val="24"/>
        </w:rPr>
        <w:t xml:space="preserve">. </w:t>
      </w:r>
      <w:r w:rsidRPr="00157461">
        <w:rPr>
          <w:rFonts w:ascii="Times New Roman" w:hAnsi="Times New Roman" w:cs="Times New Roman"/>
          <w:sz w:val="24"/>
          <w:szCs w:val="24"/>
        </w:rPr>
        <w:t>In addition, the SEM images shows that graphene oxide has a crumbled and rippled structure as a result of deformation during the stacking process.</w:t>
      </w:r>
      <w:r w:rsidR="00696581" w:rsidRPr="00157461">
        <w:rPr>
          <w:rFonts w:ascii="Times New Roman" w:hAnsi="Times New Roman" w:cs="Times New Roman"/>
          <w:sz w:val="24"/>
          <w:szCs w:val="24"/>
        </w:rPr>
        <w:t xml:space="preserve"> The addition different volume of graphene oxide like 1ml and 4 ml shown in fig S4c-d. The lower graphene concentration shows the </w:t>
      </w:r>
      <w:r w:rsidR="00C34AE5" w:rsidRPr="00157461">
        <w:rPr>
          <w:rFonts w:ascii="Times New Roman" w:hAnsi="Times New Roman" w:cs="Times New Roman"/>
          <w:sz w:val="24"/>
          <w:szCs w:val="24"/>
        </w:rPr>
        <w:t>flake</w:t>
      </w:r>
      <w:r w:rsidR="00696581" w:rsidRPr="00157461">
        <w:rPr>
          <w:rFonts w:ascii="Times New Roman" w:hAnsi="Times New Roman" w:cs="Times New Roman"/>
          <w:sz w:val="24"/>
          <w:szCs w:val="24"/>
        </w:rPr>
        <w:t xml:space="preserve"> like structure and the higher concentr</w:t>
      </w:r>
      <w:r w:rsidR="00C34AE5" w:rsidRPr="00157461">
        <w:rPr>
          <w:rFonts w:ascii="Times New Roman" w:hAnsi="Times New Roman" w:cs="Times New Roman"/>
          <w:sz w:val="24"/>
          <w:szCs w:val="24"/>
        </w:rPr>
        <w:t>ation shows the large sheet like formation.</w:t>
      </w:r>
    </w:p>
    <w:p w14:paraId="3E5FFBA6" w14:textId="1379FCB5" w:rsidR="002574BE" w:rsidRDefault="00936B3B" w:rsidP="002574BE">
      <w:pPr>
        <w:jc w:val="center"/>
      </w:pPr>
      <w:r>
        <w:rPr>
          <w:noProof/>
        </w:rPr>
        <w:lastRenderedPageBreak/>
        <w:drawing>
          <wp:inline distT="0" distB="0" distL="0" distR="0" wp14:anchorId="1605375F" wp14:editId="566EF00C">
            <wp:extent cx="2811323" cy="2514600"/>
            <wp:effectExtent l="0" t="0" r="8255" b="0"/>
            <wp:docPr id="6272246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6481" cy="2519214"/>
                    </a:xfrm>
                    <a:prstGeom prst="rect">
                      <a:avLst/>
                    </a:prstGeom>
                    <a:noFill/>
                    <a:ln>
                      <a:noFill/>
                    </a:ln>
                  </pic:spPr>
                </pic:pic>
              </a:graphicData>
            </a:graphic>
          </wp:inline>
        </w:drawing>
      </w:r>
    </w:p>
    <w:p w14:paraId="126E3AAC" w14:textId="488BD814" w:rsidR="00A26DCC" w:rsidRPr="00157461" w:rsidRDefault="00892562" w:rsidP="002574BE">
      <w:pPr>
        <w:jc w:val="center"/>
        <w:rPr>
          <w:rFonts w:ascii="Times New Roman" w:hAnsi="Times New Roman" w:cs="Times New Roman"/>
          <w:sz w:val="24"/>
          <w:szCs w:val="24"/>
        </w:rPr>
      </w:pPr>
      <w:r w:rsidRPr="00157461">
        <w:rPr>
          <w:rFonts w:ascii="Times New Roman" w:hAnsi="Times New Roman" w:cs="Times New Roman"/>
          <w:sz w:val="24"/>
          <w:szCs w:val="24"/>
        </w:rPr>
        <w:t xml:space="preserve">Figure S4.  Different magnification of FE-SEM images of graphene oxide (a) 100 </w:t>
      </w:r>
      <w:r w:rsidR="00936B3B" w:rsidRPr="00157461">
        <w:rPr>
          <w:rFonts w:ascii="Times New Roman" w:hAnsi="Times New Roman" w:cs="Times New Roman"/>
          <w:sz w:val="24"/>
          <w:szCs w:val="24"/>
        </w:rPr>
        <w:t>n</w:t>
      </w:r>
      <w:r w:rsidRPr="00157461">
        <w:rPr>
          <w:rFonts w:ascii="Times New Roman" w:hAnsi="Times New Roman" w:cs="Times New Roman"/>
          <w:sz w:val="24"/>
          <w:szCs w:val="24"/>
        </w:rPr>
        <w:t xml:space="preserve">m and (b) 200 </w:t>
      </w:r>
      <w:r w:rsidR="00936B3B" w:rsidRPr="00157461">
        <w:rPr>
          <w:rFonts w:ascii="Times New Roman" w:hAnsi="Times New Roman" w:cs="Times New Roman"/>
          <w:sz w:val="24"/>
          <w:szCs w:val="24"/>
        </w:rPr>
        <w:t>n</w:t>
      </w:r>
      <w:r w:rsidRPr="00157461">
        <w:rPr>
          <w:rFonts w:ascii="Times New Roman" w:hAnsi="Times New Roman" w:cs="Times New Roman"/>
          <w:sz w:val="24"/>
          <w:szCs w:val="24"/>
        </w:rPr>
        <w:t>m</w:t>
      </w:r>
      <w:r w:rsidR="00936B3B" w:rsidRPr="00157461">
        <w:rPr>
          <w:rFonts w:ascii="Times New Roman" w:hAnsi="Times New Roman" w:cs="Times New Roman"/>
          <w:sz w:val="24"/>
          <w:szCs w:val="24"/>
        </w:rPr>
        <w:t>, (c) ZTR1 and (d) ZTR4.</w:t>
      </w:r>
    </w:p>
    <w:p w14:paraId="452D99E9" w14:textId="0E117DB5" w:rsidR="00A26DCC" w:rsidRPr="00157461" w:rsidRDefault="00A26DCC" w:rsidP="00A26DCC">
      <w:pPr>
        <w:rPr>
          <w:rFonts w:ascii="Times New Roman" w:hAnsi="Times New Roman" w:cs="Times New Roman"/>
          <w:sz w:val="24"/>
          <w:szCs w:val="24"/>
        </w:rPr>
      </w:pPr>
      <w:r w:rsidRPr="00157461">
        <w:rPr>
          <w:rFonts w:ascii="Times New Roman" w:hAnsi="Times New Roman" w:cs="Times New Roman"/>
          <w:sz w:val="24"/>
          <w:szCs w:val="24"/>
        </w:rPr>
        <w:t xml:space="preserve">Surface </w:t>
      </w:r>
      <w:r w:rsidR="00873D74" w:rsidRPr="00157461">
        <w:rPr>
          <w:rFonts w:ascii="Times New Roman" w:hAnsi="Times New Roman" w:cs="Times New Roman"/>
          <w:sz w:val="24"/>
          <w:szCs w:val="24"/>
        </w:rPr>
        <w:t>A</w:t>
      </w:r>
      <w:r w:rsidRPr="00157461">
        <w:rPr>
          <w:rFonts w:ascii="Times New Roman" w:hAnsi="Times New Roman" w:cs="Times New Roman"/>
          <w:sz w:val="24"/>
          <w:szCs w:val="24"/>
        </w:rPr>
        <w:t>rea Analysis</w:t>
      </w:r>
    </w:p>
    <w:p w14:paraId="2ABF2CCA" w14:textId="16957C9A" w:rsidR="00A26DCC" w:rsidRPr="00CD3B2B" w:rsidRDefault="00E4612C" w:rsidP="00CD3B2B">
      <w:pPr>
        <w:spacing w:line="360" w:lineRule="auto"/>
        <w:jc w:val="both"/>
        <w:rPr>
          <w:rFonts w:ascii="Times New Roman" w:hAnsi="Times New Roman" w:cs="Times New Roman"/>
          <w:color w:val="FF0000"/>
          <w:sz w:val="24"/>
          <w:szCs w:val="24"/>
        </w:rPr>
      </w:pPr>
      <w:r w:rsidRPr="00157461">
        <w:rPr>
          <w:rFonts w:ascii="Times New Roman" w:hAnsi="Times New Roman" w:cs="Times New Roman"/>
          <w:sz w:val="24"/>
          <w:szCs w:val="24"/>
        </w:rPr>
        <w:t>The specific surface area of ZTR1, ZTR and ZTR4 are 15.20 m</w:t>
      </w:r>
      <w:r w:rsidRPr="00157461">
        <w:rPr>
          <w:rFonts w:ascii="Times New Roman" w:hAnsi="Times New Roman" w:cs="Times New Roman"/>
          <w:sz w:val="24"/>
          <w:szCs w:val="24"/>
          <w:vertAlign w:val="superscript"/>
        </w:rPr>
        <w:t>2</w:t>
      </w:r>
      <w:r w:rsidRPr="00157461">
        <w:rPr>
          <w:rFonts w:ascii="Times New Roman" w:hAnsi="Times New Roman" w:cs="Times New Roman"/>
          <w:sz w:val="24"/>
          <w:szCs w:val="24"/>
        </w:rPr>
        <w:t xml:space="preserve"> g</w:t>
      </w:r>
      <w:r w:rsidRPr="00157461">
        <w:rPr>
          <w:rFonts w:ascii="Times New Roman" w:hAnsi="Times New Roman" w:cs="Times New Roman"/>
          <w:sz w:val="24"/>
          <w:szCs w:val="24"/>
          <w:vertAlign w:val="superscript"/>
        </w:rPr>
        <w:t>-1</w:t>
      </w:r>
      <w:r w:rsidRPr="00157461">
        <w:rPr>
          <w:rFonts w:ascii="Times New Roman" w:hAnsi="Times New Roman" w:cs="Times New Roman"/>
          <w:sz w:val="24"/>
          <w:szCs w:val="24"/>
        </w:rPr>
        <w:t>, 15.09 m</w:t>
      </w:r>
      <w:r w:rsidRPr="00157461">
        <w:rPr>
          <w:rFonts w:ascii="Times New Roman" w:hAnsi="Times New Roman" w:cs="Times New Roman"/>
          <w:sz w:val="24"/>
          <w:szCs w:val="24"/>
          <w:vertAlign w:val="superscript"/>
        </w:rPr>
        <w:t>2</w:t>
      </w:r>
      <w:r w:rsidRPr="00157461">
        <w:rPr>
          <w:rFonts w:ascii="Times New Roman" w:hAnsi="Times New Roman" w:cs="Times New Roman"/>
          <w:sz w:val="24"/>
          <w:szCs w:val="24"/>
        </w:rPr>
        <w:t xml:space="preserve"> g</w:t>
      </w:r>
      <w:r w:rsidRPr="00157461">
        <w:rPr>
          <w:rFonts w:ascii="Times New Roman" w:hAnsi="Times New Roman" w:cs="Times New Roman"/>
          <w:sz w:val="24"/>
          <w:szCs w:val="24"/>
          <w:vertAlign w:val="superscript"/>
        </w:rPr>
        <w:t>-1</w:t>
      </w:r>
      <w:r w:rsidRPr="00157461">
        <w:rPr>
          <w:rFonts w:ascii="Times New Roman" w:hAnsi="Times New Roman" w:cs="Times New Roman"/>
          <w:sz w:val="24"/>
          <w:szCs w:val="24"/>
        </w:rPr>
        <w:t xml:space="preserve"> and 3.64 m</w:t>
      </w:r>
      <w:r w:rsidRPr="00157461">
        <w:rPr>
          <w:rFonts w:ascii="Times New Roman" w:hAnsi="Times New Roman" w:cs="Times New Roman"/>
          <w:sz w:val="24"/>
          <w:szCs w:val="24"/>
          <w:vertAlign w:val="superscript"/>
        </w:rPr>
        <w:t>2</w:t>
      </w:r>
      <w:r w:rsidRPr="00157461">
        <w:rPr>
          <w:rFonts w:ascii="Times New Roman" w:hAnsi="Times New Roman" w:cs="Times New Roman"/>
          <w:sz w:val="24"/>
          <w:szCs w:val="24"/>
        </w:rPr>
        <w:t xml:space="preserve"> g</w:t>
      </w:r>
      <w:r w:rsidRPr="00157461">
        <w:rPr>
          <w:rFonts w:ascii="Times New Roman" w:hAnsi="Times New Roman" w:cs="Times New Roman"/>
          <w:sz w:val="24"/>
          <w:szCs w:val="24"/>
          <w:vertAlign w:val="superscript"/>
        </w:rPr>
        <w:t>-1</w:t>
      </w:r>
      <w:r w:rsidRPr="00157461">
        <w:rPr>
          <w:rFonts w:ascii="Times New Roman" w:hAnsi="Times New Roman" w:cs="Times New Roman"/>
          <w:sz w:val="24"/>
          <w:szCs w:val="24"/>
        </w:rPr>
        <w:t xml:space="preserve"> respectively.  As a result of the hybrid synthesis process, ZTR has twice the surface area of ZTO.</w:t>
      </w:r>
      <w:r w:rsidRPr="00F94584">
        <w:rPr>
          <w:rFonts w:ascii="Times New Roman" w:hAnsi="Times New Roman" w:cs="Times New Roman"/>
          <w:color w:val="FF0000"/>
          <w:sz w:val="24"/>
          <w:szCs w:val="24"/>
        </w:rPr>
        <w:t xml:space="preserve"> </w:t>
      </w:r>
    </w:p>
    <w:p w14:paraId="0A9296E6" w14:textId="77777777" w:rsidR="00214C93" w:rsidRDefault="00A26DCC" w:rsidP="002574BE">
      <w:pPr>
        <w:jc w:val="center"/>
      </w:pPr>
      <w:r>
        <w:rPr>
          <w:noProof/>
        </w:rPr>
        <w:drawing>
          <wp:inline distT="0" distB="0" distL="0" distR="0" wp14:anchorId="36D90A5E" wp14:editId="7BB185B2">
            <wp:extent cx="5731510" cy="2431415"/>
            <wp:effectExtent l="0" t="0" r="0" b="0"/>
            <wp:docPr id="1840257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431415"/>
                    </a:xfrm>
                    <a:prstGeom prst="rect">
                      <a:avLst/>
                    </a:prstGeom>
                    <a:noFill/>
                    <a:ln>
                      <a:noFill/>
                    </a:ln>
                  </pic:spPr>
                </pic:pic>
              </a:graphicData>
            </a:graphic>
          </wp:inline>
        </w:drawing>
      </w:r>
    </w:p>
    <w:p w14:paraId="36C65E3A" w14:textId="57699CE9" w:rsidR="00E4612C" w:rsidRPr="00157461" w:rsidRDefault="00E4612C" w:rsidP="00785911">
      <w:pPr>
        <w:spacing w:line="360" w:lineRule="auto"/>
        <w:jc w:val="center"/>
        <w:rPr>
          <w:rFonts w:ascii="Times New Roman" w:hAnsi="Times New Roman" w:cs="Times New Roman"/>
          <w:b/>
          <w:sz w:val="24"/>
          <w:szCs w:val="24"/>
        </w:rPr>
      </w:pPr>
      <w:r w:rsidRPr="00157461">
        <w:rPr>
          <w:rFonts w:ascii="Times New Roman" w:hAnsi="Times New Roman" w:cs="Times New Roman"/>
          <w:sz w:val="24"/>
          <w:szCs w:val="24"/>
        </w:rPr>
        <w:t xml:space="preserve">Figure S5. </w:t>
      </w:r>
      <w:r w:rsidRPr="00157461">
        <w:rPr>
          <w:rFonts w:ascii="Times New Roman" w:hAnsi="Times New Roman" w:cs="Times New Roman"/>
          <w:bCs/>
          <w:sz w:val="24"/>
          <w:szCs w:val="24"/>
        </w:rPr>
        <w:t>BET N</w:t>
      </w:r>
      <w:r w:rsidRPr="00157461">
        <w:rPr>
          <w:rFonts w:ascii="Times New Roman" w:hAnsi="Times New Roman" w:cs="Times New Roman"/>
          <w:bCs/>
          <w:sz w:val="24"/>
          <w:szCs w:val="24"/>
          <w:vertAlign w:val="subscript"/>
        </w:rPr>
        <w:t>2</w:t>
      </w:r>
      <w:r w:rsidRPr="00157461">
        <w:rPr>
          <w:rFonts w:ascii="Times New Roman" w:hAnsi="Times New Roman" w:cs="Times New Roman"/>
          <w:bCs/>
          <w:sz w:val="24"/>
          <w:szCs w:val="24"/>
        </w:rPr>
        <w:t xml:space="preserve"> adsorption</w:t>
      </w:r>
      <w:r w:rsidRPr="00157461">
        <w:rPr>
          <w:rFonts w:ascii="Times New Roman" w:hAnsi="Times New Roman" w:cs="Times New Roman"/>
          <w:sz w:val="24"/>
          <w:szCs w:val="24"/>
        </w:rPr>
        <w:t xml:space="preserve"> –desorption of (a) ZTR</w:t>
      </w:r>
      <w:r w:rsidR="00785911" w:rsidRPr="00157461">
        <w:rPr>
          <w:rFonts w:ascii="Times New Roman" w:hAnsi="Times New Roman" w:cs="Times New Roman"/>
          <w:sz w:val="24"/>
          <w:szCs w:val="24"/>
        </w:rPr>
        <w:t xml:space="preserve">1 and </w:t>
      </w:r>
      <w:r w:rsidRPr="00157461">
        <w:rPr>
          <w:rFonts w:ascii="Times New Roman" w:hAnsi="Times New Roman" w:cs="Times New Roman"/>
          <w:sz w:val="24"/>
          <w:szCs w:val="24"/>
        </w:rPr>
        <w:t>(b) ZT</w:t>
      </w:r>
      <w:r w:rsidR="00785911" w:rsidRPr="00157461">
        <w:rPr>
          <w:rFonts w:ascii="Times New Roman" w:hAnsi="Times New Roman" w:cs="Times New Roman"/>
          <w:sz w:val="24"/>
          <w:szCs w:val="24"/>
        </w:rPr>
        <w:t>R4</w:t>
      </w:r>
    </w:p>
    <w:p w14:paraId="6D2CD86A" w14:textId="5E0A12C8" w:rsidR="009E2E88" w:rsidRDefault="00214C93" w:rsidP="00465720">
      <w:pPr>
        <w:spacing w:before="240" w:line="360" w:lineRule="auto"/>
        <w:jc w:val="both"/>
        <w:rPr>
          <w:rFonts w:ascii="Times New Roman" w:hAnsi="Times New Roman" w:cs="Times New Roman"/>
          <w:sz w:val="24"/>
          <w:szCs w:val="24"/>
        </w:rPr>
      </w:pPr>
      <w:r w:rsidRPr="00157461">
        <w:rPr>
          <w:rFonts w:ascii="Times New Roman" w:hAnsi="Times New Roman" w:cs="Times New Roman"/>
          <w:sz w:val="24"/>
          <w:szCs w:val="24"/>
        </w:rPr>
        <w:tab/>
        <w:t xml:space="preserve">The zincospiroffite was distributed </w:t>
      </w:r>
      <w:r w:rsidR="002F4B82" w:rsidRPr="00157461">
        <w:rPr>
          <w:rFonts w:ascii="Times New Roman" w:hAnsi="Times New Roman" w:cs="Times New Roman"/>
          <w:sz w:val="24"/>
          <w:szCs w:val="24"/>
        </w:rPr>
        <w:t>across</w:t>
      </w:r>
      <w:r w:rsidRPr="00157461">
        <w:rPr>
          <w:rFonts w:ascii="Times New Roman" w:hAnsi="Times New Roman" w:cs="Times New Roman"/>
          <w:sz w:val="24"/>
          <w:szCs w:val="24"/>
        </w:rPr>
        <w:t xml:space="preserve"> the graphene sheets </w:t>
      </w:r>
      <w:r w:rsidR="002F4B82" w:rsidRPr="00157461">
        <w:rPr>
          <w:rFonts w:ascii="Times New Roman" w:hAnsi="Times New Roman" w:cs="Times New Roman"/>
          <w:sz w:val="24"/>
          <w:szCs w:val="24"/>
        </w:rPr>
        <w:t>with help of</w:t>
      </w:r>
      <w:r w:rsidRPr="00157461">
        <w:rPr>
          <w:rFonts w:ascii="Times New Roman" w:hAnsi="Times New Roman" w:cs="Times New Roman"/>
          <w:sz w:val="24"/>
          <w:szCs w:val="24"/>
        </w:rPr>
        <w:t xml:space="preserve"> GO</w:t>
      </w:r>
      <w:r w:rsidR="002F4B82" w:rsidRPr="00157461">
        <w:rPr>
          <w:rFonts w:ascii="Times New Roman" w:hAnsi="Times New Roman" w:cs="Times New Roman"/>
          <w:sz w:val="24"/>
          <w:szCs w:val="24"/>
        </w:rPr>
        <w:t>,</w:t>
      </w:r>
      <w:r w:rsidRPr="00157461">
        <w:rPr>
          <w:rFonts w:ascii="Times New Roman" w:hAnsi="Times New Roman" w:cs="Times New Roman"/>
          <w:sz w:val="24"/>
          <w:szCs w:val="24"/>
        </w:rPr>
        <w:t xml:space="preserve"> </w:t>
      </w:r>
      <w:r w:rsidR="002F4B82" w:rsidRPr="00157461">
        <w:rPr>
          <w:rFonts w:ascii="Times New Roman" w:hAnsi="Times New Roman" w:cs="Times New Roman"/>
          <w:sz w:val="24"/>
          <w:szCs w:val="24"/>
        </w:rPr>
        <w:t>enhancement in</w:t>
      </w:r>
      <w:r w:rsidRPr="00157461">
        <w:rPr>
          <w:rFonts w:ascii="Times New Roman" w:hAnsi="Times New Roman" w:cs="Times New Roman"/>
          <w:sz w:val="24"/>
          <w:szCs w:val="24"/>
        </w:rPr>
        <w:t xml:space="preserve"> surface area and give rise to the doubled porosity. The ZTR's high specific surface area </w:t>
      </w:r>
      <w:r w:rsidR="002F4B82" w:rsidRPr="00157461">
        <w:rPr>
          <w:rFonts w:ascii="Times New Roman" w:hAnsi="Times New Roman" w:cs="Times New Roman"/>
          <w:sz w:val="24"/>
          <w:szCs w:val="24"/>
        </w:rPr>
        <w:t>enhancing the</w:t>
      </w:r>
      <w:r w:rsidRPr="00157461">
        <w:rPr>
          <w:rFonts w:ascii="Times New Roman" w:hAnsi="Times New Roman" w:cs="Times New Roman"/>
          <w:sz w:val="24"/>
          <w:szCs w:val="24"/>
        </w:rPr>
        <w:t xml:space="preserve"> electron transfer and mass </w:t>
      </w:r>
      <w:r w:rsidR="002F4B82" w:rsidRPr="00157461">
        <w:rPr>
          <w:rFonts w:ascii="Times New Roman" w:hAnsi="Times New Roman" w:cs="Times New Roman"/>
          <w:sz w:val="24"/>
          <w:szCs w:val="24"/>
        </w:rPr>
        <w:t>flow</w:t>
      </w:r>
      <w:r w:rsidRPr="00157461">
        <w:rPr>
          <w:rFonts w:ascii="Times New Roman" w:hAnsi="Times New Roman" w:cs="Times New Roman"/>
          <w:sz w:val="24"/>
          <w:szCs w:val="24"/>
        </w:rPr>
        <w:t xml:space="preserve"> </w:t>
      </w:r>
      <w:r w:rsidR="002F4B82" w:rsidRPr="00157461">
        <w:rPr>
          <w:rFonts w:ascii="Times New Roman" w:hAnsi="Times New Roman" w:cs="Times New Roman"/>
          <w:sz w:val="24"/>
          <w:szCs w:val="24"/>
        </w:rPr>
        <w:t xml:space="preserve">in </w:t>
      </w:r>
      <w:r w:rsidRPr="00157461">
        <w:rPr>
          <w:rFonts w:ascii="Times New Roman" w:hAnsi="Times New Roman" w:cs="Times New Roman"/>
          <w:sz w:val="24"/>
          <w:szCs w:val="24"/>
        </w:rPr>
        <w:t xml:space="preserve">electrochemical process. This is </w:t>
      </w:r>
      <w:r w:rsidR="00465720" w:rsidRPr="00157461">
        <w:rPr>
          <w:rFonts w:ascii="Times New Roman" w:hAnsi="Times New Roman" w:cs="Times New Roman"/>
          <w:sz w:val="24"/>
          <w:szCs w:val="24"/>
        </w:rPr>
        <w:t>featuring</w:t>
      </w:r>
      <w:r w:rsidR="002F4B82" w:rsidRPr="00157461">
        <w:rPr>
          <w:rFonts w:ascii="Times New Roman" w:hAnsi="Times New Roman" w:cs="Times New Roman"/>
          <w:sz w:val="24"/>
          <w:szCs w:val="24"/>
        </w:rPr>
        <w:t xml:space="preserve"> </w:t>
      </w:r>
      <w:r w:rsidRPr="00157461">
        <w:rPr>
          <w:rFonts w:ascii="Times New Roman" w:hAnsi="Times New Roman" w:cs="Times New Roman"/>
          <w:sz w:val="24"/>
          <w:szCs w:val="24"/>
        </w:rPr>
        <w:t xml:space="preserve">a good criterion for the material, which has a higher performance-specific capacitance. The BJH (Barrett-Joyner-Halenda) pore size distribution curve gives mean pore </w:t>
      </w:r>
      <w:r w:rsidRPr="00157461">
        <w:rPr>
          <w:rFonts w:ascii="Times New Roman" w:hAnsi="Times New Roman" w:cs="Times New Roman"/>
          <w:sz w:val="24"/>
          <w:szCs w:val="24"/>
        </w:rPr>
        <w:lastRenderedPageBreak/>
        <w:t>diameter of ZTR1- 3.56 nm, ZTR- 4.29 nm, ZTR4- 2.88 which corresponds to mesopore characteristics.</w:t>
      </w:r>
      <w:r w:rsidR="009E2E88" w:rsidRPr="00157461">
        <w:rPr>
          <w:rFonts w:ascii="Times New Roman" w:hAnsi="Times New Roman" w:cs="Times New Roman"/>
          <w:sz w:val="24"/>
          <w:szCs w:val="24"/>
        </w:rPr>
        <w:t xml:space="preserve"> The highlights of surface area analysis are given in table S1.</w:t>
      </w:r>
    </w:p>
    <w:tbl>
      <w:tblPr>
        <w:tblStyle w:val="TableGrid"/>
        <w:tblW w:w="8359" w:type="dxa"/>
        <w:tblLook w:val="04A0" w:firstRow="1" w:lastRow="0" w:firstColumn="1" w:lastColumn="0" w:noHBand="0" w:noVBand="1"/>
      </w:tblPr>
      <w:tblGrid>
        <w:gridCol w:w="2044"/>
        <w:gridCol w:w="2044"/>
        <w:gridCol w:w="2044"/>
        <w:gridCol w:w="2227"/>
      </w:tblGrid>
      <w:tr w:rsidR="009E2E88" w14:paraId="236DAF1B" w14:textId="77777777" w:rsidTr="00D813D6">
        <w:tc>
          <w:tcPr>
            <w:tcW w:w="2044" w:type="dxa"/>
          </w:tcPr>
          <w:p w14:paraId="3822E863"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Sample Name</w:t>
            </w:r>
          </w:p>
        </w:tc>
        <w:tc>
          <w:tcPr>
            <w:tcW w:w="2044" w:type="dxa"/>
          </w:tcPr>
          <w:p w14:paraId="2E39DEDB" w14:textId="77777777" w:rsidR="009E2E88" w:rsidRPr="00C66E5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SSA</w:t>
            </w:r>
            <w:r w:rsidRPr="00C66E58">
              <w:rPr>
                <w:rFonts w:ascii="Times New Roman" w:hAnsi="Times New Roman" w:cs="Times New Roman"/>
                <w:sz w:val="24"/>
                <w:szCs w:val="24"/>
                <w:vertAlign w:val="subscript"/>
              </w:rPr>
              <w:t>BET</w:t>
            </w:r>
            <w:r>
              <w:rPr>
                <w:rFonts w:ascii="Times New Roman" w:hAnsi="Times New Roman" w:cs="Times New Roman"/>
                <w:sz w:val="24"/>
                <w:szCs w:val="24"/>
              </w:rPr>
              <w:t>(m</w:t>
            </w:r>
            <w:r w:rsidRPr="00C66E58">
              <w:rPr>
                <w:rFonts w:ascii="Times New Roman" w:hAnsi="Times New Roman" w:cs="Times New Roman"/>
                <w:sz w:val="24"/>
                <w:szCs w:val="24"/>
                <w:vertAlign w:val="superscript"/>
              </w:rPr>
              <w:t>2</w:t>
            </w:r>
            <w:r>
              <w:rPr>
                <w:rFonts w:ascii="Times New Roman" w:hAnsi="Times New Roman" w:cs="Times New Roman"/>
                <w:sz w:val="24"/>
                <w:szCs w:val="24"/>
              </w:rPr>
              <w:t>/gm)</w:t>
            </w:r>
          </w:p>
        </w:tc>
        <w:tc>
          <w:tcPr>
            <w:tcW w:w="2044" w:type="dxa"/>
          </w:tcPr>
          <w:p w14:paraId="7D273692"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TPV (cm</w:t>
            </w:r>
            <w:r>
              <w:rPr>
                <w:rFonts w:ascii="Times New Roman" w:hAnsi="Times New Roman" w:cs="Times New Roman"/>
                <w:sz w:val="24"/>
                <w:szCs w:val="24"/>
                <w:vertAlign w:val="superscript"/>
              </w:rPr>
              <w:t>3</w:t>
            </w:r>
            <w:r>
              <w:rPr>
                <w:rFonts w:ascii="Times New Roman" w:hAnsi="Times New Roman" w:cs="Times New Roman"/>
                <w:sz w:val="24"/>
                <w:szCs w:val="24"/>
              </w:rPr>
              <w:t>/g)</w:t>
            </w:r>
          </w:p>
        </w:tc>
        <w:tc>
          <w:tcPr>
            <w:tcW w:w="2227" w:type="dxa"/>
          </w:tcPr>
          <w:p w14:paraId="64657606"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Pore diameter (nm)</w:t>
            </w:r>
          </w:p>
        </w:tc>
      </w:tr>
      <w:tr w:rsidR="009E2E88" w14:paraId="515C824D" w14:textId="77777777" w:rsidTr="00D813D6">
        <w:tc>
          <w:tcPr>
            <w:tcW w:w="2044" w:type="dxa"/>
          </w:tcPr>
          <w:p w14:paraId="41E35A01"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ARGO</w:t>
            </w:r>
          </w:p>
        </w:tc>
        <w:tc>
          <w:tcPr>
            <w:tcW w:w="2044" w:type="dxa"/>
          </w:tcPr>
          <w:p w14:paraId="4A009EDF"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242.57</w:t>
            </w:r>
          </w:p>
        </w:tc>
        <w:tc>
          <w:tcPr>
            <w:tcW w:w="2044" w:type="dxa"/>
          </w:tcPr>
          <w:p w14:paraId="14DBA7EE"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0.228</w:t>
            </w:r>
          </w:p>
        </w:tc>
        <w:tc>
          <w:tcPr>
            <w:tcW w:w="2227" w:type="dxa"/>
          </w:tcPr>
          <w:p w14:paraId="49C623E9"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3.76</w:t>
            </w:r>
          </w:p>
        </w:tc>
      </w:tr>
      <w:tr w:rsidR="009E2E88" w14:paraId="414B1F70" w14:textId="77777777" w:rsidTr="00D813D6">
        <w:tc>
          <w:tcPr>
            <w:tcW w:w="2044" w:type="dxa"/>
          </w:tcPr>
          <w:p w14:paraId="64FFA9F3"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ZTO</w:t>
            </w:r>
          </w:p>
        </w:tc>
        <w:tc>
          <w:tcPr>
            <w:tcW w:w="2044" w:type="dxa"/>
          </w:tcPr>
          <w:p w14:paraId="3F27B149"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6.17</w:t>
            </w:r>
          </w:p>
        </w:tc>
        <w:tc>
          <w:tcPr>
            <w:tcW w:w="2044" w:type="dxa"/>
          </w:tcPr>
          <w:p w14:paraId="70C90779"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0.008</w:t>
            </w:r>
          </w:p>
        </w:tc>
        <w:tc>
          <w:tcPr>
            <w:tcW w:w="2227" w:type="dxa"/>
          </w:tcPr>
          <w:p w14:paraId="6B309182"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5.25</w:t>
            </w:r>
          </w:p>
        </w:tc>
      </w:tr>
      <w:tr w:rsidR="009E2E88" w14:paraId="5DA37937" w14:textId="77777777" w:rsidTr="00D813D6">
        <w:tc>
          <w:tcPr>
            <w:tcW w:w="2044" w:type="dxa"/>
          </w:tcPr>
          <w:p w14:paraId="7A01E539"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ZTR1</w:t>
            </w:r>
          </w:p>
        </w:tc>
        <w:tc>
          <w:tcPr>
            <w:tcW w:w="2044" w:type="dxa"/>
          </w:tcPr>
          <w:p w14:paraId="35C3BE3C"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15.20</w:t>
            </w:r>
          </w:p>
        </w:tc>
        <w:tc>
          <w:tcPr>
            <w:tcW w:w="2044" w:type="dxa"/>
          </w:tcPr>
          <w:p w14:paraId="3165C775"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0.013</w:t>
            </w:r>
          </w:p>
        </w:tc>
        <w:tc>
          <w:tcPr>
            <w:tcW w:w="2227" w:type="dxa"/>
          </w:tcPr>
          <w:p w14:paraId="28A1AE2B"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3.56</w:t>
            </w:r>
          </w:p>
        </w:tc>
      </w:tr>
      <w:tr w:rsidR="009E2E88" w14:paraId="7910B789" w14:textId="77777777" w:rsidTr="00D813D6">
        <w:tc>
          <w:tcPr>
            <w:tcW w:w="2044" w:type="dxa"/>
          </w:tcPr>
          <w:p w14:paraId="636E2BC3" w14:textId="09B5749C"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ZTR</w:t>
            </w:r>
          </w:p>
        </w:tc>
        <w:tc>
          <w:tcPr>
            <w:tcW w:w="2044" w:type="dxa"/>
          </w:tcPr>
          <w:p w14:paraId="1491D08D"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15.09</w:t>
            </w:r>
          </w:p>
        </w:tc>
        <w:tc>
          <w:tcPr>
            <w:tcW w:w="2044" w:type="dxa"/>
          </w:tcPr>
          <w:p w14:paraId="38FA7C9A"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0.016</w:t>
            </w:r>
          </w:p>
        </w:tc>
        <w:tc>
          <w:tcPr>
            <w:tcW w:w="2227" w:type="dxa"/>
          </w:tcPr>
          <w:p w14:paraId="7C8AEF71"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4.29</w:t>
            </w:r>
          </w:p>
        </w:tc>
      </w:tr>
      <w:tr w:rsidR="009E2E88" w14:paraId="5BE277C3" w14:textId="77777777" w:rsidTr="00D813D6">
        <w:tc>
          <w:tcPr>
            <w:tcW w:w="2044" w:type="dxa"/>
          </w:tcPr>
          <w:p w14:paraId="115DFBC8"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ZTR4</w:t>
            </w:r>
          </w:p>
        </w:tc>
        <w:tc>
          <w:tcPr>
            <w:tcW w:w="2044" w:type="dxa"/>
          </w:tcPr>
          <w:p w14:paraId="5D90E89E"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3.64</w:t>
            </w:r>
          </w:p>
        </w:tc>
        <w:tc>
          <w:tcPr>
            <w:tcW w:w="2044" w:type="dxa"/>
          </w:tcPr>
          <w:p w14:paraId="1B38E1BF"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2227" w:type="dxa"/>
          </w:tcPr>
          <w:p w14:paraId="703928E3" w14:textId="77777777" w:rsidR="009E2E88" w:rsidRDefault="009E2E88" w:rsidP="00D813D6">
            <w:pPr>
              <w:spacing w:line="276" w:lineRule="auto"/>
              <w:jc w:val="center"/>
              <w:rPr>
                <w:rFonts w:ascii="Times New Roman" w:hAnsi="Times New Roman" w:cs="Times New Roman"/>
                <w:sz w:val="24"/>
                <w:szCs w:val="24"/>
              </w:rPr>
            </w:pPr>
            <w:r>
              <w:rPr>
                <w:rFonts w:ascii="Times New Roman" w:hAnsi="Times New Roman" w:cs="Times New Roman"/>
                <w:sz w:val="24"/>
                <w:szCs w:val="24"/>
              </w:rPr>
              <w:t>2.88</w:t>
            </w:r>
          </w:p>
        </w:tc>
      </w:tr>
    </w:tbl>
    <w:p w14:paraId="1B142766" w14:textId="3F1A3ED6" w:rsidR="00873D74" w:rsidRDefault="009E2E88" w:rsidP="009E2E88">
      <w:pPr>
        <w:spacing w:line="276" w:lineRule="auto"/>
        <w:rPr>
          <w:rFonts w:ascii="Times New Roman" w:hAnsi="Times New Roman" w:cs="Times New Roman"/>
        </w:rPr>
      </w:pPr>
      <w:r w:rsidRPr="00E32992">
        <w:rPr>
          <w:rFonts w:ascii="Times New Roman" w:hAnsi="Times New Roman" w:cs="Times New Roman"/>
        </w:rPr>
        <w:t xml:space="preserve">Table </w:t>
      </w:r>
      <w:r>
        <w:rPr>
          <w:rFonts w:ascii="Times New Roman" w:hAnsi="Times New Roman" w:cs="Times New Roman"/>
        </w:rPr>
        <w:t>S1</w:t>
      </w:r>
      <w:r w:rsidRPr="00E32992">
        <w:rPr>
          <w:rFonts w:ascii="Times New Roman" w:hAnsi="Times New Roman" w:cs="Times New Roman"/>
        </w:rPr>
        <w:t>. Specific surface area (SSA), total pore volume (TPV), and pore diameter of ZTO, ARGO, and ZTR hybrids.</w:t>
      </w:r>
    </w:p>
    <w:p w14:paraId="5BC6B63F" w14:textId="43341F36" w:rsidR="00873D74" w:rsidRPr="00157461" w:rsidRDefault="00873D74" w:rsidP="009E2E88">
      <w:pPr>
        <w:spacing w:line="276" w:lineRule="auto"/>
        <w:rPr>
          <w:rFonts w:ascii="Times New Roman" w:hAnsi="Times New Roman" w:cs="Times New Roman"/>
          <w:sz w:val="24"/>
          <w:szCs w:val="24"/>
        </w:rPr>
      </w:pPr>
      <w:r w:rsidRPr="00157461">
        <w:rPr>
          <w:rFonts w:ascii="Times New Roman" w:hAnsi="Times New Roman" w:cs="Times New Roman"/>
          <w:sz w:val="24"/>
          <w:szCs w:val="24"/>
        </w:rPr>
        <w:t>Electrochemical Analysis</w:t>
      </w:r>
    </w:p>
    <w:p w14:paraId="6D915B33" w14:textId="2CFF2198" w:rsidR="00873D74" w:rsidRPr="00157461" w:rsidRDefault="00873D74" w:rsidP="00DA5071">
      <w:pPr>
        <w:spacing w:line="360" w:lineRule="auto"/>
        <w:jc w:val="both"/>
        <w:rPr>
          <w:rFonts w:ascii="Times New Roman" w:hAnsi="Times New Roman" w:cs="Times New Roman"/>
          <w:b/>
          <w:bCs/>
          <w:sz w:val="24"/>
          <w:szCs w:val="24"/>
          <w:lang w:val="en-US"/>
        </w:rPr>
      </w:pPr>
      <w:r w:rsidRPr="00157461">
        <w:rPr>
          <w:rFonts w:ascii="Times New Roman" w:hAnsi="Times New Roman" w:cs="Times New Roman"/>
          <w:sz w:val="24"/>
          <w:szCs w:val="24"/>
        </w:rPr>
        <w:t>Comparing the CV</w:t>
      </w:r>
      <w:r w:rsidR="0014644E" w:rsidRPr="00157461">
        <w:rPr>
          <w:rFonts w:ascii="Times New Roman" w:hAnsi="Times New Roman" w:cs="Times New Roman"/>
          <w:sz w:val="24"/>
          <w:szCs w:val="24"/>
        </w:rPr>
        <w:t xml:space="preserve"> (fig S6a)</w:t>
      </w:r>
      <w:r w:rsidRPr="00157461">
        <w:rPr>
          <w:rFonts w:ascii="Times New Roman" w:hAnsi="Times New Roman" w:cs="Times New Roman"/>
          <w:sz w:val="24"/>
          <w:szCs w:val="24"/>
        </w:rPr>
        <w:t xml:space="preserve"> of ZTR1, ZTR and ZTR4</w:t>
      </w:r>
      <w:r w:rsidR="00366E63" w:rsidRPr="00157461">
        <w:rPr>
          <w:rFonts w:ascii="Times New Roman" w:hAnsi="Times New Roman" w:cs="Times New Roman"/>
          <w:sz w:val="24"/>
          <w:szCs w:val="24"/>
        </w:rPr>
        <w:t>, the ZTR with pore diameter of 4.29 nm displays better electrochemical activities than other two.</w:t>
      </w:r>
      <w:r w:rsidR="00086CF2" w:rsidRPr="00157461">
        <w:rPr>
          <w:rFonts w:ascii="Times New Roman" w:hAnsi="Times New Roman" w:cs="Times New Roman"/>
          <w:sz w:val="24"/>
          <w:szCs w:val="24"/>
        </w:rPr>
        <w:t xml:space="preserve"> </w:t>
      </w:r>
      <w:r w:rsidR="00502F13" w:rsidRPr="00157461">
        <w:rPr>
          <w:rFonts w:ascii="Times New Roman" w:hAnsi="Times New Roman" w:cs="Times New Roman"/>
          <w:sz w:val="24"/>
          <w:szCs w:val="24"/>
        </w:rPr>
        <w:t>The same trend observed in GCD profiles as seen in fig S6b. Evaluating the CV a</w:t>
      </w:r>
      <w:r w:rsidR="00086CF2" w:rsidRPr="00157461">
        <w:rPr>
          <w:rFonts w:ascii="Times New Roman" w:hAnsi="Times New Roman" w:cs="Times New Roman"/>
          <w:sz w:val="24"/>
          <w:szCs w:val="24"/>
        </w:rPr>
        <w:t>t 10 mV/s</w:t>
      </w:r>
      <w:r w:rsidR="00502F13" w:rsidRPr="00157461">
        <w:rPr>
          <w:rFonts w:ascii="Times New Roman" w:hAnsi="Times New Roman" w:cs="Times New Roman"/>
          <w:sz w:val="24"/>
          <w:szCs w:val="24"/>
        </w:rPr>
        <w:t>,</w:t>
      </w:r>
      <w:r w:rsidR="00086CF2" w:rsidRPr="00157461">
        <w:rPr>
          <w:rFonts w:ascii="Times New Roman" w:hAnsi="Times New Roman" w:cs="Times New Roman"/>
          <w:sz w:val="24"/>
          <w:szCs w:val="24"/>
        </w:rPr>
        <w:t xml:space="preserve"> ZTR1 gives 106.8 F/g, ZTR gives 513.51 F/g and ZTR4 gives 298.0 F/g. </w:t>
      </w:r>
      <w:r w:rsidR="0014644E" w:rsidRPr="00157461">
        <w:rPr>
          <w:rFonts w:ascii="Times New Roman" w:hAnsi="Times New Roman" w:cs="Times New Roman"/>
          <w:sz w:val="24"/>
          <w:szCs w:val="24"/>
        </w:rPr>
        <w:t xml:space="preserve"> </w:t>
      </w:r>
    </w:p>
    <w:p w14:paraId="4903F6E1" w14:textId="2C2BF70F" w:rsidR="009E2E88" w:rsidRDefault="007206D0" w:rsidP="00465720">
      <w:pPr>
        <w:spacing w:before="240" w:line="360" w:lineRule="auto"/>
        <w:jc w:val="both"/>
        <w:rPr>
          <w:rFonts w:ascii="Times New Roman" w:hAnsi="Times New Roman" w:cs="Times New Roman"/>
          <w:b/>
          <w:bCs/>
          <w:sz w:val="24"/>
          <w:szCs w:val="24"/>
          <w:lang w:val="en-US"/>
        </w:rPr>
      </w:pPr>
      <w:r>
        <w:rPr>
          <w:noProof/>
        </w:rPr>
        <w:drawing>
          <wp:inline distT="0" distB="0" distL="0" distR="0" wp14:anchorId="752EE450" wp14:editId="6F3E5651">
            <wp:extent cx="5731510" cy="2453640"/>
            <wp:effectExtent l="0" t="0" r="2540" b="3810"/>
            <wp:docPr id="848381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453640"/>
                    </a:xfrm>
                    <a:prstGeom prst="rect">
                      <a:avLst/>
                    </a:prstGeom>
                    <a:noFill/>
                    <a:ln>
                      <a:noFill/>
                    </a:ln>
                  </pic:spPr>
                </pic:pic>
              </a:graphicData>
            </a:graphic>
          </wp:inline>
        </w:drawing>
      </w:r>
    </w:p>
    <w:p w14:paraId="5D9214F8" w14:textId="6AD5C24F" w:rsidR="009B4A8A" w:rsidRPr="00E82422" w:rsidRDefault="009B4A8A" w:rsidP="009B4A8A">
      <w:pPr>
        <w:spacing w:line="360" w:lineRule="auto"/>
        <w:jc w:val="center"/>
        <w:rPr>
          <w:rFonts w:ascii="Times New Roman" w:hAnsi="Times New Roman" w:cs="Times New Roman"/>
          <w:b/>
          <w:sz w:val="24"/>
          <w:szCs w:val="24"/>
        </w:rPr>
      </w:pPr>
      <w:r w:rsidRPr="00157461">
        <w:rPr>
          <w:rFonts w:ascii="Times New Roman" w:hAnsi="Times New Roman" w:cs="Times New Roman"/>
          <w:sz w:val="24"/>
          <w:szCs w:val="24"/>
        </w:rPr>
        <w:t xml:space="preserve">Figure S6. </w:t>
      </w:r>
      <w:r w:rsidRPr="00157461">
        <w:rPr>
          <w:rFonts w:ascii="Times New Roman" w:hAnsi="Times New Roman" w:cs="Times New Roman"/>
          <w:bCs/>
          <w:sz w:val="24"/>
          <w:szCs w:val="24"/>
        </w:rPr>
        <w:t>Comparing electrochemical measurements of ZTR1, ZTR and ZTR4</w:t>
      </w:r>
      <w:r w:rsidRPr="00157461">
        <w:rPr>
          <w:rFonts w:ascii="Times New Roman" w:hAnsi="Times New Roman" w:cs="Times New Roman"/>
          <w:sz w:val="24"/>
          <w:szCs w:val="24"/>
        </w:rPr>
        <w:t xml:space="preserve"> (a) Cyclic voltammogram at </w:t>
      </w:r>
      <w:r w:rsidR="00C3014F" w:rsidRPr="00157461">
        <w:rPr>
          <w:rFonts w:ascii="Times New Roman" w:hAnsi="Times New Roman" w:cs="Times New Roman"/>
          <w:sz w:val="24"/>
          <w:szCs w:val="24"/>
        </w:rPr>
        <w:t>10 mV/s</w:t>
      </w:r>
      <w:r w:rsidRPr="00157461">
        <w:rPr>
          <w:rFonts w:ascii="Times New Roman" w:hAnsi="Times New Roman" w:cs="Times New Roman"/>
          <w:sz w:val="24"/>
          <w:szCs w:val="24"/>
        </w:rPr>
        <w:t xml:space="preserve"> and (b) </w:t>
      </w:r>
      <w:r w:rsidR="00C3014F" w:rsidRPr="00157461">
        <w:rPr>
          <w:rFonts w:ascii="Times New Roman" w:hAnsi="Times New Roman" w:cs="Times New Roman"/>
          <w:sz w:val="24"/>
          <w:szCs w:val="24"/>
        </w:rPr>
        <w:t>GCD profile comparison at 0.125 A/g.</w:t>
      </w:r>
    </w:p>
    <w:p w14:paraId="21A67C36" w14:textId="1A7D9E0B" w:rsidR="009B4A8A" w:rsidRPr="00CD4915" w:rsidRDefault="009B4A8A" w:rsidP="00465720">
      <w:pPr>
        <w:spacing w:before="240" w:line="360" w:lineRule="auto"/>
        <w:jc w:val="both"/>
        <w:rPr>
          <w:rFonts w:ascii="Times New Roman" w:hAnsi="Times New Roman" w:cs="Times New Roman"/>
          <w:b/>
          <w:bCs/>
          <w:sz w:val="24"/>
          <w:szCs w:val="24"/>
          <w:lang w:val="en-US"/>
        </w:rPr>
      </w:pPr>
    </w:p>
    <w:sectPr w:rsidR="009B4A8A" w:rsidRPr="00CD49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E5E41" w14:textId="77777777" w:rsidR="002846A5" w:rsidRDefault="002846A5" w:rsidP="007B6271">
      <w:pPr>
        <w:spacing w:after="0" w:line="240" w:lineRule="auto"/>
      </w:pPr>
      <w:r>
        <w:separator/>
      </w:r>
    </w:p>
  </w:endnote>
  <w:endnote w:type="continuationSeparator" w:id="0">
    <w:p w14:paraId="65037C6C" w14:textId="77777777" w:rsidR="002846A5" w:rsidRDefault="002846A5" w:rsidP="007B6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BED49" w14:textId="77777777" w:rsidR="002846A5" w:rsidRDefault="002846A5" w:rsidP="007B6271">
      <w:pPr>
        <w:spacing w:after="0" w:line="240" w:lineRule="auto"/>
      </w:pPr>
      <w:r>
        <w:separator/>
      </w:r>
    </w:p>
  </w:footnote>
  <w:footnote w:type="continuationSeparator" w:id="0">
    <w:p w14:paraId="7EE0CFF3" w14:textId="77777777" w:rsidR="002846A5" w:rsidRDefault="002846A5" w:rsidP="007B62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yMDWwMDAxMDU0MDBW0lEKTi0uzszPAykwrgUAopOseSwAAAA="/>
  </w:docVars>
  <w:rsids>
    <w:rsidRoot w:val="00D928BE"/>
    <w:rsid w:val="00001612"/>
    <w:rsid w:val="00086CF2"/>
    <w:rsid w:val="000C63C3"/>
    <w:rsid w:val="0014644E"/>
    <w:rsid w:val="00157461"/>
    <w:rsid w:val="001C0927"/>
    <w:rsid w:val="001C650F"/>
    <w:rsid w:val="001E777D"/>
    <w:rsid w:val="00214C93"/>
    <w:rsid w:val="00253F7F"/>
    <w:rsid w:val="002574BE"/>
    <w:rsid w:val="002846A5"/>
    <w:rsid w:val="00295E3E"/>
    <w:rsid w:val="002F4B82"/>
    <w:rsid w:val="00366E63"/>
    <w:rsid w:val="003B2D9E"/>
    <w:rsid w:val="003B649F"/>
    <w:rsid w:val="003E27C3"/>
    <w:rsid w:val="00416AF0"/>
    <w:rsid w:val="00465720"/>
    <w:rsid w:val="004C572B"/>
    <w:rsid w:val="004D03BB"/>
    <w:rsid w:val="00502F13"/>
    <w:rsid w:val="005226F2"/>
    <w:rsid w:val="00696581"/>
    <w:rsid w:val="006A605D"/>
    <w:rsid w:val="006C5392"/>
    <w:rsid w:val="007206D0"/>
    <w:rsid w:val="007804C8"/>
    <w:rsid w:val="00785911"/>
    <w:rsid w:val="007877F8"/>
    <w:rsid w:val="00795E64"/>
    <w:rsid w:val="007B6271"/>
    <w:rsid w:val="008043F5"/>
    <w:rsid w:val="00834555"/>
    <w:rsid w:val="00873D74"/>
    <w:rsid w:val="00886E8B"/>
    <w:rsid w:val="00892562"/>
    <w:rsid w:val="008E7237"/>
    <w:rsid w:val="00901C5C"/>
    <w:rsid w:val="00936B3B"/>
    <w:rsid w:val="009557F0"/>
    <w:rsid w:val="0099527B"/>
    <w:rsid w:val="009B4A8A"/>
    <w:rsid w:val="009E2E88"/>
    <w:rsid w:val="00A14674"/>
    <w:rsid w:val="00A26DCC"/>
    <w:rsid w:val="00A622CA"/>
    <w:rsid w:val="00B447F6"/>
    <w:rsid w:val="00B762E5"/>
    <w:rsid w:val="00B852EB"/>
    <w:rsid w:val="00C3014F"/>
    <w:rsid w:val="00C34AE5"/>
    <w:rsid w:val="00C56CE7"/>
    <w:rsid w:val="00C924F3"/>
    <w:rsid w:val="00CD3B2B"/>
    <w:rsid w:val="00D34163"/>
    <w:rsid w:val="00D5275C"/>
    <w:rsid w:val="00D74569"/>
    <w:rsid w:val="00D928BE"/>
    <w:rsid w:val="00DA5071"/>
    <w:rsid w:val="00DB2539"/>
    <w:rsid w:val="00DD34B3"/>
    <w:rsid w:val="00E4612C"/>
    <w:rsid w:val="00E63BCB"/>
    <w:rsid w:val="00E82422"/>
    <w:rsid w:val="00EB1367"/>
    <w:rsid w:val="00F0377D"/>
    <w:rsid w:val="00F50AD3"/>
    <w:rsid w:val="00FA2A05"/>
    <w:rsid w:val="00FD6149"/>
    <w:rsid w:val="00FF48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DD78E"/>
  <w15:chartTrackingRefBased/>
  <w15:docId w15:val="{3E68CF80-2CDC-4749-A773-669FD246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6149"/>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7B62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6271"/>
  </w:style>
  <w:style w:type="paragraph" w:styleId="Footer">
    <w:name w:val="footer"/>
    <w:basedOn w:val="Normal"/>
    <w:link w:val="FooterChar"/>
    <w:uiPriority w:val="99"/>
    <w:unhideWhenUsed/>
    <w:rsid w:val="007B62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6271"/>
  </w:style>
  <w:style w:type="paragraph" w:customStyle="1" w:styleId="Normal1">
    <w:name w:val="Normal1"/>
    <w:rsid w:val="00C56CE7"/>
    <w:pPr>
      <w:spacing w:after="200" w:line="276" w:lineRule="auto"/>
    </w:pPr>
    <w:rPr>
      <w:rFonts w:ascii="Calibri" w:eastAsia="Calibri" w:hAnsi="Calibri" w:cs="Calibri"/>
      <w:color w:val="000000"/>
      <w:lang w:val="en-US" w:bidi="ml-IN"/>
    </w:rPr>
  </w:style>
  <w:style w:type="character" w:styleId="Hyperlink">
    <w:name w:val="Hyperlink"/>
    <w:basedOn w:val="DefaultParagraphFont"/>
    <w:uiPriority w:val="99"/>
    <w:unhideWhenUsed/>
    <w:rsid w:val="00C56CE7"/>
    <w:rPr>
      <w:color w:val="0563C1" w:themeColor="hyperlink"/>
      <w:u w:val="single"/>
    </w:rPr>
  </w:style>
  <w:style w:type="table" w:styleId="TableGrid">
    <w:name w:val="Table Grid"/>
    <w:basedOn w:val="TableNormal"/>
    <w:uiPriority w:val="39"/>
    <w:rsid w:val="009E2E8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Relationship Id="rId12" Type="http://schemas.openxmlformats.org/officeDocument/2006/relationships/image" Target="media/image6.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indhus@uoc.ac.in" TargetMode="External"/><Relationship Id="rId11" Type="http://schemas.openxmlformats.org/officeDocument/2006/relationships/image" Target="media/image5.tiff"/><Relationship Id="rId5" Type="http://schemas.openxmlformats.org/officeDocument/2006/relationships/endnotes" Target="endnotes.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F0BAB01-BC68-4C3F-873C-E5A97CA11451}">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TotalTime>
  <Pages>6</Pages>
  <Words>860</Words>
  <Characters>4904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aswini Ramakrishnan</dc:creator>
  <cp:keywords/>
  <dc:description/>
  <cp:lastModifiedBy>Sindhu Swaminathan</cp:lastModifiedBy>
  <cp:revision>3</cp:revision>
  <dcterms:created xsi:type="dcterms:W3CDTF">2023-09-07T04:00:00Z</dcterms:created>
  <dcterms:modified xsi:type="dcterms:W3CDTF">2023-11-03T10:16:00Z</dcterms:modified>
</cp:coreProperties>
</file>