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BED196" w14:textId="77777777" w:rsidR="005314DC" w:rsidRDefault="005314DC" w:rsidP="005314DC">
      <w:pPr>
        <w:pStyle w:val="Heading1"/>
        <w:rPr>
          <w:b/>
          <w:sz w:val="24"/>
          <w:szCs w:val="24"/>
        </w:rPr>
      </w:pPr>
      <w:r>
        <w:rPr>
          <w:b/>
          <w:sz w:val="24"/>
          <w:szCs w:val="24"/>
        </w:rPr>
        <w:t>Supplementary information</w:t>
      </w:r>
    </w:p>
    <w:p w14:paraId="797B6884" w14:textId="77777777" w:rsidR="005314DC" w:rsidRDefault="005314DC" w:rsidP="005314DC"/>
    <w:p w14:paraId="0E658811" w14:textId="5D30ED4F" w:rsidR="005314DC" w:rsidRDefault="005314DC" w:rsidP="005314DC">
      <w:pPr>
        <w:keepNext/>
        <w:jc w:val="center"/>
      </w:pPr>
      <w:r>
        <w:rPr>
          <w:noProof/>
        </w:rPr>
        <w:drawing>
          <wp:inline distT="0" distB="0" distL="0" distR="0" wp14:anchorId="4706798A" wp14:editId="2F0490BA">
            <wp:extent cx="5495925" cy="2752725"/>
            <wp:effectExtent l="0" t="0" r="9525" b="0"/>
            <wp:docPr id="6" name="Picture 6" descr="Ein Bild, das Screenshot,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 descr="Ein Bild, das Screenshot, Text enthält.&#10;&#10;Automatisch generierte Beschreibu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95925" cy="2752725"/>
                    </a:xfrm>
                    <a:prstGeom prst="rect">
                      <a:avLst/>
                    </a:prstGeom>
                    <a:noFill/>
                    <a:ln>
                      <a:noFill/>
                    </a:ln>
                  </pic:spPr>
                </pic:pic>
              </a:graphicData>
            </a:graphic>
          </wp:inline>
        </w:drawing>
      </w:r>
    </w:p>
    <w:p w14:paraId="6821AE3E" w14:textId="77777777" w:rsidR="005314DC" w:rsidRDefault="005314DC" w:rsidP="005314DC">
      <w:pPr>
        <w:pStyle w:val="Caption"/>
        <w:rPr>
          <w:b/>
          <w:bCs/>
        </w:rPr>
      </w:pPr>
      <w:r>
        <w:rPr>
          <w:b/>
          <w:bCs/>
        </w:rPr>
        <w:t>Figure S</w:t>
      </w:r>
      <w:r>
        <w:rPr>
          <w:b/>
          <w:bCs/>
        </w:rPr>
        <w:fldChar w:fldCharType="begin"/>
      </w:r>
      <w:r>
        <w:rPr>
          <w:b/>
          <w:bCs/>
        </w:rPr>
        <w:instrText xml:space="preserve"> SEQ Supplement_Figure \* ARABIC </w:instrText>
      </w:r>
      <w:r>
        <w:rPr>
          <w:b/>
          <w:bCs/>
        </w:rPr>
        <w:fldChar w:fldCharType="separate"/>
      </w:r>
      <w:r>
        <w:rPr>
          <w:b/>
          <w:bCs/>
          <w:noProof/>
        </w:rPr>
        <w:t>1</w:t>
      </w:r>
      <w:r>
        <w:rPr>
          <w:b/>
          <w:bCs/>
        </w:rPr>
        <w:fldChar w:fldCharType="end"/>
      </w:r>
      <w:r>
        <w:rPr>
          <w:b/>
          <w:bCs/>
        </w:rPr>
        <w:t xml:space="preserve">: Illustration of PVX-GFP vectors with additional silencing suppressors. </w:t>
      </w:r>
      <w:r>
        <w:t xml:space="preserve">PVX-GFP vectors pNMD42081 and pNMD44072 consisting a </w:t>
      </w:r>
      <w:r>
        <w:rPr>
          <w:szCs w:val="20"/>
          <w:lang w:eastAsia="de-DE"/>
        </w:rPr>
        <w:t xml:space="preserve">Cauliflower Mosaic Virus (CMV) 35S promoter (35S), the viral RNA dependent RNA polymerase (PVX RDR Pol), PVX Coat Protein (CP), PVX triple gene block movement proteins (25K, 12K and 8K), green fluorescent protein </w:t>
      </w:r>
      <w:r>
        <w:rPr>
          <w:szCs w:val="20"/>
        </w:rPr>
        <w:t>(GFP)</w:t>
      </w:r>
      <w:r>
        <w:rPr>
          <w:szCs w:val="20"/>
          <w:lang w:eastAsia="de-DE"/>
        </w:rPr>
        <w:t>, Coat Protein 3’ untranslated region (CP 3’) and the PVX terminator (PVX Ter). Additionally, pNMD42081 encodes for a nucleic acid binding protein (NABP) from cowpea mild mottle virus (CPMMV) which functions as a moderate silencing suppressor, whereas pNMD44072 contains a strong silencing suppressor in form of a NABP from chrysanthemum virus B (CVB). LB and RB represent the left and right boarders of the T-DNA.</w:t>
      </w:r>
    </w:p>
    <w:p w14:paraId="6F2677F5" w14:textId="77777777" w:rsidR="005314DC" w:rsidRDefault="005314DC" w:rsidP="005314DC"/>
    <w:p w14:paraId="31D4E060" w14:textId="5A559F35" w:rsidR="005314DC" w:rsidRDefault="005314DC" w:rsidP="005314DC">
      <w:pPr>
        <w:keepNext/>
        <w:jc w:val="center"/>
      </w:pPr>
      <w:r>
        <w:rPr>
          <w:noProof/>
        </w:rPr>
        <w:lastRenderedPageBreak/>
        <w:drawing>
          <wp:inline distT="0" distB="0" distL="0" distR="0" wp14:anchorId="5E718A88" wp14:editId="13D48095">
            <wp:extent cx="4981575" cy="3038475"/>
            <wp:effectExtent l="0" t="0" r="9525" b="9525"/>
            <wp:docPr id="5" name="Picture 5" descr="Ein Bild, das Zimmerpflanze, Screenshot, Pflanze, Blum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 descr="Ein Bild, das Zimmerpflanze, Screenshot, Pflanze, Blume enthält.&#10;&#10;Automatisch generierte Beschreibu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981575" cy="3038475"/>
                    </a:xfrm>
                    <a:prstGeom prst="rect">
                      <a:avLst/>
                    </a:prstGeom>
                    <a:noFill/>
                    <a:ln>
                      <a:noFill/>
                    </a:ln>
                  </pic:spPr>
                </pic:pic>
              </a:graphicData>
            </a:graphic>
          </wp:inline>
        </w:drawing>
      </w:r>
    </w:p>
    <w:p w14:paraId="4EB08BC8" w14:textId="77777777" w:rsidR="005314DC" w:rsidRDefault="005314DC" w:rsidP="005314DC">
      <w:pPr>
        <w:pStyle w:val="Caption"/>
        <w:ind w:left="709" w:right="702"/>
        <w:rPr>
          <w:b/>
          <w:bCs/>
        </w:rPr>
      </w:pPr>
      <w:r>
        <w:rPr>
          <w:b/>
          <w:bCs/>
        </w:rPr>
        <w:t>Figure S</w:t>
      </w:r>
      <w:r>
        <w:rPr>
          <w:b/>
          <w:bCs/>
        </w:rPr>
        <w:fldChar w:fldCharType="begin"/>
      </w:r>
      <w:r>
        <w:rPr>
          <w:b/>
          <w:bCs/>
        </w:rPr>
        <w:instrText xml:space="preserve"> SEQ Supplement_Figure \* ARABIC </w:instrText>
      </w:r>
      <w:r>
        <w:rPr>
          <w:b/>
          <w:bCs/>
        </w:rPr>
        <w:fldChar w:fldCharType="separate"/>
      </w:r>
      <w:r>
        <w:rPr>
          <w:b/>
          <w:bCs/>
          <w:noProof/>
        </w:rPr>
        <w:t>2</w:t>
      </w:r>
      <w:r>
        <w:rPr>
          <w:b/>
          <w:bCs/>
        </w:rPr>
        <w:fldChar w:fldCharType="end"/>
      </w:r>
      <w:r>
        <w:rPr>
          <w:b/>
          <w:bCs/>
        </w:rPr>
        <w:t xml:space="preserve">: Phenotypes of PVX-infected plants. </w:t>
      </w:r>
      <w:r>
        <w:rPr>
          <w:i/>
          <w:iCs w:val="0"/>
        </w:rPr>
        <w:t xml:space="preserve">N. </w:t>
      </w:r>
      <w:proofErr w:type="spellStart"/>
      <w:r>
        <w:rPr>
          <w:i/>
          <w:iCs w:val="0"/>
        </w:rPr>
        <w:t>benthamiana</w:t>
      </w:r>
      <w:proofErr w:type="spellEnd"/>
      <w:r>
        <w:t xml:space="preserve"> (</w:t>
      </w:r>
      <w:r>
        <w:rPr>
          <w:b/>
          <w:bCs/>
        </w:rPr>
        <w:t>a</w:t>
      </w:r>
      <w:r>
        <w:t xml:space="preserve">) and </w:t>
      </w:r>
      <w:r>
        <w:rPr>
          <w:i/>
          <w:iCs w:val="0"/>
        </w:rPr>
        <w:t>S. tuberosum</w:t>
      </w:r>
      <w:r>
        <w:t xml:space="preserve"> (</w:t>
      </w:r>
      <w:r>
        <w:rPr>
          <w:b/>
          <w:bCs/>
        </w:rPr>
        <w:t>b</w:t>
      </w:r>
      <w:r>
        <w:t>) plants</w:t>
      </w:r>
      <w:r>
        <w:rPr>
          <w:b/>
          <w:bCs/>
        </w:rPr>
        <w:t xml:space="preserve"> </w:t>
      </w:r>
      <w:r>
        <w:t>were either mock-treated by infiltrating 10 mM MgCl</w:t>
      </w:r>
      <w:r>
        <w:rPr>
          <w:vertAlign w:val="subscript"/>
        </w:rPr>
        <w:t>2</w:t>
      </w:r>
      <w:r>
        <w:t xml:space="preserve"> or infiltrated with Agrobacteria carrying the PVX-GFP (pNMD5800), PVX-GFP + CPMMV (pNMD42081) or PVX-GFP + CVB (pNMD44072) vector. Pictures were taken 6 weeks post infection (</w:t>
      </w:r>
      <w:proofErr w:type="spellStart"/>
      <w:r>
        <w:t>wpi</w:t>
      </w:r>
      <w:proofErr w:type="spellEnd"/>
      <w:r>
        <w:t>).</w:t>
      </w:r>
    </w:p>
    <w:p w14:paraId="65EF4761" w14:textId="77777777" w:rsidR="005314DC" w:rsidRDefault="005314DC" w:rsidP="005314DC"/>
    <w:p w14:paraId="27923845" w14:textId="0CF1FA5C" w:rsidR="005314DC" w:rsidRDefault="005314DC" w:rsidP="005314DC">
      <w:pPr>
        <w:keepNext/>
        <w:jc w:val="center"/>
      </w:pPr>
      <w:r>
        <w:rPr>
          <w:noProof/>
        </w:rPr>
        <w:drawing>
          <wp:inline distT="0" distB="0" distL="0" distR="0" wp14:anchorId="44DC76B9" wp14:editId="3CEA8B62">
            <wp:extent cx="4981575" cy="2228850"/>
            <wp:effectExtent l="0" t="0" r="9525" b="0"/>
            <wp:docPr id="4" name="Picture 4" descr="Ein Bild, das Pflanze, Zimmerpflanze, Kraut, Blumentopf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 descr="Ein Bild, das Pflanze, Zimmerpflanze, Kraut, Blumentopf enthält.&#10;&#10;Automatisch generierte Beschreibu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981575" cy="2228850"/>
                    </a:xfrm>
                    <a:prstGeom prst="rect">
                      <a:avLst/>
                    </a:prstGeom>
                    <a:noFill/>
                    <a:ln>
                      <a:noFill/>
                    </a:ln>
                  </pic:spPr>
                </pic:pic>
              </a:graphicData>
            </a:graphic>
          </wp:inline>
        </w:drawing>
      </w:r>
    </w:p>
    <w:p w14:paraId="2F85755A" w14:textId="77777777" w:rsidR="005314DC" w:rsidRDefault="005314DC" w:rsidP="005314DC">
      <w:pPr>
        <w:pStyle w:val="Caption"/>
        <w:ind w:left="426" w:right="419"/>
      </w:pPr>
      <w:r>
        <w:rPr>
          <w:b/>
          <w:bCs/>
        </w:rPr>
        <w:t>Figure S</w:t>
      </w:r>
      <w:r>
        <w:rPr>
          <w:b/>
          <w:bCs/>
        </w:rPr>
        <w:fldChar w:fldCharType="begin"/>
      </w:r>
      <w:r>
        <w:rPr>
          <w:b/>
          <w:bCs/>
        </w:rPr>
        <w:instrText xml:space="preserve"> SEQ Supplement_Figure \* ARABIC </w:instrText>
      </w:r>
      <w:r>
        <w:rPr>
          <w:b/>
          <w:bCs/>
        </w:rPr>
        <w:fldChar w:fldCharType="separate"/>
      </w:r>
      <w:r>
        <w:rPr>
          <w:b/>
          <w:bCs/>
          <w:noProof/>
        </w:rPr>
        <w:t>3</w:t>
      </w:r>
      <w:r>
        <w:rPr>
          <w:b/>
          <w:bCs/>
        </w:rPr>
        <w:fldChar w:fldCharType="end"/>
      </w:r>
      <w:r>
        <w:rPr>
          <w:b/>
          <w:bCs/>
        </w:rPr>
        <w:t xml:space="preserve">: Phenotypes of PVX and PVY co-infected plants. </w:t>
      </w:r>
      <w:r>
        <w:rPr>
          <w:i/>
          <w:iCs w:val="0"/>
        </w:rPr>
        <w:t xml:space="preserve">N. </w:t>
      </w:r>
      <w:proofErr w:type="spellStart"/>
      <w:r>
        <w:rPr>
          <w:i/>
          <w:iCs w:val="0"/>
        </w:rPr>
        <w:t>benthamiana</w:t>
      </w:r>
      <w:proofErr w:type="spellEnd"/>
      <w:r>
        <w:t xml:space="preserve"> (</w:t>
      </w:r>
      <w:r>
        <w:rPr>
          <w:b/>
          <w:bCs/>
        </w:rPr>
        <w:t>a</w:t>
      </w:r>
      <w:r>
        <w:t xml:space="preserve">) and </w:t>
      </w:r>
      <w:r>
        <w:rPr>
          <w:i/>
          <w:iCs w:val="0"/>
        </w:rPr>
        <w:t>S. tuberosum</w:t>
      </w:r>
      <w:r>
        <w:t xml:space="preserve"> (</w:t>
      </w:r>
      <w:r>
        <w:rPr>
          <w:b/>
          <w:bCs/>
        </w:rPr>
        <w:t>b</w:t>
      </w:r>
      <w:r>
        <w:t>) plants</w:t>
      </w:r>
      <w:r>
        <w:rPr>
          <w:b/>
          <w:bCs/>
        </w:rPr>
        <w:t xml:space="preserve"> </w:t>
      </w:r>
      <w:r>
        <w:t xml:space="preserve">were first mechanically inoculated with PVY and 3 dpi </w:t>
      </w:r>
      <w:proofErr w:type="spellStart"/>
      <w:r>
        <w:t>agro</w:t>
      </w:r>
      <w:proofErr w:type="spellEnd"/>
      <w:r>
        <w:t>-infected with PVX-GFP (pNMD5800). Pictures were taken 6 weeks post infection (</w:t>
      </w:r>
      <w:proofErr w:type="spellStart"/>
      <w:r>
        <w:t>wpi</w:t>
      </w:r>
      <w:proofErr w:type="spellEnd"/>
      <w:r>
        <w:t>).</w:t>
      </w:r>
    </w:p>
    <w:p w14:paraId="2DF3BFB5" w14:textId="77777777" w:rsidR="005314DC" w:rsidRDefault="005314DC" w:rsidP="005314DC"/>
    <w:p w14:paraId="7B0E5D90" w14:textId="0364FA57" w:rsidR="005314DC" w:rsidRDefault="005314DC" w:rsidP="005314DC">
      <w:pPr>
        <w:keepNext/>
        <w:jc w:val="center"/>
      </w:pPr>
      <w:r>
        <w:rPr>
          <w:rFonts w:cs="Arial"/>
          <w:noProof/>
        </w:rPr>
        <w:drawing>
          <wp:inline distT="0" distB="0" distL="0" distR="0" wp14:anchorId="58C35F96" wp14:editId="06DDBB3E">
            <wp:extent cx="5762625" cy="25622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62625" cy="2562225"/>
                    </a:xfrm>
                    <a:prstGeom prst="rect">
                      <a:avLst/>
                    </a:prstGeom>
                    <a:noFill/>
                    <a:ln>
                      <a:noFill/>
                    </a:ln>
                  </pic:spPr>
                </pic:pic>
              </a:graphicData>
            </a:graphic>
          </wp:inline>
        </w:drawing>
      </w:r>
    </w:p>
    <w:p w14:paraId="71286335" w14:textId="77777777" w:rsidR="005314DC" w:rsidRDefault="005314DC" w:rsidP="005314DC">
      <w:pPr>
        <w:pStyle w:val="Caption"/>
        <w:rPr>
          <w:rFonts w:cs="Arial"/>
          <w:b/>
          <w:bCs/>
        </w:rPr>
      </w:pPr>
      <w:r>
        <w:rPr>
          <w:b/>
          <w:bCs/>
        </w:rPr>
        <w:t>Figure S4: Detection of PVX-GFP transcripts</w:t>
      </w:r>
      <w:r>
        <w:t xml:space="preserve"> by RT-PCR in mock-, single-, and co-infected </w:t>
      </w:r>
      <w:r>
        <w:rPr>
          <w:i/>
          <w:iCs w:val="0"/>
        </w:rPr>
        <w:t>N. </w:t>
      </w:r>
      <w:proofErr w:type="spellStart"/>
      <w:r>
        <w:rPr>
          <w:i/>
          <w:iCs w:val="0"/>
        </w:rPr>
        <w:t>benthamiana</w:t>
      </w:r>
      <w:proofErr w:type="spellEnd"/>
      <w:r>
        <w:t xml:space="preserve"> and </w:t>
      </w:r>
      <w:r>
        <w:rPr>
          <w:i/>
          <w:iCs w:val="0"/>
        </w:rPr>
        <w:t>S. tuberosum</w:t>
      </w:r>
      <w:r>
        <w:t xml:space="preserve"> cultivars </w:t>
      </w:r>
      <w:proofErr w:type="spellStart"/>
      <w:r>
        <w:t>Désirée</w:t>
      </w:r>
      <w:proofErr w:type="spellEnd"/>
      <w:r>
        <w:t xml:space="preserve"> (DE), Solara (SO), </w:t>
      </w:r>
      <w:proofErr w:type="spellStart"/>
      <w:r>
        <w:t>Spunta</w:t>
      </w:r>
      <w:proofErr w:type="spellEnd"/>
      <w:r>
        <w:t xml:space="preserve"> (SP) and Russet Burbank (RB). pNMD5800 plasmid served as positive control (+). A 100 bp and 1 kb </w:t>
      </w:r>
      <w:proofErr w:type="spellStart"/>
      <w:r>
        <w:t>GeneRuler</w:t>
      </w:r>
      <w:proofErr w:type="spellEnd"/>
      <w:r>
        <w:t xml:space="preserve"> (GR) were used to determine PVX-GFP transcript fragment size (indicated by arrows and expected size).</w:t>
      </w:r>
    </w:p>
    <w:p w14:paraId="3572D8DF" w14:textId="77777777" w:rsidR="005314DC" w:rsidRDefault="005314DC" w:rsidP="005314DC">
      <w:pPr>
        <w:rPr>
          <w:rFonts w:cs="Arial"/>
        </w:rPr>
      </w:pPr>
    </w:p>
    <w:p w14:paraId="11F6BD27" w14:textId="457B4A7A" w:rsidR="005314DC" w:rsidRDefault="005314DC" w:rsidP="005314DC">
      <w:pPr>
        <w:keepNext/>
        <w:jc w:val="center"/>
      </w:pPr>
      <w:r>
        <w:rPr>
          <w:rFonts w:cs="Arial"/>
          <w:noProof/>
        </w:rPr>
        <w:lastRenderedPageBreak/>
        <w:drawing>
          <wp:inline distT="0" distB="0" distL="0" distR="0" wp14:anchorId="5A36E92A" wp14:editId="305845D2">
            <wp:extent cx="5762625" cy="3286125"/>
            <wp:effectExtent l="0" t="0" r="9525" b="9525"/>
            <wp:docPr id="2" name="Picture 2" descr="Ein Bild, das Text, Screenshot, Schrif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descr="Ein Bild, das Text, Screenshot, Schrift enthält.&#10;&#10;Automatisch generierte Beschreibung"/>
                    <pic:cNvPicPr>
                      <a:picLocks noChangeAspect="1" noChangeArrowheads="1"/>
                    </pic:cNvPicPr>
                  </pic:nvPicPr>
                  <pic:blipFill>
                    <a:blip r:embed="rId8" cstate="print">
                      <a:extLst>
                        <a:ext uri="{28A0092B-C50C-407E-A947-70E740481C1C}">
                          <a14:useLocalDpi xmlns:a14="http://schemas.microsoft.com/office/drawing/2010/main" val="0"/>
                        </a:ext>
                      </a:extLst>
                    </a:blip>
                    <a:srcRect b="25566"/>
                    <a:stretch>
                      <a:fillRect/>
                    </a:stretch>
                  </pic:blipFill>
                  <pic:spPr bwMode="auto">
                    <a:xfrm>
                      <a:off x="0" y="0"/>
                      <a:ext cx="5762625" cy="3286125"/>
                    </a:xfrm>
                    <a:prstGeom prst="rect">
                      <a:avLst/>
                    </a:prstGeom>
                    <a:noFill/>
                    <a:ln>
                      <a:noFill/>
                    </a:ln>
                  </pic:spPr>
                </pic:pic>
              </a:graphicData>
            </a:graphic>
          </wp:inline>
        </w:drawing>
      </w:r>
    </w:p>
    <w:p w14:paraId="41C3485A" w14:textId="77777777" w:rsidR="005314DC" w:rsidRDefault="005314DC" w:rsidP="005314DC">
      <w:pPr>
        <w:pStyle w:val="Caption"/>
        <w:rPr>
          <w:rFonts w:cs="Arial"/>
          <w:b/>
          <w:bCs/>
        </w:rPr>
      </w:pPr>
      <w:r>
        <w:rPr>
          <w:b/>
          <w:bCs/>
        </w:rPr>
        <w:t>Figure S</w:t>
      </w:r>
      <w:r>
        <w:rPr>
          <w:b/>
          <w:bCs/>
        </w:rPr>
        <w:fldChar w:fldCharType="begin"/>
      </w:r>
      <w:r>
        <w:rPr>
          <w:b/>
          <w:bCs/>
        </w:rPr>
        <w:instrText xml:space="preserve"> SEQ Figure \* ARABIC </w:instrText>
      </w:r>
      <w:r>
        <w:rPr>
          <w:b/>
          <w:bCs/>
        </w:rPr>
        <w:fldChar w:fldCharType="separate"/>
      </w:r>
      <w:r>
        <w:rPr>
          <w:b/>
          <w:bCs/>
          <w:noProof/>
        </w:rPr>
        <w:t>5</w:t>
      </w:r>
      <w:r>
        <w:rPr>
          <w:b/>
          <w:bCs/>
        </w:rPr>
        <w:fldChar w:fldCharType="end"/>
      </w:r>
      <w:r>
        <w:rPr>
          <w:b/>
          <w:bCs/>
        </w:rPr>
        <w:t>: Detection of PVY transcripts</w:t>
      </w:r>
      <w:r>
        <w:t xml:space="preserve"> by RT-PCR in mock-, single-, and co-infected </w:t>
      </w:r>
      <w:r>
        <w:rPr>
          <w:i/>
          <w:iCs w:val="0"/>
        </w:rPr>
        <w:t>N. </w:t>
      </w:r>
      <w:proofErr w:type="spellStart"/>
      <w:r>
        <w:rPr>
          <w:i/>
          <w:iCs w:val="0"/>
        </w:rPr>
        <w:t>benthamiana</w:t>
      </w:r>
      <w:proofErr w:type="spellEnd"/>
      <w:r>
        <w:t xml:space="preserve"> and </w:t>
      </w:r>
      <w:r>
        <w:rPr>
          <w:i/>
          <w:iCs w:val="0"/>
        </w:rPr>
        <w:t>S. tuberosum</w:t>
      </w:r>
      <w:r>
        <w:t xml:space="preserve"> cultivars </w:t>
      </w:r>
      <w:proofErr w:type="spellStart"/>
      <w:r>
        <w:t>Désirée</w:t>
      </w:r>
      <w:proofErr w:type="spellEnd"/>
      <w:r>
        <w:t xml:space="preserve"> (DE), Solara (SO), </w:t>
      </w:r>
      <w:proofErr w:type="spellStart"/>
      <w:r>
        <w:t>Spunta</w:t>
      </w:r>
      <w:proofErr w:type="spellEnd"/>
      <w:r>
        <w:t xml:space="preserve"> (SP) and Russet Burbank (RB). Infectious PVY inoculum served as positive control (+). A 1 kb </w:t>
      </w:r>
      <w:proofErr w:type="spellStart"/>
      <w:r>
        <w:t>GeneRuler</w:t>
      </w:r>
      <w:proofErr w:type="spellEnd"/>
      <w:r>
        <w:t xml:space="preserve"> (GR) was used to determine PVY transcript fragment size (indicated by arrow and expected size).</w:t>
      </w:r>
    </w:p>
    <w:p w14:paraId="7BBB6D99" w14:textId="77777777" w:rsidR="005314DC" w:rsidRDefault="005314DC" w:rsidP="005314DC">
      <w:pPr>
        <w:rPr>
          <w:rFonts w:cs="Arial"/>
        </w:rPr>
      </w:pPr>
    </w:p>
    <w:p w14:paraId="60687CAB" w14:textId="4E072D19" w:rsidR="005314DC" w:rsidRDefault="005314DC" w:rsidP="005314DC">
      <w:pPr>
        <w:keepNext/>
        <w:jc w:val="center"/>
      </w:pPr>
      <w:r>
        <w:rPr>
          <w:rFonts w:cs="Arial"/>
          <w:noProof/>
        </w:rPr>
        <w:lastRenderedPageBreak/>
        <w:drawing>
          <wp:inline distT="0" distB="0" distL="0" distR="0" wp14:anchorId="079BCAC6" wp14:editId="58CD10B7">
            <wp:extent cx="5762625" cy="3238500"/>
            <wp:effectExtent l="0" t="0" r="9525" b="0"/>
            <wp:docPr id="1" name="Picture 1" descr="Ein Bild, das Screenshot, Text, Rechteck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 descr="Ein Bild, das Screenshot, Text, Rechteck enthält.&#10;&#10;Automatisch generierte Beschreibu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62625" cy="3238500"/>
                    </a:xfrm>
                    <a:prstGeom prst="rect">
                      <a:avLst/>
                    </a:prstGeom>
                    <a:noFill/>
                    <a:ln>
                      <a:noFill/>
                    </a:ln>
                  </pic:spPr>
                </pic:pic>
              </a:graphicData>
            </a:graphic>
          </wp:inline>
        </w:drawing>
      </w:r>
    </w:p>
    <w:p w14:paraId="23839027" w14:textId="77777777" w:rsidR="005314DC" w:rsidRDefault="005314DC" w:rsidP="005314DC">
      <w:pPr>
        <w:pStyle w:val="Caption"/>
        <w:rPr>
          <w:rFonts w:cs="Arial"/>
          <w:b/>
          <w:bCs/>
        </w:rPr>
      </w:pPr>
      <w:r>
        <w:rPr>
          <w:b/>
          <w:bCs/>
        </w:rPr>
        <w:t>Figure S</w:t>
      </w:r>
      <w:r>
        <w:rPr>
          <w:b/>
          <w:bCs/>
        </w:rPr>
        <w:fldChar w:fldCharType="begin"/>
      </w:r>
      <w:r>
        <w:rPr>
          <w:b/>
          <w:bCs/>
        </w:rPr>
        <w:instrText xml:space="preserve"> SEQ Figure \* ARABIC </w:instrText>
      </w:r>
      <w:r>
        <w:rPr>
          <w:b/>
          <w:bCs/>
        </w:rPr>
        <w:fldChar w:fldCharType="separate"/>
      </w:r>
      <w:r>
        <w:rPr>
          <w:b/>
          <w:bCs/>
          <w:noProof/>
        </w:rPr>
        <w:t>6</w:t>
      </w:r>
      <w:r>
        <w:rPr>
          <w:b/>
          <w:bCs/>
        </w:rPr>
        <w:fldChar w:fldCharType="end"/>
      </w:r>
      <w:r>
        <w:rPr>
          <w:b/>
          <w:bCs/>
        </w:rPr>
        <w:t>: Detection of actin transcripts</w:t>
      </w:r>
      <w:r>
        <w:t xml:space="preserve"> (as control) by RT-PCR in mock-, single-, and co-infected </w:t>
      </w:r>
      <w:r>
        <w:rPr>
          <w:i/>
          <w:iCs w:val="0"/>
        </w:rPr>
        <w:t>N. </w:t>
      </w:r>
      <w:proofErr w:type="spellStart"/>
      <w:r>
        <w:rPr>
          <w:i/>
          <w:iCs w:val="0"/>
        </w:rPr>
        <w:t>benthamiana</w:t>
      </w:r>
      <w:proofErr w:type="spellEnd"/>
      <w:r>
        <w:t xml:space="preserve"> and </w:t>
      </w:r>
      <w:r>
        <w:rPr>
          <w:i/>
          <w:iCs w:val="0"/>
        </w:rPr>
        <w:t>S. tuberosum</w:t>
      </w:r>
      <w:r>
        <w:t xml:space="preserve"> cultivars </w:t>
      </w:r>
      <w:proofErr w:type="spellStart"/>
      <w:r>
        <w:t>Désirée</w:t>
      </w:r>
      <w:proofErr w:type="spellEnd"/>
      <w:r>
        <w:t xml:space="preserve"> (DE), Solara (SO), </w:t>
      </w:r>
      <w:proofErr w:type="spellStart"/>
      <w:r>
        <w:t>Spunta</w:t>
      </w:r>
      <w:proofErr w:type="spellEnd"/>
      <w:r>
        <w:t xml:space="preserve"> (SP) and Russet Burbank (RB). A 1 kb </w:t>
      </w:r>
      <w:proofErr w:type="spellStart"/>
      <w:r>
        <w:t>GeneRuler</w:t>
      </w:r>
      <w:proofErr w:type="spellEnd"/>
      <w:r>
        <w:t xml:space="preserve"> (GR) was used to determine actin transcript fragment size (indicated by arrow and expected size).</w:t>
      </w:r>
    </w:p>
    <w:p w14:paraId="4D74687C" w14:textId="77777777" w:rsidR="00AD1398" w:rsidRDefault="00AD1398"/>
    <w:sectPr w:rsidR="00AD13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14DC"/>
    <w:rsid w:val="005314DC"/>
    <w:rsid w:val="00AD13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93D7AF"/>
  <w15:chartTrackingRefBased/>
  <w15:docId w15:val="{A8AF364A-AEC5-47DB-9FD2-BAE838CF60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14DC"/>
    <w:pPr>
      <w:spacing w:after="0" w:line="480" w:lineRule="auto"/>
      <w:jc w:val="both"/>
    </w:pPr>
    <w:rPr>
      <w:rFonts w:ascii="Arial" w:hAnsi="Arial"/>
      <w:sz w:val="24"/>
      <w:szCs w:val="24"/>
    </w:rPr>
  </w:style>
  <w:style w:type="paragraph" w:styleId="Heading1">
    <w:name w:val="heading 1"/>
    <w:aliases w:val="Arial"/>
    <w:basedOn w:val="Normal"/>
    <w:next w:val="Normal"/>
    <w:link w:val="Heading1Char"/>
    <w:uiPriority w:val="9"/>
    <w:qFormat/>
    <w:rsid w:val="005314DC"/>
    <w:pPr>
      <w:keepNext/>
      <w:keepLines/>
      <w:spacing w:before="240"/>
      <w:outlineLvl w:val="0"/>
    </w:pPr>
    <w:rPr>
      <w:rFonts w:eastAsiaTheme="majorEastAsia" w:cstheme="majorBidi"/>
      <w:color w:val="000000" w:themeColor="text1"/>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Arial Char"/>
    <w:basedOn w:val="DefaultParagraphFont"/>
    <w:link w:val="Heading1"/>
    <w:uiPriority w:val="9"/>
    <w:rsid w:val="005314DC"/>
    <w:rPr>
      <w:rFonts w:ascii="Arial" w:eastAsiaTheme="majorEastAsia" w:hAnsi="Arial" w:cstheme="majorBidi"/>
      <w:color w:val="000000" w:themeColor="text1"/>
      <w:sz w:val="28"/>
      <w:szCs w:val="32"/>
    </w:rPr>
  </w:style>
  <w:style w:type="paragraph" w:styleId="Caption">
    <w:name w:val="caption"/>
    <w:basedOn w:val="Normal"/>
    <w:next w:val="Normal"/>
    <w:uiPriority w:val="35"/>
    <w:semiHidden/>
    <w:unhideWhenUsed/>
    <w:qFormat/>
    <w:rsid w:val="005314DC"/>
    <w:pPr>
      <w:spacing w:after="200"/>
    </w:pPr>
    <w:rPr>
      <w:iCs/>
      <w:color w:val="000000" w:themeColor="text1"/>
      <w:sz w:val="20"/>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80271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388</Words>
  <Characters>2212</Characters>
  <Application>Microsoft Office Word</Application>
  <DocSecurity>0</DocSecurity>
  <Lines>18</Lines>
  <Paragraphs>5</Paragraphs>
  <ScaleCrop>false</ScaleCrop>
  <Company>Springer Nature</Company>
  <LinksUpToDate>false</LinksUpToDate>
  <CharactersWithSpaces>2595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2023-11-08T05:46:00Z</dcterms:created>
  <dcterms:modified xsi:type="dcterms:W3CDTF">2023-11-08T05:46:00Z</dcterms:modified>
</cp:coreProperties>
</file>