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2575" w14:textId="38AD36C4" w:rsidR="00334394" w:rsidRPr="00132E24" w:rsidRDefault="00132E24" w:rsidP="00132E24">
      <w:pPr>
        <w:tabs>
          <w:tab w:val="left" w:pos="767"/>
        </w:tabs>
        <w:spacing w:after="0" w:line="360" w:lineRule="auto"/>
        <w:jc w:val="both"/>
        <w:rPr>
          <w:rFonts w:ascii="Calibri" w:eastAsia="EB Garamond" w:hAnsi="Calibri" w:cs="Calibri"/>
          <w:b/>
          <w:sz w:val="36"/>
          <w:szCs w:val="36"/>
          <w:lang w:val="en-US" w:eastAsia="de-DE"/>
        </w:rPr>
      </w:pPr>
      <w:r w:rsidRPr="00132E24">
        <w:rPr>
          <w:rFonts w:ascii="Calibri" w:eastAsia="EB Garamond" w:hAnsi="Calibri" w:cs="Calibri"/>
          <w:b/>
          <w:sz w:val="36"/>
          <w:szCs w:val="36"/>
          <w:lang w:val="en-US" w:eastAsia="de-DE"/>
        </w:rPr>
        <w:t xml:space="preserve">Supplementary </w:t>
      </w:r>
      <w:r w:rsidR="00AC2136">
        <w:rPr>
          <w:rFonts w:ascii="Calibri" w:eastAsia="EB Garamond" w:hAnsi="Calibri" w:cs="Calibri"/>
          <w:b/>
          <w:sz w:val="36"/>
          <w:szCs w:val="36"/>
          <w:lang w:val="en-US" w:eastAsia="de-DE"/>
        </w:rPr>
        <w:t>appendix</w:t>
      </w:r>
    </w:p>
    <w:p w14:paraId="721028FC" w14:textId="71014740" w:rsidR="00132E24" w:rsidRDefault="00132E24">
      <w:pPr>
        <w:rPr>
          <w:lang w:val="en-US"/>
        </w:rPr>
      </w:pPr>
    </w:p>
    <w:p w14:paraId="2D4BEDB4" w14:textId="3217B5BF" w:rsidR="00DA4130" w:rsidRDefault="00DA4130">
      <w:pPr>
        <w:rPr>
          <w:rFonts w:eastAsia="EB Garamond"/>
          <w:lang w:val="en-CA"/>
        </w:rPr>
      </w:pPr>
      <w:r w:rsidRPr="00DA4130">
        <w:rPr>
          <w:rFonts w:eastAsia="EB Garamond"/>
          <w:lang w:val="en-US"/>
        </w:rPr>
        <w:t xml:space="preserve">Hofstetter L, Fontana M, Tomlinson GA, Hincapié CA. </w:t>
      </w:r>
      <w:r w:rsidRPr="00C23764">
        <w:rPr>
          <w:rFonts w:eastAsia="EB Garamond"/>
          <w:lang w:val="en-CA"/>
        </w:rPr>
        <w:t>A Bayesian analysis integrating expert beliefs highlighted the value of eliciting informative priors to better understand how new evidence should change what we believe: a use case of chiropractic care and acute lumbar disc herniation with early surgery</w:t>
      </w:r>
      <w:r>
        <w:rPr>
          <w:rFonts w:eastAsia="EB Garamond"/>
          <w:lang w:val="en-CA"/>
        </w:rPr>
        <w:t xml:space="preserve"> (2023).</w:t>
      </w:r>
    </w:p>
    <w:p w14:paraId="7E44184E" w14:textId="77777777" w:rsidR="00DA4130" w:rsidRDefault="00DA4130">
      <w:pPr>
        <w:rPr>
          <w:rFonts w:eastAsia="EB Garamond"/>
          <w:lang w:val="en-CA"/>
        </w:rPr>
      </w:pPr>
    </w:p>
    <w:p w14:paraId="6BB3871F" w14:textId="77777777" w:rsidR="00DA4130" w:rsidRPr="00DA4130" w:rsidRDefault="00DA4130">
      <w:pPr>
        <w:rPr>
          <w:lang w:val="en-US"/>
        </w:rPr>
      </w:pPr>
    </w:p>
    <w:p w14:paraId="4ECC7F57" w14:textId="2A96756F" w:rsidR="00CE373F" w:rsidRPr="00C23764" w:rsidRDefault="00FD5FE6" w:rsidP="00CE373F">
      <w:pPr>
        <w:spacing w:line="360" w:lineRule="auto"/>
        <w:jc w:val="both"/>
        <w:rPr>
          <w:rFonts w:ascii="Calibri" w:eastAsia="EB Garamond" w:hAnsi="Calibri" w:cs="Calibri"/>
          <w:b/>
          <w:lang w:val="en-CA"/>
        </w:rPr>
      </w:pPr>
      <w:r w:rsidRPr="00EE2ED1">
        <w:rPr>
          <w:rFonts w:ascii="Calibri" w:eastAsia="EB Garamond" w:hAnsi="Calibri" w:cs="Calibri"/>
          <w:b/>
          <w:bCs/>
          <w:lang w:val="en-US"/>
        </w:rPr>
        <w:t>e</w:t>
      </w:r>
      <w:r w:rsidR="00CE373F" w:rsidRPr="00EE2ED1">
        <w:rPr>
          <w:rFonts w:ascii="Calibri" w:eastAsia="EB Garamond" w:hAnsi="Calibri" w:cs="Calibri"/>
          <w:b/>
          <w:bCs/>
          <w:lang w:val="en-US"/>
        </w:rPr>
        <w:t>Table 1.</w:t>
      </w:r>
      <w:r w:rsidR="00CE373F" w:rsidRPr="00EE2ED1">
        <w:rPr>
          <w:rFonts w:ascii="Calibri" w:eastAsia="EB Garamond" w:hAnsi="Calibri" w:cs="Calibri"/>
          <w:lang w:val="en-US"/>
        </w:rPr>
        <w:t xml:space="preserve"> </w:t>
      </w:r>
      <w:r w:rsidR="009011BD" w:rsidRPr="00D10A76">
        <w:rPr>
          <w:rFonts w:eastAsia="EB Garamond"/>
          <w:lang w:val="en-CA"/>
        </w:rPr>
        <w:t xml:space="preserve">Summaries of the posterior distributions of the </w:t>
      </w:r>
      <w:r w:rsidR="009011BD">
        <w:rPr>
          <w:rFonts w:eastAsia="EB Garamond"/>
          <w:lang w:val="en-CA"/>
        </w:rPr>
        <w:t>incidence rate ratios</w:t>
      </w:r>
      <w:r w:rsidR="009011BD" w:rsidRPr="00D10A76">
        <w:rPr>
          <w:rFonts w:eastAsia="EB Garamond"/>
          <w:lang w:val="en-CA"/>
        </w:rPr>
        <w:t xml:space="preserve"> </w:t>
      </w:r>
      <w:r w:rsidR="00A87C33">
        <w:rPr>
          <w:rFonts w:eastAsia="EB Garamond"/>
          <w:lang w:val="en-CA"/>
        </w:rPr>
        <w:t xml:space="preserve">(IRRs) </w:t>
      </w:r>
      <w:r w:rsidR="009011BD" w:rsidRPr="00D10A76">
        <w:rPr>
          <w:rFonts w:eastAsia="EB Garamond"/>
          <w:lang w:val="en-CA"/>
        </w:rPr>
        <w:t>for acute lumbar disc herniation with early surgery associated with chiropractic care</w:t>
      </w:r>
      <w:r w:rsidR="00A87C33">
        <w:rPr>
          <w:rFonts w:eastAsia="EB Garamond"/>
          <w:lang w:val="en-CA"/>
        </w:rPr>
        <w:t xml:space="preserve"> versus primary medical care</w:t>
      </w:r>
      <w:r w:rsidR="00EE2ED1">
        <w:rPr>
          <w:rFonts w:eastAsia="EB Garamond"/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446"/>
        <w:gridCol w:w="1856"/>
        <w:gridCol w:w="2114"/>
        <w:gridCol w:w="2075"/>
      </w:tblGrid>
      <w:tr w:rsidR="00325AFB" w:rsidRPr="00325AFB" w14:paraId="7029E8B8" w14:textId="77777777" w:rsidTr="007D6C37">
        <w:tc>
          <w:tcPr>
            <w:tcW w:w="1525" w:type="dxa"/>
          </w:tcPr>
          <w:p w14:paraId="7FAEE424" w14:textId="77777777" w:rsidR="00325AFB" w:rsidRPr="00325AFB" w:rsidRDefault="00325AFB" w:rsidP="000C10B6">
            <w:pPr>
              <w:spacing w:beforeLines="40" w:before="96" w:afterLines="40" w:after="96"/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  <w:t>Time window</w:t>
            </w:r>
          </w:p>
        </w:tc>
        <w:tc>
          <w:tcPr>
            <w:tcW w:w="1446" w:type="dxa"/>
          </w:tcPr>
          <w:p w14:paraId="7373312F" w14:textId="77777777" w:rsidR="00325AFB" w:rsidRPr="00325AFB" w:rsidRDefault="00325AFB" w:rsidP="000C10B6">
            <w:pPr>
              <w:spacing w:beforeLines="40" w:before="96" w:afterLines="40" w:after="96"/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  <w:t>Expert beliefs</w:t>
            </w:r>
          </w:p>
        </w:tc>
        <w:tc>
          <w:tcPr>
            <w:tcW w:w="1856" w:type="dxa"/>
          </w:tcPr>
          <w:p w14:paraId="2532DEDF" w14:textId="1343F403" w:rsidR="00325AFB" w:rsidRPr="00325AFB" w:rsidRDefault="00A30A5F" w:rsidP="000C10B6">
            <w:pPr>
              <w:spacing w:beforeLines="40" w:before="96" w:afterLines="40" w:after="96"/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  <w:t>I</w:t>
            </w:r>
            <w:r w:rsidR="00325AFB" w:rsidRPr="00325AFB"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  <w:t>RR (95% CrI)</w:t>
            </w:r>
          </w:p>
        </w:tc>
        <w:tc>
          <w:tcPr>
            <w:tcW w:w="2114" w:type="dxa"/>
          </w:tcPr>
          <w:p w14:paraId="2B9CE229" w14:textId="4C0CB845" w:rsidR="00325AFB" w:rsidRPr="00325AFB" w:rsidRDefault="00325AFB" w:rsidP="000C10B6">
            <w:pPr>
              <w:spacing w:beforeLines="40" w:before="96" w:afterLines="40" w:after="96"/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  <w:t xml:space="preserve">Probability for benefit </w:t>
            </w:r>
          </w:p>
        </w:tc>
        <w:tc>
          <w:tcPr>
            <w:tcW w:w="2075" w:type="dxa"/>
          </w:tcPr>
          <w:p w14:paraId="3C9D0DDF" w14:textId="1F05FEA5" w:rsidR="00325AFB" w:rsidRPr="00325AFB" w:rsidRDefault="00325AFB" w:rsidP="000C10B6">
            <w:pPr>
              <w:spacing w:beforeLines="40" w:before="96" w:afterLines="40" w:after="96"/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b/>
                <w:bCs/>
                <w:sz w:val="20"/>
                <w:szCs w:val="20"/>
                <w:lang w:val="en-CA"/>
              </w:rPr>
              <w:t xml:space="preserve">Probability for harm </w:t>
            </w:r>
          </w:p>
        </w:tc>
      </w:tr>
      <w:tr w:rsidR="00325AFB" w:rsidRPr="00325AFB" w14:paraId="154C29E0" w14:textId="77777777" w:rsidTr="0025388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12D1CA57" w14:textId="06255C2C" w:rsidR="00325AFB" w:rsidRPr="00325AFB" w:rsidRDefault="000C10B6" w:rsidP="000C10B6">
            <w:pPr>
              <w:spacing w:beforeLines="40" w:before="96" w:afterLines="40" w:after="96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Specific</w:t>
            </w:r>
            <w:r w:rsidR="00325AFB"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outcome definition</w:t>
            </w:r>
          </w:p>
        </w:tc>
      </w:tr>
      <w:tr w:rsidR="00325AFB" w:rsidRPr="00325AFB" w14:paraId="3718378A" w14:textId="77777777" w:rsidTr="007D6C37">
        <w:tc>
          <w:tcPr>
            <w:tcW w:w="1525" w:type="dxa"/>
          </w:tcPr>
          <w:p w14:paraId="25EF27AE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 weeks</w:t>
            </w:r>
          </w:p>
        </w:tc>
        <w:tc>
          <w:tcPr>
            <w:tcW w:w="1446" w:type="dxa"/>
          </w:tcPr>
          <w:p w14:paraId="62D2059E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Enthusiastic</w:t>
            </w:r>
          </w:p>
        </w:tc>
        <w:tc>
          <w:tcPr>
            <w:tcW w:w="1856" w:type="dxa"/>
          </w:tcPr>
          <w:p w14:paraId="2E2E5C36" w14:textId="2F79FC01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 xml:space="preserve">0.56 (0.22 </w:t>
            </w:r>
            <w:r w:rsidR="000C10B6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–</w:t>
            </w: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 xml:space="preserve"> 1.21)</w:t>
            </w:r>
          </w:p>
        </w:tc>
        <w:tc>
          <w:tcPr>
            <w:tcW w:w="2114" w:type="dxa"/>
          </w:tcPr>
          <w:p w14:paraId="439446FA" w14:textId="1D469A7F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93.0</w:t>
            </w:r>
          </w:p>
        </w:tc>
        <w:tc>
          <w:tcPr>
            <w:tcW w:w="2075" w:type="dxa"/>
          </w:tcPr>
          <w:p w14:paraId="2A73C9FA" w14:textId="65ED60D3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7.0</w:t>
            </w:r>
          </w:p>
        </w:tc>
      </w:tr>
      <w:tr w:rsidR="00325AFB" w:rsidRPr="00325AFB" w14:paraId="3903F7A9" w14:textId="77777777" w:rsidTr="007D6C37">
        <w:tc>
          <w:tcPr>
            <w:tcW w:w="1525" w:type="dxa"/>
          </w:tcPr>
          <w:p w14:paraId="37177A0E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 weeks</w:t>
            </w:r>
          </w:p>
        </w:tc>
        <w:tc>
          <w:tcPr>
            <w:tcW w:w="1446" w:type="dxa"/>
          </w:tcPr>
          <w:p w14:paraId="1AB24B85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Neutral</w:t>
            </w:r>
          </w:p>
        </w:tc>
        <w:tc>
          <w:tcPr>
            <w:tcW w:w="1856" w:type="dxa"/>
          </w:tcPr>
          <w:p w14:paraId="4507FE64" w14:textId="6B22D0A6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0.97 (0.42 – 1.61)</w:t>
            </w:r>
          </w:p>
        </w:tc>
        <w:tc>
          <w:tcPr>
            <w:tcW w:w="2114" w:type="dxa"/>
          </w:tcPr>
          <w:p w14:paraId="5EB70A55" w14:textId="1F931A3E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56.1</w:t>
            </w:r>
          </w:p>
        </w:tc>
        <w:tc>
          <w:tcPr>
            <w:tcW w:w="2075" w:type="dxa"/>
          </w:tcPr>
          <w:p w14:paraId="2F144E13" w14:textId="276827FD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43.9</w:t>
            </w:r>
          </w:p>
        </w:tc>
      </w:tr>
      <w:tr w:rsidR="00325AFB" w:rsidRPr="00325AFB" w14:paraId="588D1F95" w14:textId="77777777" w:rsidTr="007D6C37">
        <w:tc>
          <w:tcPr>
            <w:tcW w:w="1525" w:type="dxa"/>
          </w:tcPr>
          <w:p w14:paraId="6840D02E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 weeks</w:t>
            </w:r>
          </w:p>
        </w:tc>
        <w:tc>
          <w:tcPr>
            <w:tcW w:w="1446" w:type="dxa"/>
          </w:tcPr>
          <w:p w14:paraId="197F60FC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Skeptical</w:t>
            </w:r>
          </w:p>
        </w:tc>
        <w:tc>
          <w:tcPr>
            <w:tcW w:w="1856" w:type="dxa"/>
          </w:tcPr>
          <w:p w14:paraId="46B86915" w14:textId="67F2C456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1.40 (0.52 – 2.55)</w:t>
            </w:r>
          </w:p>
        </w:tc>
        <w:tc>
          <w:tcPr>
            <w:tcW w:w="2114" w:type="dxa"/>
          </w:tcPr>
          <w:p w14:paraId="2BA413B0" w14:textId="24B3C4D4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20.0</w:t>
            </w:r>
          </w:p>
        </w:tc>
        <w:tc>
          <w:tcPr>
            <w:tcW w:w="2075" w:type="dxa"/>
          </w:tcPr>
          <w:p w14:paraId="5093FE3C" w14:textId="4403B372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80.0</w:t>
            </w:r>
          </w:p>
        </w:tc>
      </w:tr>
      <w:tr w:rsidR="00325AFB" w:rsidRPr="00325AFB" w14:paraId="4379E12E" w14:textId="77777777" w:rsidTr="007D6C37">
        <w:tc>
          <w:tcPr>
            <w:tcW w:w="1525" w:type="dxa"/>
          </w:tcPr>
          <w:p w14:paraId="39018486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12 weeks</w:t>
            </w:r>
          </w:p>
        </w:tc>
        <w:tc>
          <w:tcPr>
            <w:tcW w:w="1446" w:type="dxa"/>
          </w:tcPr>
          <w:p w14:paraId="0A45EA04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Enthusiastic</w:t>
            </w:r>
          </w:p>
        </w:tc>
        <w:tc>
          <w:tcPr>
            <w:tcW w:w="1856" w:type="dxa"/>
          </w:tcPr>
          <w:p w14:paraId="372F4D0E" w14:textId="09E0DCC4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0.51 (0.20 – 1.06)</w:t>
            </w:r>
          </w:p>
        </w:tc>
        <w:tc>
          <w:tcPr>
            <w:tcW w:w="2114" w:type="dxa"/>
          </w:tcPr>
          <w:p w14:paraId="2CABF55E" w14:textId="1AB0D639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96.5</w:t>
            </w:r>
          </w:p>
        </w:tc>
        <w:tc>
          <w:tcPr>
            <w:tcW w:w="2075" w:type="dxa"/>
          </w:tcPr>
          <w:p w14:paraId="5BF0E479" w14:textId="3A920F4A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3.5</w:t>
            </w:r>
          </w:p>
        </w:tc>
      </w:tr>
      <w:tr w:rsidR="00325AFB" w:rsidRPr="00325AFB" w14:paraId="4B583700" w14:textId="77777777" w:rsidTr="007D6C37">
        <w:tc>
          <w:tcPr>
            <w:tcW w:w="1525" w:type="dxa"/>
          </w:tcPr>
          <w:p w14:paraId="35C078C7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12 weeks</w:t>
            </w:r>
          </w:p>
        </w:tc>
        <w:tc>
          <w:tcPr>
            <w:tcW w:w="1446" w:type="dxa"/>
          </w:tcPr>
          <w:p w14:paraId="33E646AE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Neutral</w:t>
            </w:r>
          </w:p>
        </w:tc>
        <w:tc>
          <w:tcPr>
            <w:tcW w:w="1856" w:type="dxa"/>
          </w:tcPr>
          <w:p w14:paraId="243259A1" w14:textId="0417CA18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0.90 (0.35 – 1.44)</w:t>
            </w:r>
          </w:p>
        </w:tc>
        <w:tc>
          <w:tcPr>
            <w:tcW w:w="2114" w:type="dxa"/>
          </w:tcPr>
          <w:p w14:paraId="3AA535DA" w14:textId="4872510B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67.0</w:t>
            </w:r>
          </w:p>
        </w:tc>
        <w:tc>
          <w:tcPr>
            <w:tcW w:w="2075" w:type="dxa"/>
          </w:tcPr>
          <w:p w14:paraId="6F0FC728" w14:textId="0AFA2535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33.0</w:t>
            </w:r>
          </w:p>
        </w:tc>
      </w:tr>
      <w:tr w:rsidR="00325AFB" w:rsidRPr="00325AFB" w14:paraId="782997E5" w14:textId="77777777" w:rsidTr="007D6C37">
        <w:tc>
          <w:tcPr>
            <w:tcW w:w="1525" w:type="dxa"/>
          </w:tcPr>
          <w:p w14:paraId="1242E361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12 weeks</w:t>
            </w:r>
          </w:p>
        </w:tc>
        <w:tc>
          <w:tcPr>
            <w:tcW w:w="1446" w:type="dxa"/>
          </w:tcPr>
          <w:p w14:paraId="2B19B4B1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Skeptical</w:t>
            </w:r>
          </w:p>
        </w:tc>
        <w:tc>
          <w:tcPr>
            <w:tcW w:w="1856" w:type="dxa"/>
          </w:tcPr>
          <w:p w14:paraId="1435A379" w14:textId="5A546E80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1.20 (0.41 – 2.13)</w:t>
            </w:r>
          </w:p>
        </w:tc>
        <w:tc>
          <w:tcPr>
            <w:tcW w:w="2114" w:type="dxa"/>
          </w:tcPr>
          <w:p w14:paraId="68CD2322" w14:textId="176B57E9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36.6</w:t>
            </w:r>
          </w:p>
        </w:tc>
        <w:tc>
          <w:tcPr>
            <w:tcW w:w="2075" w:type="dxa"/>
          </w:tcPr>
          <w:p w14:paraId="20C9C8D0" w14:textId="3A694037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63.4</w:t>
            </w:r>
          </w:p>
        </w:tc>
      </w:tr>
      <w:tr w:rsidR="000C10B6" w:rsidRPr="00325AFB" w14:paraId="45636728" w14:textId="77777777" w:rsidTr="00C12B66">
        <w:tc>
          <w:tcPr>
            <w:tcW w:w="9016" w:type="dxa"/>
            <w:gridSpan w:val="5"/>
            <w:shd w:val="clear" w:color="auto" w:fill="F2F2F2" w:themeFill="background1" w:themeFillShade="F2"/>
          </w:tcPr>
          <w:p w14:paraId="6ACC9455" w14:textId="33829F02" w:rsidR="000C10B6" w:rsidRPr="00325AFB" w:rsidRDefault="000C10B6" w:rsidP="000C10B6">
            <w:pPr>
              <w:spacing w:beforeLines="40" w:before="96" w:afterLines="40" w:after="96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Sensitive</w:t>
            </w: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outcome definition</w:t>
            </w:r>
          </w:p>
        </w:tc>
      </w:tr>
      <w:tr w:rsidR="00325AFB" w:rsidRPr="00325AFB" w14:paraId="5FB428E6" w14:textId="77777777" w:rsidTr="007D6C37">
        <w:tc>
          <w:tcPr>
            <w:tcW w:w="1525" w:type="dxa"/>
          </w:tcPr>
          <w:p w14:paraId="4BD00C5D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 weeks</w:t>
            </w:r>
          </w:p>
        </w:tc>
        <w:tc>
          <w:tcPr>
            <w:tcW w:w="1446" w:type="dxa"/>
          </w:tcPr>
          <w:p w14:paraId="077727A7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Enthusiastic</w:t>
            </w:r>
          </w:p>
        </w:tc>
        <w:tc>
          <w:tcPr>
            <w:tcW w:w="1856" w:type="dxa"/>
          </w:tcPr>
          <w:p w14:paraId="0138D94F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0.40 (0.21 – 0.72)</w:t>
            </w:r>
          </w:p>
        </w:tc>
        <w:tc>
          <w:tcPr>
            <w:tcW w:w="2114" w:type="dxa"/>
          </w:tcPr>
          <w:p w14:paraId="7CF5628B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99.9</w:t>
            </w:r>
          </w:p>
        </w:tc>
        <w:tc>
          <w:tcPr>
            <w:tcW w:w="2075" w:type="dxa"/>
          </w:tcPr>
          <w:p w14:paraId="6CD26D33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0.1</w:t>
            </w:r>
          </w:p>
        </w:tc>
      </w:tr>
      <w:tr w:rsidR="00325AFB" w:rsidRPr="00325AFB" w14:paraId="2E52A59E" w14:textId="77777777" w:rsidTr="007D6C37">
        <w:tc>
          <w:tcPr>
            <w:tcW w:w="1525" w:type="dxa"/>
          </w:tcPr>
          <w:p w14:paraId="1D91E4A3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 weeks</w:t>
            </w:r>
          </w:p>
        </w:tc>
        <w:tc>
          <w:tcPr>
            <w:tcW w:w="1446" w:type="dxa"/>
          </w:tcPr>
          <w:p w14:paraId="00FCF5F8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Neutral</w:t>
            </w:r>
          </w:p>
        </w:tc>
        <w:tc>
          <w:tcPr>
            <w:tcW w:w="1856" w:type="dxa"/>
          </w:tcPr>
          <w:p w14:paraId="0374D9C7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0.52 (0.24 – 1.02)</w:t>
            </w:r>
          </w:p>
        </w:tc>
        <w:tc>
          <w:tcPr>
            <w:tcW w:w="2114" w:type="dxa"/>
          </w:tcPr>
          <w:p w14:paraId="34D360FD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96.9</w:t>
            </w:r>
          </w:p>
        </w:tc>
        <w:tc>
          <w:tcPr>
            <w:tcW w:w="2075" w:type="dxa"/>
          </w:tcPr>
          <w:p w14:paraId="2C3CAA01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3.1</w:t>
            </w:r>
          </w:p>
        </w:tc>
      </w:tr>
      <w:tr w:rsidR="00325AFB" w:rsidRPr="00325AFB" w14:paraId="106D1959" w14:textId="77777777" w:rsidTr="007D6C37">
        <w:tc>
          <w:tcPr>
            <w:tcW w:w="1525" w:type="dxa"/>
          </w:tcPr>
          <w:p w14:paraId="33A877E7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8 weeks</w:t>
            </w:r>
          </w:p>
        </w:tc>
        <w:tc>
          <w:tcPr>
            <w:tcW w:w="1446" w:type="dxa"/>
          </w:tcPr>
          <w:p w14:paraId="610C9E6A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Skeptical</w:t>
            </w:r>
          </w:p>
        </w:tc>
        <w:tc>
          <w:tcPr>
            <w:tcW w:w="1856" w:type="dxa"/>
          </w:tcPr>
          <w:p w14:paraId="3C262143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 xml:space="preserve">0.54 (0.24 – 1.07) </w:t>
            </w:r>
          </w:p>
        </w:tc>
        <w:tc>
          <w:tcPr>
            <w:tcW w:w="2114" w:type="dxa"/>
          </w:tcPr>
          <w:p w14:paraId="1DD6D3EB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96.5</w:t>
            </w:r>
          </w:p>
        </w:tc>
        <w:tc>
          <w:tcPr>
            <w:tcW w:w="2075" w:type="dxa"/>
          </w:tcPr>
          <w:p w14:paraId="558CAA46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3.5</w:t>
            </w:r>
          </w:p>
        </w:tc>
      </w:tr>
      <w:tr w:rsidR="00325AFB" w:rsidRPr="00325AFB" w14:paraId="02F05024" w14:textId="77777777" w:rsidTr="007D6C37">
        <w:tc>
          <w:tcPr>
            <w:tcW w:w="1525" w:type="dxa"/>
          </w:tcPr>
          <w:p w14:paraId="44721D9C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12 weeks</w:t>
            </w:r>
          </w:p>
        </w:tc>
        <w:tc>
          <w:tcPr>
            <w:tcW w:w="1446" w:type="dxa"/>
          </w:tcPr>
          <w:p w14:paraId="68E6BEF0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Enthusiastic</w:t>
            </w:r>
          </w:p>
        </w:tc>
        <w:tc>
          <w:tcPr>
            <w:tcW w:w="1856" w:type="dxa"/>
          </w:tcPr>
          <w:p w14:paraId="7737F226" w14:textId="5039F58B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0.39 (0.21 – 0.68)</w:t>
            </w:r>
          </w:p>
        </w:tc>
        <w:tc>
          <w:tcPr>
            <w:tcW w:w="2114" w:type="dxa"/>
          </w:tcPr>
          <w:p w14:paraId="38518A66" w14:textId="02BAC6AA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100.0</w:t>
            </w:r>
          </w:p>
        </w:tc>
        <w:tc>
          <w:tcPr>
            <w:tcW w:w="2075" w:type="dxa"/>
          </w:tcPr>
          <w:p w14:paraId="2B3748CB" w14:textId="30080CD0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0.0</w:t>
            </w:r>
          </w:p>
        </w:tc>
      </w:tr>
      <w:tr w:rsidR="00325AFB" w:rsidRPr="00325AFB" w14:paraId="46EECD71" w14:textId="77777777" w:rsidTr="007D6C37">
        <w:tc>
          <w:tcPr>
            <w:tcW w:w="1525" w:type="dxa"/>
          </w:tcPr>
          <w:p w14:paraId="583F37FD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12 weeks</w:t>
            </w:r>
          </w:p>
        </w:tc>
        <w:tc>
          <w:tcPr>
            <w:tcW w:w="1446" w:type="dxa"/>
          </w:tcPr>
          <w:p w14:paraId="0C53C69F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Neutral</w:t>
            </w:r>
          </w:p>
        </w:tc>
        <w:tc>
          <w:tcPr>
            <w:tcW w:w="1856" w:type="dxa"/>
          </w:tcPr>
          <w:p w14:paraId="04F786D9" w14:textId="2F8F2D68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0.48 (0.24 – 0.94)</w:t>
            </w:r>
          </w:p>
        </w:tc>
        <w:tc>
          <w:tcPr>
            <w:tcW w:w="2114" w:type="dxa"/>
          </w:tcPr>
          <w:p w14:paraId="26FCF871" w14:textId="2E6BC658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98.8</w:t>
            </w:r>
          </w:p>
        </w:tc>
        <w:tc>
          <w:tcPr>
            <w:tcW w:w="2075" w:type="dxa"/>
          </w:tcPr>
          <w:p w14:paraId="51D3D713" w14:textId="57EBE313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1.2</w:t>
            </w:r>
          </w:p>
        </w:tc>
      </w:tr>
      <w:tr w:rsidR="00325AFB" w:rsidRPr="00325AFB" w14:paraId="7FB27F2E" w14:textId="77777777" w:rsidTr="007D6C37">
        <w:tc>
          <w:tcPr>
            <w:tcW w:w="1525" w:type="dxa"/>
          </w:tcPr>
          <w:p w14:paraId="524C4436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12 weeks</w:t>
            </w:r>
          </w:p>
        </w:tc>
        <w:tc>
          <w:tcPr>
            <w:tcW w:w="1446" w:type="dxa"/>
          </w:tcPr>
          <w:p w14:paraId="52E1B57D" w14:textId="77777777" w:rsidR="00325AFB" w:rsidRPr="00325AFB" w:rsidRDefault="00325AFB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 w:rsidRPr="00325AFB"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Skeptical</w:t>
            </w:r>
          </w:p>
        </w:tc>
        <w:tc>
          <w:tcPr>
            <w:tcW w:w="1856" w:type="dxa"/>
          </w:tcPr>
          <w:p w14:paraId="37FC6F80" w14:textId="2A6665BC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0.50 (0.24 – 0.89)</w:t>
            </w:r>
          </w:p>
        </w:tc>
        <w:tc>
          <w:tcPr>
            <w:tcW w:w="2114" w:type="dxa"/>
          </w:tcPr>
          <w:p w14:paraId="6A4E5B56" w14:textId="7B635757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98.8</w:t>
            </w:r>
          </w:p>
        </w:tc>
        <w:tc>
          <w:tcPr>
            <w:tcW w:w="2075" w:type="dxa"/>
          </w:tcPr>
          <w:p w14:paraId="5B12EA47" w14:textId="74F6878B" w:rsidR="00325AFB" w:rsidRPr="00325AFB" w:rsidRDefault="0032188A" w:rsidP="000C10B6">
            <w:pPr>
              <w:spacing w:beforeLines="40" w:before="96" w:afterLines="40" w:after="96"/>
              <w:jc w:val="both"/>
              <w:rPr>
                <w:rFonts w:ascii="Calibri" w:eastAsia="EB Garamond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EB Garamond" w:hAnsi="Calibri" w:cs="Calibri"/>
                <w:sz w:val="20"/>
                <w:szCs w:val="20"/>
                <w:lang w:val="en-CA"/>
              </w:rPr>
              <w:t>1.2</w:t>
            </w:r>
          </w:p>
        </w:tc>
      </w:tr>
    </w:tbl>
    <w:p w14:paraId="2A6BFE78" w14:textId="77777777" w:rsidR="0032188A" w:rsidRDefault="0032188A" w:rsidP="0032188A">
      <w:pPr>
        <w:spacing w:after="0" w:line="240" w:lineRule="auto"/>
        <w:rPr>
          <w:lang w:val="en-GB"/>
        </w:rPr>
      </w:pPr>
    </w:p>
    <w:p w14:paraId="641E0F3A" w14:textId="036B6591" w:rsidR="00325AFB" w:rsidRDefault="00325AFB">
      <w:pPr>
        <w:rPr>
          <w:lang w:val="en-GB"/>
        </w:rPr>
      </w:pPr>
    </w:p>
    <w:sectPr w:rsidR="00325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24"/>
    <w:rsid w:val="0007330F"/>
    <w:rsid w:val="000C10B6"/>
    <w:rsid w:val="00132E24"/>
    <w:rsid w:val="00253887"/>
    <w:rsid w:val="002A5722"/>
    <w:rsid w:val="0032188A"/>
    <w:rsid w:val="00325AFB"/>
    <w:rsid w:val="00334394"/>
    <w:rsid w:val="003444E8"/>
    <w:rsid w:val="004E5BCB"/>
    <w:rsid w:val="00682792"/>
    <w:rsid w:val="007C5C2A"/>
    <w:rsid w:val="007D6C37"/>
    <w:rsid w:val="00890193"/>
    <w:rsid w:val="009011BD"/>
    <w:rsid w:val="00A07E57"/>
    <w:rsid w:val="00A30A5F"/>
    <w:rsid w:val="00A40A6D"/>
    <w:rsid w:val="00A87C33"/>
    <w:rsid w:val="00AC2136"/>
    <w:rsid w:val="00CE373F"/>
    <w:rsid w:val="00DA4130"/>
    <w:rsid w:val="00EE2ED1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8DA2"/>
  <w15:chartTrackingRefBased/>
  <w15:docId w15:val="{61730A2A-258B-4542-9CA6-1D20CFC9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373F"/>
    <w:rPr>
      <w:sz w:val="16"/>
      <w:szCs w:val="16"/>
    </w:rPr>
  </w:style>
  <w:style w:type="table" w:styleId="TableGrid">
    <w:name w:val="Table Grid"/>
    <w:basedOn w:val="TableNormal"/>
    <w:uiPriority w:val="39"/>
    <w:rsid w:val="0032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82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7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0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Cesar A Hincapié</cp:lastModifiedBy>
  <cp:revision>2</cp:revision>
  <dcterms:created xsi:type="dcterms:W3CDTF">2023-10-20T04:34:00Z</dcterms:created>
  <dcterms:modified xsi:type="dcterms:W3CDTF">2023-10-20T04:34:00Z</dcterms:modified>
</cp:coreProperties>
</file>