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BCD82" w14:textId="77777777" w:rsidR="00CE3EA9" w:rsidRDefault="00CE3EA9" w:rsidP="00CE3EA9">
      <w:pPr>
        <w:spacing w:before="120"/>
        <w:jc w:val="center"/>
        <w:rPr>
          <w:b/>
          <w:bCs/>
          <w:sz w:val="28"/>
          <w:szCs w:val="36"/>
        </w:rPr>
      </w:pPr>
      <w:bookmarkStart w:id="0" w:name="_4pfunybtnegi" w:colFirst="0" w:colLast="0"/>
      <w:bookmarkEnd w:id="0"/>
      <w:r w:rsidRPr="00943A0E">
        <w:rPr>
          <w:rFonts w:hint="eastAsia"/>
          <w:b/>
          <w:bCs/>
          <w:sz w:val="28"/>
          <w:szCs w:val="36"/>
        </w:rPr>
        <w:t>Supp</w:t>
      </w:r>
      <w:r w:rsidRPr="00943A0E">
        <w:rPr>
          <w:b/>
          <w:bCs/>
          <w:sz w:val="28"/>
          <w:szCs w:val="36"/>
        </w:rPr>
        <w:t>lementary Information</w:t>
      </w:r>
      <w:r>
        <w:rPr>
          <w:b/>
          <w:bCs/>
          <w:sz w:val="28"/>
          <w:szCs w:val="36"/>
        </w:rPr>
        <w:t xml:space="preserve"> </w:t>
      </w:r>
    </w:p>
    <w:p w14:paraId="17742BBF" w14:textId="77777777" w:rsidR="00CE3EA9" w:rsidRDefault="00CE3EA9" w:rsidP="00CE3EA9">
      <w:pPr>
        <w:spacing w:after="200" w:line="480" w:lineRule="auto"/>
        <w:jc w:val="both"/>
        <w:rPr>
          <w:b/>
          <w:sz w:val="24"/>
          <w:szCs w:val="24"/>
        </w:rPr>
      </w:pPr>
    </w:p>
    <w:p w14:paraId="5D7706C9" w14:textId="77777777" w:rsidR="00CE3EA9" w:rsidRDefault="00CE3EA9" w:rsidP="00CE3EA9">
      <w:pPr>
        <w:spacing w:after="200" w:line="480" w:lineRule="auto"/>
        <w:jc w:val="both"/>
        <w:rPr>
          <w:b/>
          <w:sz w:val="24"/>
          <w:szCs w:val="24"/>
        </w:rPr>
      </w:pPr>
    </w:p>
    <w:p w14:paraId="1F4AF3BE" w14:textId="5EBEEC2B" w:rsidR="00CE3EA9" w:rsidRDefault="00CE3EA9" w:rsidP="00CE3EA9">
      <w:pPr>
        <w:spacing w:after="200" w:line="480" w:lineRule="auto"/>
        <w:jc w:val="both"/>
        <w:rPr>
          <w:b/>
          <w:sz w:val="24"/>
          <w:szCs w:val="24"/>
        </w:rPr>
      </w:pPr>
      <w:r>
        <w:rPr>
          <w:b/>
          <w:sz w:val="24"/>
          <w:szCs w:val="24"/>
        </w:rPr>
        <w:t xml:space="preserve">Global abundance patterns, diversity, and ecology of </w:t>
      </w:r>
      <w:proofErr w:type="spellStart"/>
      <w:r>
        <w:rPr>
          <w:b/>
          <w:i/>
          <w:iCs/>
          <w:sz w:val="24"/>
          <w:szCs w:val="24"/>
        </w:rPr>
        <w:t>Patescibacteria</w:t>
      </w:r>
      <w:proofErr w:type="spellEnd"/>
      <w:r>
        <w:rPr>
          <w:b/>
          <w:sz w:val="24"/>
          <w:szCs w:val="24"/>
        </w:rPr>
        <w:t xml:space="preserve"> in wastewater treatment plants</w:t>
      </w:r>
    </w:p>
    <w:p w14:paraId="42419403" w14:textId="77777777" w:rsidR="00CE3EA9" w:rsidRPr="00EB185A" w:rsidRDefault="00CE3EA9" w:rsidP="00CE3EA9">
      <w:pPr>
        <w:spacing w:after="200" w:line="480" w:lineRule="auto"/>
        <w:jc w:val="both"/>
        <w:rPr>
          <w:sz w:val="24"/>
          <w:szCs w:val="24"/>
          <w:lang w:val="de-DE"/>
        </w:rPr>
      </w:pPr>
      <w:r w:rsidRPr="00EB185A">
        <w:rPr>
          <w:sz w:val="24"/>
          <w:szCs w:val="24"/>
          <w:lang w:val="de-DE"/>
        </w:rPr>
        <w:t>Huifeng Hu</w:t>
      </w:r>
      <w:r w:rsidRPr="00EB185A">
        <w:rPr>
          <w:sz w:val="24"/>
          <w:szCs w:val="24"/>
          <w:vertAlign w:val="superscript"/>
          <w:lang w:val="de-DE"/>
        </w:rPr>
        <w:t>1,5</w:t>
      </w:r>
      <w:r w:rsidRPr="00EB185A">
        <w:rPr>
          <w:sz w:val="24"/>
          <w:szCs w:val="24"/>
          <w:lang w:val="de-DE"/>
        </w:rPr>
        <w:t>, Jannie Munk Kristensen</w:t>
      </w:r>
      <w:r w:rsidRPr="00EB185A">
        <w:rPr>
          <w:sz w:val="24"/>
          <w:szCs w:val="24"/>
          <w:vertAlign w:val="superscript"/>
          <w:lang w:val="de-DE"/>
        </w:rPr>
        <w:t>1,2</w:t>
      </w:r>
      <w:r w:rsidRPr="00EB185A">
        <w:rPr>
          <w:sz w:val="24"/>
          <w:szCs w:val="24"/>
          <w:lang w:val="de-DE"/>
        </w:rPr>
        <w:t>, Craig William Herbold</w:t>
      </w:r>
      <w:r w:rsidRPr="00EB185A">
        <w:rPr>
          <w:sz w:val="24"/>
          <w:szCs w:val="24"/>
          <w:vertAlign w:val="superscript"/>
          <w:lang w:val="de-DE"/>
        </w:rPr>
        <w:t>1,6</w:t>
      </w:r>
      <w:r w:rsidRPr="00EB185A">
        <w:rPr>
          <w:sz w:val="24"/>
          <w:szCs w:val="24"/>
          <w:lang w:val="de-DE"/>
        </w:rPr>
        <w:t>, Petra Pjevac</w:t>
      </w:r>
      <w:r w:rsidRPr="00EB185A">
        <w:rPr>
          <w:sz w:val="24"/>
          <w:szCs w:val="24"/>
          <w:vertAlign w:val="superscript"/>
          <w:lang w:val="de-DE"/>
        </w:rPr>
        <w:t>1,3</w:t>
      </w:r>
      <w:r w:rsidRPr="00EB185A">
        <w:rPr>
          <w:sz w:val="24"/>
          <w:szCs w:val="24"/>
          <w:lang w:val="de-DE"/>
        </w:rPr>
        <w:t>, Katharina Kitzinger</w:t>
      </w:r>
      <w:r w:rsidRPr="00EB185A">
        <w:rPr>
          <w:sz w:val="24"/>
          <w:szCs w:val="24"/>
          <w:vertAlign w:val="superscript"/>
          <w:lang w:val="de-DE"/>
        </w:rPr>
        <w:t>1</w:t>
      </w:r>
      <w:r w:rsidRPr="00EB185A">
        <w:rPr>
          <w:sz w:val="24"/>
          <w:szCs w:val="24"/>
          <w:lang w:val="de-DE"/>
        </w:rPr>
        <w:t>, Bela Hausmann</w:t>
      </w:r>
      <w:r w:rsidRPr="00EB185A">
        <w:rPr>
          <w:sz w:val="24"/>
          <w:szCs w:val="24"/>
          <w:vertAlign w:val="superscript"/>
          <w:lang w:val="de-DE"/>
        </w:rPr>
        <w:t>3,4</w:t>
      </w:r>
      <w:r w:rsidRPr="00EB185A">
        <w:rPr>
          <w:sz w:val="24"/>
          <w:szCs w:val="24"/>
          <w:lang w:val="de-DE"/>
        </w:rPr>
        <w:t xml:space="preserve">, </w:t>
      </w:r>
      <w:dir w:val="ltr">
        <w:r w:rsidRPr="00EB185A">
          <w:rPr>
            <w:sz w:val="24"/>
            <w:szCs w:val="24"/>
            <w:lang w:val="de-DE"/>
          </w:rPr>
          <w:t>Morten Kam Dahl Dueholm</w:t>
        </w:r>
        <w:r w:rsidRPr="00EB185A">
          <w:rPr>
            <w:sz w:val="24"/>
            <w:szCs w:val="24"/>
            <w:vertAlign w:val="superscript"/>
            <w:lang w:val="de-DE"/>
          </w:rPr>
          <w:t>2</w:t>
        </w:r>
        <w:r w:rsidRPr="00EB185A">
          <w:rPr>
            <w:sz w:val="24"/>
            <w:szCs w:val="24"/>
            <w:lang w:val="de-DE"/>
          </w:rPr>
          <w:t>, Per Halkjaer Nielsen</w:t>
        </w:r>
        <w:r w:rsidRPr="00EB185A">
          <w:rPr>
            <w:sz w:val="24"/>
            <w:szCs w:val="24"/>
            <w:vertAlign w:val="superscript"/>
            <w:lang w:val="de-DE"/>
          </w:rPr>
          <w:t>2</w:t>
        </w:r>
        <w:r w:rsidRPr="00EB185A">
          <w:rPr>
            <w:sz w:val="24"/>
            <w:szCs w:val="24"/>
            <w:lang w:val="de-DE"/>
          </w:rPr>
          <w:t>, Michael Wagner</w:t>
        </w:r>
        <w:r w:rsidRPr="00EB185A">
          <w:rPr>
            <w:sz w:val="24"/>
            <w:szCs w:val="24"/>
            <w:vertAlign w:val="superscript"/>
            <w:lang w:val="de-DE"/>
          </w:rPr>
          <w:t>1,2,3</w:t>
        </w:r>
        <w:r w:rsidR="00EB185A" w:rsidRPr="00EB185A">
          <w:rPr>
            <w:lang w:val="de-DE"/>
          </w:rPr>
          <w:t>‬</w:t>
        </w:r>
        <w:r w:rsidRPr="008F7E38">
          <w:rPr>
            <w:lang w:val="de-DE"/>
          </w:rPr>
          <w:t>‬</w:t>
        </w:r>
        <w:r w:rsidR="00D11C70" w:rsidRPr="008F7E38">
          <w:rPr>
            <w:lang w:val="de-DE"/>
          </w:rPr>
          <w:t>‬</w:t>
        </w:r>
        <w:r w:rsidR="00000000">
          <w:t>‬</w:t>
        </w:r>
      </w:dir>
    </w:p>
    <w:p w14:paraId="68D803AA" w14:textId="77777777" w:rsidR="00CE3EA9" w:rsidRDefault="00CE3EA9" w:rsidP="00CE3EA9">
      <w:pPr>
        <w:pStyle w:val="ListParagraph"/>
        <w:numPr>
          <w:ilvl w:val="0"/>
          <w:numId w:val="2"/>
        </w:numPr>
        <w:spacing w:after="200" w:line="480" w:lineRule="auto"/>
        <w:jc w:val="both"/>
        <w:rPr>
          <w:sz w:val="24"/>
          <w:szCs w:val="24"/>
        </w:rPr>
      </w:pPr>
      <w:r>
        <w:rPr>
          <w:sz w:val="24"/>
          <w:szCs w:val="24"/>
        </w:rPr>
        <w:t xml:space="preserve">Centre for Microbiology and Environmental Systems Science, University of Vienna. </w:t>
      </w:r>
      <w:proofErr w:type="spellStart"/>
      <w:r>
        <w:rPr>
          <w:sz w:val="24"/>
          <w:szCs w:val="24"/>
        </w:rPr>
        <w:t>Djerassiplatz</w:t>
      </w:r>
      <w:proofErr w:type="spellEnd"/>
      <w:r>
        <w:rPr>
          <w:sz w:val="24"/>
          <w:szCs w:val="24"/>
        </w:rPr>
        <w:t xml:space="preserve"> 1, 1030 Vienna, Austria</w:t>
      </w:r>
    </w:p>
    <w:p w14:paraId="42118306" w14:textId="77777777" w:rsidR="00CE3EA9" w:rsidRDefault="00CE3EA9" w:rsidP="00CE3EA9">
      <w:pPr>
        <w:pStyle w:val="ListParagraph"/>
        <w:numPr>
          <w:ilvl w:val="0"/>
          <w:numId w:val="2"/>
        </w:numPr>
        <w:spacing w:after="200" w:line="480" w:lineRule="auto"/>
        <w:jc w:val="both"/>
        <w:rPr>
          <w:sz w:val="24"/>
          <w:szCs w:val="24"/>
        </w:rPr>
      </w:pPr>
      <w:r>
        <w:rPr>
          <w:sz w:val="24"/>
          <w:szCs w:val="24"/>
        </w:rPr>
        <w:t>​</w:t>
      </w:r>
      <w:proofErr w:type="spellStart"/>
      <w:r>
        <w:rPr>
          <w:sz w:val="24"/>
          <w:szCs w:val="24"/>
          <w:highlight w:val="white"/>
        </w:rPr>
        <w:t>Center</w:t>
      </w:r>
      <w:proofErr w:type="spellEnd"/>
      <w:r>
        <w:rPr>
          <w:sz w:val="24"/>
          <w:szCs w:val="24"/>
          <w:highlight w:val="white"/>
        </w:rPr>
        <w:t xml:space="preserve"> for Microbial Communities, Department of Chemistry and Bioscience, Aalborg University, Aalborg, Denmark</w:t>
      </w:r>
    </w:p>
    <w:p w14:paraId="34DC5718" w14:textId="77777777" w:rsidR="00CE3EA9" w:rsidRDefault="00CE3EA9" w:rsidP="00CE3EA9">
      <w:pPr>
        <w:pStyle w:val="ListParagraph"/>
        <w:numPr>
          <w:ilvl w:val="0"/>
          <w:numId w:val="2"/>
        </w:numPr>
        <w:spacing w:after="200" w:line="480" w:lineRule="auto"/>
        <w:jc w:val="both"/>
        <w:rPr>
          <w:sz w:val="24"/>
          <w:szCs w:val="24"/>
          <w:highlight w:val="white"/>
        </w:rPr>
      </w:pPr>
      <w:r>
        <w:rPr>
          <w:sz w:val="24"/>
          <w:szCs w:val="24"/>
          <w:highlight w:val="white"/>
        </w:rPr>
        <w:t>Joint Microbiome Facility of the Medical University of Vienna and the University of Vienna, Vienna, Austria</w:t>
      </w:r>
    </w:p>
    <w:p w14:paraId="04060C5D" w14:textId="77777777" w:rsidR="00CE3EA9" w:rsidRDefault="00CE3EA9" w:rsidP="00CE3EA9">
      <w:pPr>
        <w:pStyle w:val="ListParagraph"/>
        <w:numPr>
          <w:ilvl w:val="0"/>
          <w:numId w:val="2"/>
        </w:numPr>
        <w:spacing w:after="200" w:line="480" w:lineRule="auto"/>
        <w:jc w:val="both"/>
        <w:rPr>
          <w:sz w:val="24"/>
          <w:szCs w:val="24"/>
          <w:highlight w:val="white"/>
        </w:rPr>
      </w:pPr>
      <w:r>
        <w:rPr>
          <w:sz w:val="24"/>
          <w:szCs w:val="24"/>
          <w:highlight w:val="white"/>
        </w:rPr>
        <w:t>Division of Clinical Microbiology, Department of Laboratory Medicine, Medical University of Vienna, Vienna, Austria</w:t>
      </w:r>
    </w:p>
    <w:p w14:paraId="7714FAB0" w14:textId="77777777" w:rsidR="00CE3EA9" w:rsidRDefault="00CE3EA9" w:rsidP="00CE3EA9">
      <w:pPr>
        <w:pStyle w:val="ListParagraph"/>
        <w:numPr>
          <w:ilvl w:val="0"/>
          <w:numId w:val="2"/>
        </w:numPr>
        <w:spacing w:after="200" w:line="480" w:lineRule="auto"/>
        <w:jc w:val="both"/>
        <w:rPr>
          <w:sz w:val="24"/>
          <w:szCs w:val="24"/>
        </w:rPr>
      </w:pPr>
      <w:r>
        <w:rPr>
          <w:sz w:val="24"/>
          <w:szCs w:val="24"/>
        </w:rPr>
        <w:t xml:space="preserve">Doctoral School in Microbiology and Environmental Science, University of Vienna. </w:t>
      </w:r>
      <w:proofErr w:type="spellStart"/>
      <w:r>
        <w:rPr>
          <w:sz w:val="24"/>
          <w:szCs w:val="24"/>
        </w:rPr>
        <w:t>Universitätsring</w:t>
      </w:r>
      <w:proofErr w:type="spellEnd"/>
      <w:r>
        <w:rPr>
          <w:sz w:val="24"/>
          <w:szCs w:val="24"/>
        </w:rPr>
        <w:t xml:space="preserve"> 1, 1010 Vienna, Austria</w:t>
      </w:r>
    </w:p>
    <w:p w14:paraId="7AE226E6" w14:textId="77777777" w:rsidR="00CE3EA9" w:rsidRDefault="00CE3EA9" w:rsidP="00CE3EA9">
      <w:pPr>
        <w:pStyle w:val="ListParagraph"/>
        <w:numPr>
          <w:ilvl w:val="0"/>
          <w:numId w:val="2"/>
        </w:numPr>
        <w:spacing w:after="200" w:line="480" w:lineRule="auto"/>
        <w:jc w:val="both"/>
        <w:rPr>
          <w:sz w:val="24"/>
          <w:szCs w:val="24"/>
          <w:highlight w:val="white"/>
        </w:rPr>
      </w:pPr>
      <w:proofErr w:type="spellStart"/>
      <w:r>
        <w:rPr>
          <w:sz w:val="24"/>
          <w:szCs w:val="24"/>
          <w:highlight w:val="white"/>
        </w:rPr>
        <w:t>Te</w:t>
      </w:r>
      <w:proofErr w:type="spellEnd"/>
      <w:r>
        <w:rPr>
          <w:sz w:val="24"/>
          <w:szCs w:val="24"/>
          <w:highlight w:val="white"/>
        </w:rPr>
        <w:t xml:space="preserve"> Kura </w:t>
      </w:r>
      <w:proofErr w:type="spellStart"/>
      <w:r>
        <w:rPr>
          <w:sz w:val="24"/>
          <w:szCs w:val="24"/>
          <w:highlight w:val="white"/>
        </w:rPr>
        <w:t>Pūtaiao</w:t>
      </w:r>
      <w:proofErr w:type="spellEnd"/>
      <w:r>
        <w:rPr>
          <w:sz w:val="24"/>
          <w:szCs w:val="24"/>
          <w:highlight w:val="white"/>
        </w:rPr>
        <w:t xml:space="preserve"> Koiora | School of Biological Sciences, </w:t>
      </w:r>
      <w:proofErr w:type="spellStart"/>
      <w:r>
        <w:rPr>
          <w:sz w:val="24"/>
          <w:szCs w:val="24"/>
          <w:highlight w:val="white"/>
        </w:rPr>
        <w:t>Te</w:t>
      </w:r>
      <w:proofErr w:type="spellEnd"/>
      <w:r>
        <w:rPr>
          <w:sz w:val="24"/>
          <w:szCs w:val="24"/>
          <w:highlight w:val="white"/>
        </w:rPr>
        <w:t xml:space="preserve"> Whare Wānanga o </w:t>
      </w:r>
      <w:proofErr w:type="spellStart"/>
      <w:r>
        <w:rPr>
          <w:sz w:val="24"/>
          <w:szCs w:val="24"/>
          <w:highlight w:val="white"/>
        </w:rPr>
        <w:t>Waitaha</w:t>
      </w:r>
      <w:proofErr w:type="spellEnd"/>
      <w:r>
        <w:rPr>
          <w:sz w:val="24"/>
          <w:szCs w:val="24"/>
          <w:highlight w:val="white"/>
        </w:rPr>
        <w:t xml:space="preserve"> | University of Canterbury, Christchurch, New Zealand</w:t>
      </w:r>
    </w:p>
    <w:p w14:paraId="78EF8BF5" w14:textId="77777777" w:rsidR="00CE3EA9" w:rsidRPr="00CE3EA9" w:rsidRDefault="00CE3EA9" w:rsidP="00CE3EA9">
      <w:pPr>
        <w:spacing w:before="120"/>
        <w:rPr>
          <w:b/>
          <w:bCs/>
          <w:sz w:val="28"/>
          <w:szCs w:val="36"/>
        </w:rPr>
      </w:pPr>
    </w:p>
    <w:p w14:paraId="1715E162" w14:textId="77777777" w:rsidR="00CE3EA9" w:rsidRDefault="00CE3EA9" w:rsidP="00CE3EA9">
      <w:pPr>
        <w:pStyle w:val="Heading2"/>
        <w:spacing w:after="200" w:line="240" w:lineRule="auto"/>
        <w:jc w:val="both"/>
        <w:rPr>
          <w:bCs/>
          <w:sz w:val="24"/>
          <w:szCs w:val="24"/>
        </w:rPr>
      </w:pPr>
    </w:p>
    <w:p w14:paraId="6ED295DB" w14:textId="1FB9D163" w:rsidR="00CE3EA9" w:rsidRPr="0073311D" w:rsidRDefault="00EB185A" w:rsidP="0073311D">
      <w:pPr>
        <w:pStyle w:val="Heading2"/>
        <w:spacing w:after="200" w:line="240" w:lineRule="auto"/>
        <w:jc w:val="both"/>
        <w:rPr>
          <w:b/>
          <w:sz w:val="24"/>
          <w:szCs w:val="24"/>
        </w:rPr>
      </w:pPr>
      <w:r w:rsidRPr="00EB185A">
        <w:rPr>
          <w:b/>
          <w:sz w:val="24"/>
          <w:szCs w:val="24"/>
        </w:rPr>
        <w:t>Supplementary Figure</w:t>
      </w:r>
      <w:r w:rsidR="00CE3EA9" w:rsidRPr="00EB185A">
        <w:rPr>
          <w:b/>
          <w:sz w:val="24"/>
          <w:szCs w:val="24"/>
        </w:rPr>
        <w:t>s</w:t>
      </w:r>
    </w:p>
    <w:p w14:paraId="10CE638F" w14:textId="3BB0C0AF" w:rsidR="00CE3EA9" w:rsidRPr="00CE3EA9" w:rsidRDefault="00E139AD" w:rsidP="00CE3EA9">
      <w:r>
        <w:rPr>
          <w:noProof/>
        </w:rPr>
        <w:drawing>
          <wp:inline distT="0" distB="0" distL="0" distR="0" wp14:anchorId="6DAE2E24" wp14:editId="5F112732">
            <wp:extent cx="5733415" cy="7588885"/>
            <wp:effectExtent l="0" t="0" r="635" b="0"/>
            <wp:docPr id="1591555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3415" cy="7588885"/>
                    </a:xfrm>
                    <a:prstGeom prst="rect">
                      <a:avLst/>
                    </a:prstGeom>
                    <a:noFill/>
                    <a:ln>
                      <a:noFill/>
                    </a:ln>
                  </pic:spPr>
                </pic:pic>
              </a:graphicData>
            </a:graphic>
          </wp:inline>
        </w:drawing>
      </w:r>
    </w:p>
    <w:p w14:paraId="36CC6CBF" w14:textId="78A2C822" w:rsidR="0018207B" w:rsidRDefault="00EB185A" w:rsidP="003C0015">
      <w:pPr>
        <w:spacing w:after="200" w:line="240" w:lineRule="auto"/>
        <w:jc w:val="both"/>
        <w:rPr>
          <w:bCs/>
          <w:sz w:val="24"/>
          <w:szCs w:val="24"/>
        </w:rPr>
      </w:pPr>
      <w:r w:rsidRPr="00EB185A">
        <w:rPr>
          <w:b/>
          <w:sz w:val="24"/>
          <w:szCs w:val="24"/>
        </w:rPr>
        <w:t xml:space="preserve">Supplementary Figure </w:t>
      </w:r>
      <w:r w:rsidR="0073311D">
        <w:rPr>
          <w:b/>
          <w:sz w:val="24"/>
          <w:szCs w:val="24"/>
        </w:rPr>
        <w:t>1</w:t>
      </w:r>
      <w:r w:rsidRPr="00EB185A">
        <w:rPr>
          <w:b/>
          <w:sz w:val="24"/>
          <w:szCs w:val="24"/>
        </w:rPr>
        <w:t>. Heatmap of phylum-level abundance grouped by plant type.</w:t>
      </w:r>
      <w:r w:rsidRPr="003C0015">
        <w:rPr>
          <w:bCs/>
          <w:sz w:val="24"/>
          <w:szCs w:val="24"/>
        </w:rPr>
        <w:t xml:space="preserve"> Average abundance of top 15 dominant phyla across different plant types revealed by the original primers (a) and the modified primers (b). The heatmap shows </w:t>
      </w:r>
      <w:r w:rsidRPr="003C0015">
        <w:rPr>
          <w:bCs/>
          <w:sz w:val="24"/>
          <w:szCs w:val="24"/>
        </w:rPr>
        <w:lastRenderedPageBreak/>
        <w:t>average relative abundance in % for each phylum and plant type. The alluvial-bar plot shows changes in relative abundance of top phyla in the activated sludge systems between original and modified primers (c).</w:t>
      </w:r>
    </w:p>
    <w:p w14:paraId="2AF3F175" w14:textId="77777777" w:rsidR="00CE3EA9" w:rsidRDefault="00CE3EA9" w:rsidP="003C0015">
      <w:pPr>
        <w:spacing w:after="200" w:line="240" w:lineRule="auto"/>
        <w:jc w:val="both"/>
        <w:rPr>
          <w:bCs/>
          <w:sz w:val="24"/>
          <w:szCs w:val="24"/>
        </w:rPr>
      </w:pPr>
    </w:p>
    <w:p w14:paraId="15CC3B2F" w14:textId="6D3787AE" w:rsidR="00CE3EA9" w:rsidRPr="003C0015" w:rsidRDefault="00E139AD" w:rsidP="003C0015">
      <w:pPr>
        <w:spacing w:after="200" w:line="240" w:lineRule="auto"/>
        <w:jc w:val="both"/>
        <w:rPr>
          <w:bCs/>
          <w:sz w:val="24"/>
          <w:szCs w:val="24"/>
        </w:rPr>
      </w:pPr>
      <w:r>
        <w:rPr>
          <w:noProof/>
        </w:rPr>
        <w:drawing>
          <wp:inline distT="0" distB="0" distL="0" distR="0" wp14:anchorId="35E1D828" wp14:editId="1716C1AF">
            <wp:extent cx="5733415" cy="5497830"/>
            <wp:effectExtent l="0" t="0" r="635" b="7620"/>
            <wp:docPr id="14396216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3415" cy="5497830"/>
                    </a:xfrm>
                    <a:prstGeom prst="rect">
                      <a:avLst/>
                    </a:prstGeom>
                    <a:noFill/>
                    <a:ln>
                      <a:noFill/>
                    </a:ln>
                  </pic:spPr>
                </pic:pic>
              </a:graphicData>
            </a:graphic>
          </wp:inline>
        </w:drawing>
      </w:r>
    </w:p>
    <w:p w14:paraId="4408EF3A" w14:textId="3B9C91DA" w:rsidR="0018207B" w:rsidRDefault="00EB185A" w:rsidP="003C0015">
      <w:pPr>
        <w:spacing w:after="200" w:line="240" w:lineRule="auto"/>
        <w:jc w:val="both"/>
        <w:rPr>
          <w:bCs/>
          <w:sz w:val="24"/>
          <w:szCs w:val="24"/>
        </w:rPr>
      </w:pPr>
      <w:r w:rsidRPr="00EB185A">
        <w:rPr>
          <w:b/>
          <w:sz w:val="24"/>
          <w:szCs w:val="24"/>
        </w:rPr>
        <w:t xml:space="preserve">Supplementary Figure </w:t>
      </w:r>
      <w:r w:rsidR="0073311D">
        <w:rPr>
          <w:b/>
          <w:sz w:val="24"/>
          <w:szCs w:val="24"/>
        </w:rPr>
        <w:t>2</w:t>
      </w:r>
      <w:r w:rsidRPr="00EB185A">
        <w:rPr>
          <w:b/>
          <w:sz w:val="24"/>
          <w:szCs w:val="24"/>
        </w:rPr>
        <w:t>. Non-</w:t>
      </w:r>
      <w:proofErr w:type="spellStart"/>
      <w:r w:rsidRPr="00EB185A">
        <w:rPr>
          <w:b/>
          <w:sz w:val="24"/>
          <w:szCs w:val="24"/>
        </w:rPr>
        <w:t>patescibacterial</w:t>
      </w:r>
      <w:proofErr w:type="spellEnd"/>
      <w:r w:rsidRPr="00EB185A">
        <w:rPr>
          <w:b/>
          <w:sz w:val="24"/>
          <w:szCs w:val="24"/>
        </w:rPr>
        <w:t xml:space="preserve"> ASV richness comparison between the original and the modified primer</w:t>
      </w:r>
      <w:r w:rsidR="007D48DC" w:rsidRPr="00EB185A">
        <w:rPr>
          <w:b/>
          <w:sz w:val="24"/>
          <w:szCs w:val="24"/>
        </w:rPr>
        <w:t xml:space="preserve"> pair</w:t>
      </w:r>
      <w:r w:rsidRPr="00EB185A">
        <w:rPr>
          <w:b/>
          <w:sz w:val="24"/>
          <w:szCs w:val="24"/>
        </w:rPr>
        <w:t>.</w:t>
      </w:r>
      <w:r w:rsidRPr="003C0015">
        <w:rPr>
          <w:bCs/>
          <w:sz w:val="24"/>
          <w:szCs w:val="24"/>
        </w:rPr>
        <w:t xml:space="preserve"> Regression analysis of alpha diversity indices (ASV richness, chao1 index, Shannon index and inverse Simpson index) obtained by the modified primer pair and the original primer pair of each sample after removing reads classified as </w:t>
      </w:r>
      <w:proofErr w:type="spellStart"/>
      <w:r w:rsidRPr="003C0015">
        <w:rPr>
          <w:bCs/>
          <w:i/>
          <w:iCs/>
          <w:sz w:val="24"/>
          <w:szCs w:val="24"/>
        </w:rPr>
        <w:t>Patescibacteria</w:t>
      </w:r>
      <w:proofErr w:type="spellEnd"/>
      <w:r w:rsidRPr="003C0015">
        <w:rPr>
          <w:bCs/>
          <w:sz w:val="24"/>
          <w:szCs w:val="24"/>
        </w:rPr>
        <w:t xml:space="preserve"> (a-d). Coefficient, R</w:t>
      </w:r>
      <w:r w:rsidRPr="003C0015">
        <w:rPr>
          <w:bCs/>
          <w:sz w:val="24"/>
          <w:szCs w:val="24"/>
          <w:vertAlign w:val="superscript"/>
        </w:rPr>
        <w:t>2</w:t>
      </w:r>
      <w:r w:rsidRPr="003C0015">
        <w:rPr>
          <w:bCs/>
          <w:sz w:val="24"/>
          <w:szCs w:val="24"/>
        </w:rPr>
        <w:t xml:space="preserve"> value and </w:t>
      </w:r>
      <w:r w:rsidRPr="003C0015">
        <w:rPr>
          <w:bCs/>
          <w:i/>
          <w:sz w:val="24"/>
          <w:szCs w:val="24"/>
        </w:rPr>
        <w:t>p</w:t>
      </w:r>
      <w:r w:rsidRPr="003C0015">
        <w:rPr>
          <w:bCs/>
          <w:sz w:val="24"/>
          <w:szCs w:val="24"/>
        </w:rPr>
        <w:t xml:space="preserve"> value are indicated in the title of each panel. The observed regression line is depicted in blue, the theoretical 1:1 line is indicated as a dashed line.</w:t>
      </w:r>
    </w:p>
    <w:p w14:paraId="76688125" w14:textId="77777777" w:rsidR="00CE3EA9" w:rsidRDefault="00CE3EA9" w:rsidP="003C0015">
      <w:pPr>
        <w:spacing w:after="200" w:line="240" w:lineRule="auto"/>
        <w:jc w:val="both"/>
        <w:rPr>
          <w:bCs/>
          <w:sz w:val="24"/>
          <w:szCs w:val="24"/>
        </w:rPr>
      </w:pPr>
    </w:p>
    <w:p w14:paraId="0CAC57B3" w14:textId="7EEF2272" w:rsidR="00CE3EA9" w:rsidRPr="003C0015" w:rsidRDefault="00E139AD" w:rsidP="003C0015">
      <w:pPr>
        <w:spacing w:after="200" w:line="240" w:lineRule="auto"/>
        <w:jc w:val="both"/>
        <w:rPr>
          <w:bCs/>
          <w:sz w:val="24"/>
          <w:szCs w:val="24"/>
        </w:rPr>
      </w:pPr>
      <w:r>
        <w:rPr>
          <w:noProof/>
        </w:rPr>
        <w:lastRenderedPageBreak/>
        <w:drawing>
          <wp:inline distT="0" distB="0" distL="0" distR="0" wp14:anchorId="5CE4DBFF" wp14:editId="5E485A49">
            <wp:extent cx="5733415" cy="5394960"/>
            <wp:effectExtent l="0" t="0" r="635" b="0"/>
            <wp:docPr id="182886475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3415" cy="5394960"/>
                    </a:xfrm>
                    <a:prstGeom prst="rect">
                      <a:avLst/>
                    </a:prstGeom>
                    <a:noFill/>
                    <a:ln>
                      <a:noFill/>
                    </a:ln>
                  </pic:spPr>
                </pic:pic>
              </a:graphicData>
            </a:graphic>
          </wp:inline>
        </w:drawing>
      </w:r>
    </w:p>
    <w:p w14:paraId="25CE59CA" w14:textId="4E538BD5" w:rsidR="0018207B" w:rsidRDefault="00EB185A" w:rsidP="003C0015">
      <w:pPr>
        <w:spacing w:after="200" w:line="240" w:lineRule="auto"/>
        <w:jc w:val="both"/>
        <w:rPr>
          <w:bCs/>
          <w:sz w:val="24"/>
          <w:szCs w:val="24"/>
        </w:rPr>
      </w:pPr>
      <w:r w:rsidRPr="00EB185A">
        <w:rPr>
          <w:b/>
          <w:sz w:val="24"/>
          <w:szCs w:val="24"/>
        </w:rPr>
        <w:t xml:space="preserve">Supplementary Figure </w:t>
      </w:r>
      <w:r w:rsidR="0073311D">
        <w:rPr>
          <w:b/>
          <w:sz w:val="24"/>
          <w:szCs w:val="24"/>
        </w:rPr>
        <w:t>3</w:t>
      </w:r>
      <w:r w:rsidRPr="00EB185A">
        <w:rPr>
          <w:b/>
          <w:sz w:val="24"/>
          <w:szCs w:val="24"/>
        </w:rPr>
        <w:t>. Phylum level richness comparison between the original and the modified primer pair.</w:t>
      </w:r>
      <w:r w:rsidRPr="003C0015">
        <w:rPr>
          <w:bCs/>
          <w:sz w:val="24"/>
          <w:szCs w:val="24"/>
        </w:rPr>
        <w:t xml:space="preserve"> The lollipop plot shows for different phyla the predicted ASV richness slope by a linear regression analysis between the ASV richness revealed by the original primer pair and the modified primer pair. A slope of 1 means equal representation of a phylum by both primer pairs</w:t>
      </w:r>
      <w:r w:rsidR="00541E58">
        <w:rPr>
          <w:bCs/>
          <w:sz w:val="24"/>
          <w:szCs w:val="24"/>
        </w:rPr>
        <w:t>, a slope &gt;1 higher representation, and a slope &lt;1 lower representation by the modified primers</w:t>
      </w:r>
      <w:r w:rsidRPr="003C0015">
        <w:rPr>
          <w:bCs/>
          <w:sz w:val="24"/>
          <w:szCs w:val="24"/>
        </w:rPr>
        <w:t xml:space="preserve">. Only phyla with &gt;0.1% average relative abundance in activated sludge samples are shown. </w:t>
      </w:r>
    </w:p>
    <w:p w14:paraId="3CEBE82F" w14:textId="77777777" w:rsidR="00CE3EA9" w:rsidRDefault="00CE3EA9" w:rsidP="003C0015">
      <w:pPr>
        <w:spacing w:after="200" w:line="240" w:lineRule="auto"/>
        <w:jc w:val="both"/>
        <w:rPr>
          <w:bCs/>
          <w:sz w:val="24"/>
          <w:szCs w:val="24"/>
        </w:rPr>
      </w:pPr>
    </w:p>
    <w:p w14:paraId="7A7B58EE" w14:textId="40EAFA99" w:rsidR="00CE3EA9" w:rsidRPr="003C0015" w:rsidRDefault="00E139AD" w:rsidP="003C0015">
      <w:pPr>
        <w:spacing w:after="200" w:line="240" w:lineRule="auto"/>
        <w:jc w:val="both"/>
        <w:rPr>
          <w:bCs/>
          <w:sz w:val="24"/>
          <w:szCs w:val="24"/>
        </w:rPr>
      </w:pPr>
      <w:r>
        <w:rPr>
          <w:noProof/>
        </w:rPr>
        <w:lastRenderedPageBreak/>
        <w:drawing>
          <wp:inline distT="0" distB="0" distL="0" distR="0" wp14:anchorId="1E34C799" wp14:editId="232D2CA7">
            <wp:extent cx="5733415" cy="4554855"/>
            <wp:effectExtent l="0" t="0" r="635" b="0"/>
            <wp:docPr id="134219660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3415" cy="4554855"/>
                    </a:xfrm>
                    <a:prstGeom prst="rect">
                      <a:avLst/>
                    </a:prstGeom>
                    <a:noFill/>
                    <a:ln>
                      <a:noFill/>
                    </a:ln>
                  </pic:spPr>
                </pic:pic>
              </a:graphicData>
            </a:graphic>
          </wp:inline>
        </w:drawing>
      </w:r>
    </w:p>
    <w:p w14:paraId="6A38DE25" w14:textId="01D0D55B" w:rsidR="0018207B" w:rsidRDefault="00EB185A" w:rsidP="003C0015">
      <w:pPr>
        <w:spacing w:after="200" w:line="240" w:lineRule="auto"/>
        <w:jc w:val="both"/>
        <w:rPr>
          <w:bCs/>
          <w:sz w:val="24"/>
          <w:szCs w:val="24"/>
        </w:rPr>
      </w:pPr>
      <w:r w:rsidRPr="00EB185A">
        <w:rPr>
          <w:b/>
          <w:sz w:val="24"/>
          <w:szCs w:val="24"/>
        </w:rPr>
        <w:t xml:space="preserve">Supplementary Figure </w:t>
      </w:r>
      <w:r w:rsidR="0073311D">
        <w:rPr>
          <w:b/>
          <w:sz w:val="24"/>
          <w:szCs w:val="24"/>
        </w:rPr>
        <w:t>4</w:t>
      </w:r>
      <w:r w:rsidRPr="00EB185A">
        <w:rPr>
          <w:b/>
          <w:sz w:val="24"/>
          <w:szCs w:val="24"/>
        </w:rPr>
        <w:t xml:space="preserve">. Prevalence of </w:t>
      </w:r>
      <w:r>
        <w:rPr>
          <w:b/>
          <w:sz w:val="24"/>
          <w:szCs w:val="24"/>
        </w:rPr>
        <w:t xml:space="preserve">novel </w:t>
      </w:r>
      <w:proofErr w:type="spellStart"/>
      <w:r>
        <w:rPr>
          <w:b/>
          <w:sz w:val="24"/>
          <w:szCs w:val="24"/>
        </w:rPr>
        <w:t>patescibacterial</w:t>
      </w:r>
      <w:proofErr w:type="spellEnd"/>
      <w:r>
        <w:rPr>
          <w:b/>
          <w:sz w:val="24"/>
          <w:szCs w:val="24"/>
        </w:rPr>
        <w:t xml:space="preserve"> and non-</w:t>
      </w:r>
      <w:proofErr w:type="spellStart"/>
      <w:r>
        <w:rPr>
          <w:b/>
          <w:sz w:val="24"/>
          <w:szCs w:val="24"/>
        </w:rPr>
        <w:t>patescibacterial</w:t>
      </w:r>
      <w:proofErr w:type="spellEnd"/>
      <w:r>
        <w:rPr>
          <w:b/>
          <w:sz w:val="24"/>
          <w:szCs w:val="24"/>
        </w:rPr>
        <w:t xml:space="preserve"> </w:t>
      </w:r>
      <w:r w:rsidRPr="00EB185A">
        <w:rPr>
          <w:b/>
          <w:sz w:val="24"/>
          <w:szCs w:val="24"/>
        </w:rPr>
        <w:t>ASVs</w:t>
      </w:r>
      <w:r>
        <w:rPr>
          <w:b/>
          <w:sz w:val="24"/>
          <w:szCs w:val="24"/>
        </w:rPr>
        <w:t>.</w:t>
      </w:r>
      <w:r w:rsidRPr="00EB185A">
        <w:rPr>
          <w:b/>
          <w:sz w:val="24"/>
          <w:szCs w:val="24"/>
        </w:rPr>
        <w:t xml:space="preserve"> </w:t>
      </w:r>
      <w:r w:rsidRPr="003C0015">
        <w:rPr>
          <w:bCs/>
          <w:sz w:val="24"/>
          <w:szCs w:val="24"/>
        </w:rPr>
        <w:t xml:space="preserve">Prevalence of </w:t>
      </w:r>
      <w:proofErr w:type="spellStart"/>
      <w:r w:rsidRPr="003C0015">
        <w:rPr>
          <w:bCs/>
          <w:sz w:val="24"/>
          <w:szCs w:val="24"/>
        </w:rPr>
        <w:t>patescibacterial</w:t>
      </w:r>
      <w:proofErr w:type="spellEnd"/>
      <w:r w:rsidRPr="003C0015">
        <w:rPr>
          <w:bCs/>
          <w:sz w:val="24"/>
          <w:szCs w:val="24"/>
        </w:rPr>
        <w:t xml:space="preserve"> and non-</w:t>
      </w:r>
      <w:proofErr w:type="spellStart"/>
      <w:r w:rsidRPr="003C0015">
        <w:rPr>
          <w:bCs/>
          <w:sz w:val="24"/>
          <w:szCs w:val="24"/>
        </w:rPr>
        <w:t>patescibacterial</w:t>
      </w:r>
      <w:proofErr w:type="spellEnd"/>
      <w:r w:rsidRPr="003C0015">
        <w:rPr>
          <w:bCs/>
          <w:sz w:val="24"/>
          <w:szCs w:val="24"/>
        </w:rPr>
        <w:t xml:space="preserve"> ASVs without high identity (99%) hits (a-d) and without genus level identity (94.5%) hits (e-h) against the </w:t>
      </w:r>
      <w:proofErr w:type="spellStart"/>
      <w:r w:rsidRPr="003C0015">
        <w:rPr>
          <w:bCs/>
          <w:sz w:val="24"/>
          <w:szCs w:val="24"/>
        </w:rPr>
        <w:t>MiDAS</w:t>
      </w:r>
      <w:proofErr w:type="spellEnd"/>
      <w:r w:rsidRPr="003C0015">
        <w:rPr>
          <w:bCs/>
          <w:sz w:val="24"/>
          <w:szCs w:val="24"/>
        </w:rPr>
        <w:t xml:space="preserve"> 4.8.1 and the SILVA r138.1 database</w:t>
      </w:r>
      <w:r w:rsidR="007D48DC" w:rsidRPr="003C0015">
        <w:rPr>
          <w:bCs/>
          <w:sz w:val="24"/>
          <w:szCs w:val="24"/>
        </w:rPr>
        <w:t>s</w:t>
      </w:r>
      <w:r w:rsidRPr="003C0015">
        <w:rPr>
          <w:bCs/>
          <w:sz w:val="24"/>
          <w:szCs w:val="24"/>
        </w:rPr>
        <w:t>. Y-axis indicates the number of samples where each ASV was detected by the original primer pair and the modified primer pair.</w:t>
      </w:r>
    </w:p>
    <w:p w14:paraId="36BFF047" w14:textId="77777777" w:rsidR="00CE3EA9" w:rsidRDefault="00CE3EA9" w:rsidP="003C0015">
      <w:pPr>
        <w:spacing w:after="200" w:line="240" w:lineRule="auto"/>
        <w:jc w:val="both"/>
        <w:rPr>
          <w:bCs/>
          <w:sz w:val="24"/>
          <w:szCs w:val="24"/>
        </w:rPr>
      </w:pPr>
    </w:p>
    <w:p w14:paraId="2D78900C" w14:textId="3CAE34E4" w:rsidR="00CE3EA9" w:rsidRPr="003C0015" w:rsidRDefault="009E1F76" w:rsidP="003C0015">
      <w:pPr>
        <w:spacing w:after="200" w:line="240" w:lineRule="auto"/>
        <w:jc w:val="both"/>
        <w:rPr>
          <w:bCs/>
          <w:sz w:val="24"/>
          <w:szCs w:val="24"/>
        </w:rPr>
      </w:pPr>
      <w:r>
        <w:rPr>
          <w:noProof/>
        </w:rPr>
        <w:lastRenderedPageBreak/>
        <w:drawing>
          <wp:inline distT="0" distB="0" distL="0" distR="0" wp14:anchorId="30294138" wp14:editId="19BAEB00">
            <wp:extent cx="5733415" cy="4988560"/>
            <wp:effectExtent l="0" t="0" r="635" b="2540"/>
            <wp:docPr id="19763879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3415" cy="4988560"/>
                    </a:xfrm>
                    <a:prstGeom prst="rect">
                      <a:avLst/>
                    </a:prstGeom>
                    <a:noFill/>
                    <a:ln>
                      <a:noFill/>
                    </a:ln>
                  </pic:spPr>
                </pic:pic>
              </a:graphicData>
            </a:graphic>
          </wp:inline>
        </w:drawing>
      </w:r>
    </w:p>
    <w:p w14:paraId="05E892E5" w14:textId="5FCBEA2B" w:rsidR="0018207B" w:rsidRDefault="00EB185A" w:rsidP="003C0015">
      <w:pPr>
        <w:spacing w:after="200" w:line="240" w:lineRule="auto"/>
        <w:jc w:val="both"/>
        <w:rPr>
          <w:bCs/>
          <w:sz w:val="24"/>
          <w:szCs w:val="24"/>
        </w:rPr>
      </w:pPr>
      <w:r w:rsidRPr="00EB185A">
        <w:rPr>
          <w:b/>
          <w:sz w:val="24"/>
          <w:szCs w:val="24"/>
        </w:rPr>
        <w:t xml:space="preserve">Supplementary Figure </w:t>
      </w:r>
      <w:r w:rsidR="0073311D">
        <w:rPr>
          <w:b/>
          <w:sz w:val="24"/>
          <w:szCs w:val="24"/>
        </w:rPr>
        <w:t>5</w:t>
      </w:r>
      <w:r w:rsidRPr="00EB185A">
        <w:rPr>
          <w:b/>
          <w:sz w:val="24"/>
          <w:szCs w:val="24"/>
        </w:rPr>
        <w:t>. Taxonomic affiliation of unclassified ASVs.</w:t>
      </w:r>
      <w:r w:rsidRPr="003C0015">
        <w:rPr>
          <w:bCs/>
          <w:sz w:val="24"/>
          <w:szCs w:val="24"/>
        </w:rPr>
        <w:t xml:space="preserve"> Number of genus level unclassified ASVs in each class of </w:t>
      </w:r>
      <w:proofErr w:type="spellStart"/>
      <w:r w:rsidRPr="003C0015">
        <w:rPr>
          <w:bCs/>
          <w:i/>
          <w:iCs/>
          <w:sz w:val="24"/>
          <w:szCs w:val="24"/>
        </w:rPr>
        <w:t>Patescibacteria</w:t>
      </w:r>
      <w:proofErr w:type="spellEnd"/>
      <w:r w:rsidRPr="003C0015">
        <w:rPr>
          <w:bCs/>
          <w:sz w:val="24"/>
          <w:szCs w:val="24"/>
        </w:rPr>
        <w:t xml:space="preserve"> (Y-axis). The stacked </w:t>
      </w:r>
      <w:proofErr w:type="spellStart"/>
      <w:r w:rsidRPr="003C0015">
        <w:rPr>
          <w:bCs/>
          <w:sz w:val="24"/>
          <w:szCs w:val="24"/>
        </w:rPr>
        <w:t>barplot</w:t>
      </w:r>
      <w:proofErr w:type="spellEnd"/>
      <w:r w:rsidRPr="003C0015">
        <w:rPr>
          <w:bCs/>
          <w:sz w:val="24"/>
          <w:szCs w:val="24"/>
        </w:rPr>
        <w:t xml:space="preserve"> colours indicate for each </w:t>
      </w:r>
      <w:proofErr w:type="spellStart"/>
      <w:r w:rsidRPr="003C0015">
        <w:rPr>
          <w:bCs/>
          <w:i/>
          <w:iCs/>
          <w:sz w:val="24"/>
          <w:szCs w:val="24"/>
        </w:rPr>
        <w:t>Patescibacteria</w:t>
      </w:r>
      <w:proofErr w:type="spellEnd"/>
      <w:r w:rsidRPr="003C0015">
        <w:rPr>
          <w:bCs/>
          <w:sz w:val="24"/>
          <w:szCs w:val="24"/>
        </w:rPr>
        <w:t xml:space="preserve"> class the number of retrieved ASVs at their annotated taxonomic levels using the </w:t>
      </w:r>
      <w:proofErr w:type="spellStart"/>
      <w:r w:rsidRPr="003C0015">
        <w:rPr>
          <w:bCs/>
          <w:sz w:val="24"/>
          <w:szCs w:val="24"/>
        </w:rPr>
        <w:t>assignTaxonomy</w:t>
      </w:r>
      <w:proofErr w:type="spellEnd"/>
      <w:r w:rsidRPr="003C0015">
        <w:rPr>
          <w:bCs/>
          <w:sz w:val="24"/>
          <w:szCs w:val="24"/>
        </w:rPr>
        <w:t xml:space="preserve"> function in DADA2 against the </w:t>
      </w:r>
      <w:proofErr w:type="spellStart"/>
      <w:r w:rsidRPr="003C0015">
        <w:rPr>
          <w:bCs/>
          <w:sz w:val="24"/>
          <w:szCs w:val="24"/>
        </w:rPr>
        <w:t>MiDAS</w:t>
      </w:r>
      <w:proofErr w:type="spellEnd"/>
      <w:r w:rsidRPr="003C0015">
        <w:rPr>
          <w:bCs/>
          <w:sz w:val="24"/>
          <w:szCs w:val="24"/>
        </w:rPr>
        <w:t xml:space="preserve"> 4.8.1 database.</w:t>
      </w:r>
    </w:p>
    <w:p w14:paraId="466BA73A" w14:textId="77777777" w:rsidR="00CE3EA9" w:rsidRDefault="00CE3EA9" w:rsidP="003C0015">
      <w:pPr>
        <w:spacing w:after="200" w:line="240" w:lineRule="auto"/>
        <w:jc w:val="both"/>
        <w:rPr>
          <w:bCs/>
          <w:sz w:val="24"/>
          <w:szCs w:val="24"/>
        </w:rPr>
      </w:pPr>
    </w:p>
    <w:p w14:paraId="04AE8208" w14:textId="79D2F2C1" w:rsidR="00CE3EA9" w:rsidRPr="003C0015" w:rsidRDefault="009E1F76" w:rsidP="003C0015">
      <w:pPr>
        <w:spacing w:after="200" w:line="240" w:lineRule="auto"/>
        <w:jc w:val="both"/>
        <w:rPr>
          <w:bCs/>
          <w:sz w:val="24"/>
          <w:szCs w:val="24"/>
        </w:rPr>
      </w:pPr>
      <w:r>
        <w:rPr>
          <w:noProof/>
        </w:rPr>
        <w:lastRenderedPageBreak/>
        <w:drawing>
          <wp:inline distT="0" distB="0" distL="0" distR="0" wp14:anchorId="3F1569B4" wp14:editId="4FC89FA7">
            <wp:extent cx="5733415" cy="3410585"/>
            <wp:effectExtent l="0" t="0" r="635" b="0"/>
            <wp:docPr id="80521044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3415" cy="3410585"/>
                    </a:xfrm>
                    <a:prstGeom prst="rect">
                      <a:avLst/>
                    </a:prstGeom>
                    <a:noFill/>
                    <a:ln>
                      <a:noFill/>
                    </a:ln>
                  </pic:spPr>
                </pic:pic>
              </a:graphicData>
            </a:graphic>
          </wp:inline>
        </w:drawing>
      </w:r>
    </w:p>
    <w:p w14:paraId="4089B42C" w14:textId="2AC5AF82" w:rsidR="0018207B" w:rsidRDefault="00EB185A" w:rsidP="003C0015">
      <w:pPr>
        <w:spacing w:after="200" w:line="240" w:lineRule="auto"/>
        <w:jc w:val="both"/>
        <w:rPr>
          <w:bCs/>
          <w:sz w:val="24"/>
          <w:szCs w:val="24"/>
        </w:rPr>
      </w:pPr>
      <w:r w:rsidRPr="00EB185A">
        <w:rPr>
          <w:b/>
          <w:sz w:val="24"/>
          <w:szCs w:val="24"/>
        </w:rPr>
        <w:t xml:space="preserve">Supplementary Figure </w:t>
      </w:r>
      <w:r w:rsidR="0073311D">
        <w:rPr>
          <w:b/>
          <w:sz w:val="24"/>
          <w:szCs w:val="24"/>
        </w:rPr>
        <w:t>6</w:t>
      </w:r>
      <w:r w:rsidRPr="00EB185A">
        <w:rPr>
          <w:b/>
          <w:sz w:val="24"/>
          <w:szCs w:val="24"/>
        </w:rPr>
        <w:t xml:space="preserve">. Richness and abundance of </w:t>
      </w:r>
      <w:proofErr w:type="spellStart"/>
      <w:r w:rsidRPr="00EB185A">
        <w:rPr>
          <w:b/>
          <w:i/>
          <w:iCs/>
          <w:sz w:val="24"/>
          <w:szCs w:val="24"/>
        </w:rPr>
        <w:t>Patescibacteria</w:t>
      </w:r>
      <w:proofErr w:type="spellEnd"/>
      <w:r w:rsidRPr="00EB185A">
        <w:rPr>
          <w:b/>
          <w:sz w:val="24"/>
          <w:szCs w:val="24"/>
        </w:rPr>
        <w:t xml:space="preserve"> in samples of different WWTP types.</w:t>
      </w:r>
      <w:r w:rsidRPr="003C0015">
        <w:rPr>
          <w:bCs/>
          <w:sz w:val="24"/>
          <w:szCs w:val="24"/>
        </w:rPr>
        <w:t xml:space="preserve"> Observed number of ASVs (a), Shannon index (b) and relative abundance (c) of </w:t>
      </w:r>
      <w:proofErr w:type="spellStart"/>
      <w:r w:rsidRPr="003C0015">
        <w:rPr>
          <w:bCs/>
          <w:i/>
          <w:iCs/>
          <w:sz w:val="24"/>
          <w:szCs w:val="24"/>
        </w:rPr>
        <w:t>Patescibacteria</w:t>
      </w:r>
      <w:proofErr w:type="spellEnd"/>
      <w:r w:rsidRPr="003C0015">
        <w:rPr>
          <w:bCs/>
          <w:sz w:val="24"/>
          <w:szCs w:val="24"/>
        </w:rPr>
        <w:t xml:space="preserve"> in different plant types. The non-parametric Kruskal-Wallis test was used to infer significant differences between plant types. Pairwise comparisons of plant types were done by a post-hoc Dunn’s test (Bonferroni correction, ɑ=0.01)</w:t>
      </w:r>
      <w:r w:rsidR="00B66B83">
        <w:rPr>
          <w:bCs/>
          <w:sz w:val="24"/>
          <w:szCs w:val="24"/>
        </w:rPr>
        <w:t>. T</w:t>
      </w:r>
      <w:r w:rsidRPr="003C0015">
        <w:rPr>
          <w:bCs/>
          <w:sz w:val="24"/>
          <w:szCs w:val="24"/>
        </w:rPr>
        <w:t xml:space="preserve">he results are shown with compact letter display (groups that do not share letters are significantly different). </w:t>
      </w:r>
    </w:p>
    <w:p w14:paraId="7A1ACFD1" w14:textId="77777777" w:rsidR="00CE3EA9" w:rsidRDefault="00CE3EA9" w:rsidP="003C0015">
      <w:pPr>
        <w:spacing w:after="200" w:line="240" w:lineRule="auto"/>
        <w:jc w:val="both"/>
        <w:rPr>
          <w:bCs/>
          <w:sz w:val="24"/>
          <w:szCs w:val="24"/>
        </w:rPr>
      </w:pPr>
    </w:p>
    <w:p w14:paraId="28307344" w14:textId="77777777" w:rsidR="00CE3EA9" w:rsidRDefault="00CE3EA9" w:rsidP="003C0015">
      <w:pPr>
        <w:spacing w:after="200" w:line="240" w:lineRule="auto"/>
        <w:jc w:val="both"/>
        <w:rPr>
          <w:bCs/>
          <w:sz w:val="24"/>
          <w:szCs w:val="24"/>
        </w:rPr>
      </w:pPr>
    </w:p>
    <w:p w14:paraId="7C2D2757" w14:textId="163BF6DC" w:rsidR="00CE3EA9" w:rsidRPr="003C0015" w:rsidRDefault="009804B9" w:rsidP="003C0015">
      <w:pPr>
        <w:spacing w:after="200" w:line="240" w:lineRule="auto"/>
        <w:jc w:val="both"/>
        <w:rPr>
          <w:bCs/>
          <w:sz w:val="24"/>
          <w:szCs w:val="24"/>
        </w:rPr>
      </w:pPr>
      <w:r>
        <w:rPr>
          <w:noProof/>
        </w:rPr>
        <w:lastRenderedPageBreak/>
        <w:drawing>
          <wp:inline distT="0" distB="0" distL="0" distR="0" wp14:anchorId="1882675E" wp14:editId="3DC71BD0">
            <wp:extent cx="5733415" cy="4383405"/>
            <wp:effectExtent l="0" t="0" r="635" b="0"/>
            <wp:docPr id="171262423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3415" cy="4383405"/>
                    </a:xfrm>
                    <a:prstGeom prst="rect">
                      <a:avLst/>
                    </a:prstGeom>
                    <a:noFill/>
                    <a:ln>
                      <a:noFill/>
                    </a:ln>
                  </pic:spPr>
                </pic:pic>
              </a:graphicData>
            </a:graphic>
          </wp:inline>
        </w:drawing>
      </w:r>
    </w:p>
    <w:p w14:paraId="1CCD0E8C" w14:textId="5B45C0CD" w:rsidR="0018207B" w:rsidRDefault="00EB185A" w:rsidP="003C0015">
      <w:pPr>
        <w:spacing w:after="200" w:line="240" w:lineRule="auto"/>
        <w:jc w:val="both"/>
        <w:rPr>
          <w:bCs/>
          <w:sz w:val="24"/>
          <w:szCs w:val="24"/>
        </w:rPr>
      </w:pPr>
      <w:r w:rsidRPr="00EB185A">
        <w:rPr>
          <w:b/>
          <w:sz w:val="24"/>
          <w:szCs w:val="24"/>
        </w:rPr>
        <w:t xml:space="preserve">Supplementary Figure </w:t>
      </w:r>
      <w:r w:rsidR="0073311D">
        <w:rPr>
          <w:b/>
          <w:sz w:val="24"/>
          <w:szCs w:val="24"/>
        </w:rPr>
        <w:t>7</w:t>
      </w:r>
      <w:r w:rsidRPr="00EB185A">
        <w:rPr>
          <w:b/>
          <w:sz w:val="24"/>
          <w:szCs w:val="24"/>
        </w:rPr>
        <w:t>. ASV level co-occurrence network reveal</w:t>
      </w:r>
      <w:r w:rsidR="00722DA5">
        <w:rPr>
          <w:b/>
          <w:sz w:val="24"/>
          <w:szCs w:val="24"/>
        </w:rPr>
        <w:t>s</w:t>
      </w:r>
      <w:r w:rsidRPr="00EB185A">
        <w:rPr>
          <w:b/>
          <w:sz w:val="24"/>
          <w:szCs w:val="24"/>
        </w:rPr>
        <w:t xml:space="preserve"> potential host-association of </w:t>
      </w:r>
      <w:proofErr w:type="spellStart"/>
      <w:r w:rsidRPr="00EB185A">
        <w:rPr>
          <w:b/>
          <w:i/>
          <w:iCs/>
          <w:sz w:val="24"/>
          <w:szCs w:val="24"/>
        </w:rPr>
        <w:t>Patescibacteria</w:t>
      </w:r>
      <w:proofErr w:type="spellEnd"/>
      <w:r w:rsidRPr="00EB185A">
        <w:rPr>
          <w:b/>
          <w:sz w:val="24"/>
          <w:szCs w:val="24"/>
        </w:rPr>
        <w:t>.</w:t>
      </w:r>
      <w:r w:rsidRPr="003C0015">
        <w:rPr>
          <w:bCs/>
          <w:sz w:val="24"/>
          <w:szCs w:val="24"/>
        </w:rPr>
        <w:t xml:space="preserve"> ASV pairs including </w:t>
      </w:r>
      <w:proofErr w:type="spellStart"/>
      <w:r w:rsidRPr="003C0015">
        <w:rPr>
          <w:bCs/>
          <w:sz w:val="24"/>
          <w:szCs w:val="24"/>
        </w:rPr>
        <w:t>patescibacterial</w:t>
      </w:r>
      <w:proofErr w:type="spellEnd"/>
      <w:r w:rsidRPr="003C0015">
        <w:rPr>
          <w:bCs/>
          <w:sz w:val="24"/>
          <w:szCs w:val="24"/>
        </w:rPr>
        <w:t xml:space="preserve"> ASVs with </w:t>
      </w:r>
      <w:r w:rsidRPr="003C0015">
        <w:rPr>
          <w:bCs/>
          <w:i/>
          <w:sz w:val="24"/>
          <w:szCs w:val="24"/>
        </w:rPr>
        <w:t xml:space="preserve">p </w:t>
      </w:r>
      <w:r w:rsidRPr="003C0015">
        <w:rPr>
          <w:bCs/>
          <w:sz w:val="24"/>
          <w:szCs w:val="24"/>
        </w:rPr>
        <w:t xml:space="preserve">value &lt;0.01 and absolute correlation value &gt;0.5 are shown in this network. Each node represents an ASV, labelled by the species and genus name. The node </w:t>
      </w:r>
      <w:proofErr w:type="spellStart"/>
      <w:r w:rsidRPr="003C0015">
        <w:rPr>
          <w:bCs/>
          <w:sz w:val="24"/>
          <w:szCs w:val="24"/>
        </w:rPr>
        <w:t>color</w:t>
      </w:r>
      <w:proofErr w:type="spellEnd"/>
      <w:r w:rsidRPr="003C0015">
        <w:rPr>
          <w:bCs/>
          <w:sz w:val="24"/>
          <w:szCs w:val="24"/>
        </w:rPr>
        <w:t xml:space="preserve"> indicates different phyla.</w:t>
      </w:r>
    </w:p>
    <w:p w14:paraId="0C5EA6CB" w14:textId="77777777" w:rsidR="00CE3EA9" w:rsidRDefault="00CE3EA9" w:rsidP="003C0015">
      <w:pPr>
        <w:spacing w:after="200" w:line="240" w:lineRule="auto"/>
        <w:jc w:val="both"/>
        <w:rPr>
          <w:bCs/>
          <w:sz w:val="24"/>
          <w:szCs w:val="24"/>
        </w:rPr>
      </w:pPr>
    </w:p>
    <w:p w14:paraId="399580A8" w14:textId="121B2BA3" w:rsidR="0073311D" w:rsidRPr="00D11C70" w:rsidRDefault="0073311D" w:rsidP="0073311D">
      <w:pPr>
        <w:jc w:val="both"/>
        <w:rPr>
          <w:bCs/>
          <w:sz w:val="24"/>
          <w:szCs w:val="24"/>
        </w:rPr>
      </w:pPr>
      <w:r>
        <w:rPr>
          <w:noProof/>
        </w:rPr>
        <w:lastRenderedPageBreak/>
        <w:drawing>
          <wp:inline distT="0" distB="0" distL="0" distR="0" wp14:anchorId="01514AB2" wp14:editId="3A860932">
            <wp:extent cx="5609558" cy="7419975"/>
            <wp:effectExtent l="0" t="0" r="0" b="0"/>
            <wp:docPr id="92360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42868" cy="7464035"/>
                    </a:xfrm>
                    <a:prstGeom prst="rect">
                      <a:avLst/>
                    </a:prstGeom>
                    <a:noFill/>
                    <a:ln>
                      <a:noFill/>
                    </a:ln>
                  </pic:spPr>
                </pic:pic>
              </a:graphicData>
            </a:graphic>
          </wp:inline>
        </w:drawing>
      </w:r>
      <w:r w:rsidRPr="00EB185A">
        <w:rPr>
          <w:b/>
          <w:sz w:val="24"/>
          <w:szCs w:val="24"/>
        </w:rPr>
        <w:t xml:space="preserve">Supplementary Figure </w:t>
      </w:r>
      <w:r>
        <w:rPr>
          <w:b/>
          <w:sz w:val="24"/>
          <w:szCs w:val="24"/>
        </w:rPr>
        <w:t>8</w:t>
      </w:r>
      <w:r w:rsidRPr="00EB185A">
        <w:rPr>
          <w:b/>
          <w:sz w:val="24"/>
          <w:szCs w:val="24"/>
        </w:rPr>
        <w:t xml:space="preserve">. Primer binding region of </w:t>
      </w:r>
      <w:proofErr w:type="spellStart"/>
      <w:r w:rsidRPr="00EB185A">
        <w:rPr>
          <w:b/>
          <w:i/>
          <w:iCs/>
          <w:sz w:val="24"/>
          <w:szCs w:val="24"/>
        </w:rPr>
        <w:t>Patescibacteria</w:t>
      </w:r>
      <w:proofErr w:type="spellEnd"/>
      <w:r w:rsidRPr="00EB185A">
        <w:rPr>
          <w:b/>
          <w:sz w:val="24"/>
          <w:szCs w:val="24"/>
        </w:rPr>
        <w:t xml:space="preserve"> 16S rRNA gene.</w:t>
      </w:r>
      <w:r w:rsidRPr="003C0015">
        <w:rPr>
          <w:bCs/>
          <w:sz w:val="24"/>
          <w:szCs w:val="24"/>
        </w:rPr>
        <w:t xml:space="preserve"> Base composition of the binding sites of </w:t>
      </w:r>
      <w:proofErr w:type="spellStart"/>
      <w:r w:rsidRPr="003C0015">
        <w:rPr>
          <w:bCs/>
          <w:i/>
          <w:iCs/>
          <w:sz w:val="24"/>
          <w:szCs w:val="24"/>
        </w:rPr>
        <w:t>Patescibacteria</w:t>
      </w:r>
      <w:proofErr w:type="spellEnd"/>
      <w:r w:rsidRPr="003C0015">
        <w:rPr>
          <w:bCs/>
          <w:sz w:val="24"/>
          <w:szCs w:val="24"/>
        </w:rPr>
        <w:t xml:space="preserve"> 16S rRNA gene sequences for the 515F (positions 515-533</w:t>
      </w:r>
      <w:r>
        <w:rPr>
          <w:bCs/>
          <w:sz w:val="24"/>
          <w:szCs w:val="24"/>
        </w:rPr>
        <w:t>; panel a-d</w:t>
      </w:r>
      <w:r w:rsidRPr="003C0015">
        <w:rPr>
          <w:bCs/>
          <w:sz w:val="24"/>
          <w:szCs w:val="24"/>
        </w:rPr>
        <w:t>)/806R (positions 787-806</w:t>
      </w:r>
      <w:r>
        <w:rPr>
          <w:bCs/>
          <w:sz w:val="24"/>
          <w:szCs w:val="24"/>
        </w:rPr>
        <w:t>, panel e-h</w:t>
      </w:r>
      <w:r w:rsidRPr="003C0015">
        <w:rPr>
          <w:bCs/>
          <w:sz w:val="24"/>
          <w:szCs w:val="24"/>
        </w:rPr>
        <w:t xml:space="preserve">) primer pair that is widely used for amplicon sequencing. </w:t>
      </w:r>
      <w:r>
        <w:rPr>
          <w:bCs/>
          <w:sz w:val="24"/>
          <w:szCs w:val="24"/>
        </w:rPr>
        <w:t>P</w:t>
      </w:r>
      <w:r w:rsidRPr="003C0015">
        <w:rPr>
          <w:bCs/>
          <w:sz w:val="24"/>
          <w:szCs w:val="24"/>
        </w:rPr>
        <w:t>anel</w:t>
      </w:r>
      <w:r>
        <w:rPr>
          <w:bCs/>
          <w:sz w:val="24"/>
          <w:szCs w:val="24"/>
        </w:rPr>
        <w:t>s</w:t>
      </w:r>
      <w:r w:rsidRPr="003C0015">
        <w:rPr>
          <w:bCs/>
          <w:sz w:val="24"/>
          <w:szCs w:val="24"/>
        </w:rPr>
        <w:t xml:space="preserve"> a</w:t>
      </w:r>
      <w:r>
        <w:rPr>
          <w:bCs/>
          <w:sz w:val="24"/>
          <w:szCs w:val="24"/>
        </w:rPr>
        <w:t>) and b)</w:t>
      </w:r>
      <w:r w:rsidRPr="003C0015">
        <w:rPr>
          <w:bCs/>
          <w:sz w:val="24"/>
          <w:szCs w:val="24"/>
        </w:rPr>
        <w:t xml:space="preserve"> show </w:t>
      </w:r>
      <w:proofErr w:type="spellStart"/>
      <w:r w:rsidRPr="003C0015">
        <w:rPr>
          <w:bCs/>
          <w:i/>
          <w:iCs/>
          <w:sz w:val="24"/>
          <w:szCs w:val="24"/>
        </w:rPr>
        <w:t>Patescibacteria</w:t>
      </w:r>
      <w:proofErr w:type="spellEnd"/>
      <w:r w:rsidRPr="003C0015">
        <w:rPr>
          <w:bCs/>
          <w:sz w:val="24"/>
          <w:szCs w:val="24"/>
        </w:rPr>
        <w:t xml:space="preserve"> 16S rRNA gene sequences</w:t>
      </w:r>
      <w:r>
        <w:rPr>
          <w:bCs/>
          <w:sz w:val="24"/>
          <w:szCs w:val="24"/>
        </w:rPr>
        <w:t xml:space="preserve"> of the forward primer binding site</w:t>
      </w:r>
      <w:r w:rsidRPr="003C0015">
        <w:rPr>
          <w:bCs/>
          <w:sz w:val="24"/>
          <w:szCs w:val="24"/>
        </w:rPr>
        <w:t xml:space="preserve"> retrieved from the </w:t>
      </w:r>
      <w:proofErr w:type="spellStart"/>
      <w:r w:rsidRPr="003C0015">
        <w:rPr>
          <w:bCs/>
          <w:sz w:val="24"/>
          <w:szCs w:val="24"/>
        </w:rPr>
        <w:t>MiDAS</w:t>
      </w:r>
      <w:proofErr w:type="spellEnd"/>
      <w:r w:rsidRPr="003C0015">
        <w:rPr>
          <w:bCs/>
          <w:sz w:val="24"/>
          <w:szCs w:val="24"/>
        </w:rPr>
        <w:t xml:space="preserve"> (4.8.1)</w:t>
      </w:r>
      <w:r>
        <w:rPr>
          <w:bCs/>
          <w:sz w:val="24"/>
          <w:szCs w:val="24"/>
        </w:rPr>
        <w:t xml:space="preserve"> and</w:t>
      </w:r>
      <w:r w:rsidRPr="00AB6A7E">
        <w:rPr>
          <w:bCs/>
          <w:sz w:val="24"/>
          <w:szCs w:val="24"/>
        </w:rPr>
        <w:t xml:space="preserve"> </w:t>
      </w:r>
      <w:r w:rsidRPr="003C0015">
        <w:rPr>
          <w:bCs/>
          <w:sz w:val="24"/>
          <w:szCs w:val="24"/>
        </w:rPr>
        <w:t>SILVA database (r138.1)</w:t>
      </w:r>
      <w:r>
        <w:rPr>
          <w:bCs/>
          <w:sz w:val="24"/>
          <w:szCs w:val="24"/>
        </w:rPr>
        <w:t xml:space="preserve">, respectively. Panels c) and d) show the modified and original forward primer sequence, respectively. Panels e) and </w:t>
      </w:r>
      <w:r>
        <w:rPr>
          <w:bCs/>
          <w:sz w:val="24"/>
          <w:szCs w:val="24"/>
        </w:rPr>
        <w:lastRenderedPageBreak/>
        <w:t xml:space="preserve">f) show </w:t>
      </w:r>
      <w:proofErr w:type="spellStart"/>
      <w:r w:rsidRPr="003C0015">
        <w:rPr>
          <w:bCs/>
          <w:i/>
          <w:iCs/>
          <w:sz w:val="24"/>
          <w:szCs w:val="24"/>
        </w:rPr>
        <w:t>Patescibacteria</w:t>
      </w:r>
      <w:proofErr w:type="spellEnd"/>
      <w:r w:rsidRPr="003C0015">
        <w:rPr>
          <w:bCs/>
          <w:sz w:val="24"/>
          <w:szCs w:val="24"/>
        </w:rPr>
        <w:t xml:space="preserve"> 16S rRNA gene sequences</w:t>
      </w:r>
      <w:r>
        <w:rPr>
          <w:bCs/>
          <w:sz w:val="24"/>
          <w:szCs w:val="24"/>
        </w:rPr>
        <w:t xml:space="preserve"> of the reverse primer binding site</w:t>
      </w:r>
      <w:r w:rsidRPr="003C0015">
        <w:rPr>
          <w:bCs/>
          <w:sz w:val="24"/>
          <w:szCs w:val="24"/>
        </w:rPr>
        <w:t xml:space="preserve"> retrieved from the </w:t>
      </w:r>
      <w:proofErr w:type="spellStart"/>
      <w:r w:rsidRPr="003C0015">
        <w:rPr>
          <w:bCs/>
          <w:sz w:val="24"/>
          <w:szCs w:val="24"/>
        </w:rPr>
        <w:t>MiDAS</w:t>
      </w:r>
      <w:proofErr w:type="spellEnd"/>
      <w:r w:rsidRPr="003C0015">
        <w:rPr>
          <w:bCs/>
          <w:sz w:val="24"/>
          <w:szCs w:val="24"/>
        </w:rPr>
        <w:t xml:space="preserve"> (4.8.1)</w:t>
      </w:r>
      <w:r>
        <w:rPr>
          <w:bCs/>
          <w:sz w:val="24"/>
          <w:szCs w:val="24"/>
        </w:rPr>
        <w:t xml:space="preserve"> and</w:t>
      </w:r>
      <w:r w:rsidRPr="00AB6A7E">
        <w:rPr>
          <w:bCs/>
          <w:sz w:val="24"/>
          <w:szCs w:val="24"/>
        </w:rPr>
        <w:t xml:space="preserve"> </w:t>
      </w:r>
      <w:r w:rsidRPr="003C0015">
        <w:rPr>
          <w:bCs/>
          <w:sz w:val="24"/>
          <w:szCs w:val="24"/>
        </w:rPr>
        <w:t>SILVA database (r138.1)</w:t>
      </w:r>
      <w:r>
        <w:rPr>
          <w:bCs/>
          <w:sz w:val="24"/>
          <w:szCs w:val="24"/>
        </w:rPr>
        <w:t xml:space="preserve">, respectively. Panels g) and h) show the modified and original reverse primer sequence, respectively. </w:t>
      </w:r>
      <w:r w:rsidRPr="003C0015">
        <w:rPr>
          <w:bCs/>
          <w:sz w:val="24"/>
          <w:szCs w:val="24"/>
        </w:rPr>
        <w:t>The Y-axis represents the fraction of A,C,G and T, X-axis represents the position of bases in the primer sequences.</w:t>
      </w:r>
    </w:p>
    <w:p w14:paraId="158C11D9" w14:textId="77777777" w:rsidR="0073311D" w:rsidRDefault="0073311D" w:rsidP="003C0015">
      <w:pPr>
        <w:spacing w:after="200" w:line="240" w:lineRule="auto"/>
        <w:jc w:val="both"/>
        <w:rPr>
          <w:bCs/>
          <w:sz w:val="24"/>
          <w:szCs w:val="24"/>
        </w:rPr>
      </w:pPr>
    </w:p>
    <w:p w14:paraId="411ED673" w14:textId="300E3602" w:rsidR="0018207B" w:rsidRPr="00EB185A" w:rsidRDefault="00EB185A" w:rsidP="003C0015">
      <w:pPr>
        <w:pStyle w:val="Heading2"/>
        <w:spacing w:after="200" w:line="240" w:lineRule="auto"/>
        <w:jc w:val="both"/>
        <w:rPr>
          <w:b/>
          <w:sz w:val="24"/>
          <w:szCs w:val="24"/>
        </w:rPr>
      </w:pPr>
      <w:bookmarkStart w:id="1" w:name="_buigtoh2ycyj" w:colFirst="0" w:colLast="0"/>
      <w:bookmarkEnd w:id="1"/>
      <w:r w:rsidRPr="00EB185A">
        <w:rPr>
          <w:b/>
          <w:sz w:val="24"/>
          <w:szCs w:val="24"/>
        </w:rPr>
        <w:t>Supplementary table legends</w:t>
      </w:r>
    </w:p>
    <w:p w14:paraId="5715DABC" w14:textId="77777777" w:rsidR="0018207B" w:rsidRPr="003C0015" w:rsidRDefault="00EB185A" w:rsidP="003C0015">
      <w:pPr>
        <w:spacing w:after="200" w:line="240" w:lineRule="auto"/>
        <w:jc w:val="both"/>
        <w:rPr>
          <w:bCs/>
          <w:sz w:val="24"/>
          <w:szCs w:val="24"/>
        </w:rPr>
      </w:pPr>
      <w:r w:rsidRPr="003C0015">
        <w:rPr>
          <w:bCs/>
          <w:sz w:val="24"/>
          <w:szCs w:val="24"/>
        </w:rPr>
        <w:t xml:space="preserve">Table S1. Primer sequences used for the </w:t>
      </w:r>
      <w:r w:rsidRPr="003C0015">
        <w:rPr>
          <w:bCs/>
          <w:i/>
          <w:sz w:val="24"/>
          <w:szCs w:val="24"/>
        </w:rPr>
        <w:t>in silico</w:t>
      </w:r>
      <w:r w:rsidRPr="003C0015">
        <w:rPr>
          <w:bCs/>
          <w:sz w:val="24"/>
          <w:szCs w:val="24"/>
        </w:rPr>
        <w:t xml:space="preserve"> coverage analyses.</w:t>
      </w:r>
    </w:p>
    <w:p w14:paraId="7C7539C8" w14:textId="77777777" w:rsidR="0018207B" w:rsidRPr="003C0015" w:rsidRDefault="00EB185A" w:rsidP="003C0015">
      <w:pPr>
        <w:spacing w:after="200" w:line="240" w:lineRule="auto"/>
        <w:jc w:val="both"/>
        <w:rPr>
          <w:bCs/>
          <w:sz w:val="24"/>
          <w:szCs w:val="24"/>
        </w:rPr>
      </w:pPr>
      <w:r w:rsidRPr="003C0015">
        <w:rPr>
          <w:bCs/>
          <w:sz w:val="24"/>
          <w:szCs w:val="24"/>
        </w:rPr>
        <w:t>Table S2. Coverages of commonly used 16S rRNA gene primers (V1-V3, V3-V4, V4, V4-V5, and modified V4) for different phyla evaluated by the SILVA r138.1 database with zero and one mismatch.</w:t>
      </w:r>
    </w:p>
    <w:p w14:paraId="3836A58B" w14:textId="77777777" w:rsidR="0018207B" w:rsidRPr="003C0015" w:rsidRDefault="00EB185A" w:rsidP="003C0015">
      <w:pPr>
        <w:spacing w:after="200" w:line="240" w:lineRule="auto"/>
        <w:jc w:val="both"/>
        <w:rPr>
          <w:bCs/>
          <w:sz w:val="24"/>
          <w:szCs w:val="24"/>
        </w:rPr>
      </w:pPr>
      <w:r w:rsidRPr="003C0015">
        <w:rPr>
          <w:bCs/>
          <w:sz w:val="24"/>
          <w:szCs w:val="24"/>
        </w:rPr>
        <w:t xml:space="preserve">Table S3. Coverages of commonly used 16S rRNA gene primers (V1-V3, V3-V4, V4, V4-V5, and modified V4) for different classes of </w:t>
      </w:r>
      <w:proofErr w:type="spellStart"/>
      <w:r w:rsidRPr="003C0015">
        <w:rPr>
          <w:bCs/>
          <w:i/>
          <w:iCs/>
          <w:sz w:val="24"/>
          <w:szCs w:val="24"/>
        </w:rPr>
        <w:t>Patescibacteria</w:t>
      </w:r>
      <w:proofErr w:type="spellEnd"/>
      <w:r w:rsidRPr="003C0015">
        <w:rPr>
          <w:bCs/>
          <w:sz w:val="24"/>
          <w:szCs w:val="24"/>
        </w:rPr>
        <w:t xml:space="preserve"> evaluated by the SILVA r138.1 database with zero and one mismatch.</w:t>
      </w:r>
    </w:p>
    <w:p w14:paraId="237990F3" w14:textId="00EB0A8C" w:rsidR="0018207B" w:rsidRPr="003C0015" w:rsidRDefault="00EB185A" w:rsidP="003C0015">
      <w:pPr>
        <w:spacing w:after="200" w:line="240" w:lineRule="auto"/>
        <w:jc w:val="both"/>
        <w:rPr>
          <w:bCs/>
          <w:sz w:val="24"/>
          <w:szCs w:val="24"/>
        </w:rPr>
      </w:pPr>
      <w:r w:rsidRPr="003C0015">
        <w:rPr>
          <w:bCs/>
          <w:sz w:val="24"/>
          <w:szCs w:val="24"/>
        </w:rPr>
        <w:t xml:space="preserve">Table S4. Coverages of commonly used 16S rRNA gene primers (V1-V3, V3-V4, V4, V4-V5, and modified V4) for different phyla evaluated by the </w:t>
      </w:r>
      <w:proofErr w:type="spellStart"/>
      <w:r w:rsidRPr="003C0015">
        <w:rPr>
          <w:bCs/>
          <w:sz w:val="24"/>
          <w:szCs w:val="24"/>
        </w:rPr>
        <w:t>MiDAS</w:t>
      </w:r>
      <w:proofErr w:type="spellEnd"/>
      <w:r w:rsidRPr="003C0015">
        <w:rPr>
          <w:bCs/>
          <w:sz w:val="24"/>
          <w:szCs w:val="24"/>
        </w:rPr>
        <w:t xml:space="preserve"> 4.</w:t>
      </w:r>
      <w:r w:rsidR="00D60B2C" w:rsidRPr="003C0015">
        <w:rPr>
          <w:bCs/>
          <w:sz w:val="24"/>
          <w:szCs w:val="24"/>
        </w:rPr>
        <w:t>8.1 database</w:t>
      </w:r>
      <w:r w:rsidRPr="003C0015">
        <w:rPr>
          <w:bCs/>
          <w:sz w:val="24"/>
          <w:szCs w:val="24"/>
        </w:rPr>
        <w:t xml:space="preserve"> with zero and one mismatch.</w:t>
      </w:r>
    </w:p>
    <w:p w14:paraId="09BA90C0" w14:textId="120E9DF7" w:rsidR="0018207B" w:rsidRPr="003C0015" w:rsidRDefault="00EB185A" w:rsidP="003C0015">
      <w:pPr>
        <w:spacing w:after="200" w:line="240" w:lineRule="auto"/>
        <w:jc w:val="both"/>
        <w:rPr>
          <w:bCs/>
          <w:sz w:val="24"/>
          <w:szCs w:val="24"/>
        </w:rPr>
      </w:pPr>
      <w:r w:rsidRPr="003C0015">
        <w:rPr>
          <w:bCs/>
          <w:sz w:val="24"/>
          <w:szCs w:val="24"/>
        </w:rPr>
        <w:t xml:space="preserve">Table S5. Coverages of commonly used 16S rRNA gene primers (V1-V3, V3-V4, V4, V4-V5, and modified V4) for different classes of </w:t>
      </w:r>
      <w:proofErr w:type="spellStart"/>
      <w:r w:rsidRPr="003C0015">
        <w:rPr>
          <w:bCs/>
          <w:i/>
          <w:iCs/>
          <w:sz w:val="24"/>
          <w:szCs w:val="24"/>
        </w:rPr>
        <w:t>Patescibacteria</w:t>
      </w:r>
      <w:proofErr w:type="spellEnd"/>
      <w:r w:rsidRPr="003C0015">
        <w:rPr>
          <w:bCs/>
          <w:sz w:val="24"/>
          <w:szCs w:val="24"/>
        </w:rPr>
        <w:t xml:space="preserve"> evaluated by the </w:t>
      </w:r>
      <w:proofErr w:type="spellStart"/>
      <w:r w:rsidRPr="003C0015">
        <w:rPr>
          <w:bCs/>
          <w:sz w:val="24"/>
          <w:szCs w:val="24"/>
        </w:rPr>
        <w:t>MiDAS</w:t>
      </w:r>
      <w:proofErr w:type="spellEnd"/>
      <w:r w:rsidRPr="003C0015">
        <w:rPr>
          <w:bCs/>
          <w:sz w:val="24"/>
          <w:szCs w:val="24"/>
        </w:rPr>
        <w:t xml:space="preserve"> 4.</w:t>
      </w:r>
      <w:r w:rsidR="00D60B2C" w:rsidRPr="003C0015">
        <w:rPr>
          <w:bCs/>
          <w:sz w:val="24"/>
          <w:szCs w:val="24"/>
        </w:rPr>
        <w:t>8.1 database</w:t>
      </w:r>
      <w:r w:rsidRPr="003C0015">
        <w:rPr>
          <w:bCs/>
          <w:sz w:val="24"/>
          <w:szCs w:val="24"/>
        </w:rPr>
        <w:t xml:space="preserve"> with zero and one mismatch.</w:t>
      </w:r>
    </w:p>
    <w:p w14:paraId="554FBA64" w14:textId="77777777" w:rsidR="0018207B" w:rsidRPr="003C0015" w:rsidRDefault="00EB185A" w:rsidP="003C0015">
      <w:pPr>
        <w:spacing w:after="200" w:line="240" w:lineRule="auto"/>
        <w:jc w:val="both"/>
        <w:rPr>
          <w:bCs/>
          <w:sz w:val="24"/>
          <w:szCs w:val="24"/>
        </w:rPr>
      </w:pPr>
      <w:r w:rsidRPr="003C0015">
        <w:rPr>
          <w:bCs/>
          <w:sz w:val="24"/>
          <w:szCs w:val="24"/>
        </w:rPr>
        <w:t>Table S6. Primer sequences for the modified V4 primer pair compared with the original V4 primer pair</w:t>
      </w:r>
    </w:p>
    <w:p w14:paraId="6EAE6159" w14:textId="77777777" w:rsidR="0018207B" w:rsidRPr="003C0015" w:rsidRDefault="00EB185A" w:rsidP="003C0015">
      <w:pPr>
        <w:spacing w:after="200" w:line="240" w:lineRule="auto"/>
        <w:jc w:val="both"/>
        <w:rPr>
          <w:bCs/>
          <w:sz w:val="24"/>
          <w:szCs w:val="24"/>
        </w:rPr>
      </w:pPr>
      <w:r w:rsidRPr="003C0015">
        <w:rPr>
          <w:bCs/>
          <w:sz w:val="24"/>
          <w:szCs w:val="24"/>
        </w:rPr>
        <w:t>Table S7. Metadata for wastewater treatment plants.</w:t>
      </w:r>
    </w:p>
    <w:p w14:paraId="32D97710" w14:textId="77777777" w:rsidR="0018207B" w:rsidRPr="003C0015" w:rsidRDefault="00EB185A" w:rsidP="003C0015">
      <w:pPr>
        <w:spacing w:after="200" w:line="240" w:lineRule="auto"/>
        <w:jc w:val="both"/>
        <w:rPr>
          <w:bCs/>
          <w:sz w:val="24"/>
          <w:szCs w:val="24"/>
        </w:rPr>
      </w:pPr>
      <w:r w:rsidRPr="003C0015">
        <w:rPr>
          <w:bCs/>
          <w:sz w:val="24"/>
          <w:szCs w:val="24"/>
        </w:rPr>
        <w:t xml:space="preserve">Table S8. Genus level richness comparisons between the data sets obtained by the original and the modified primer pairs. The slope of the observed ASV and Shannon index were predicted by the linear regression analysis using the modified and original primer sets. </w:t>
      </w:r>
    </w:p>
    <w:p w14:paraId="5BB971A9" w14:textId="754A9B56" w:rsidR="0018207B" w:rsidRDefault="00EB185A" w:rsidP="003C0015">
      <w:pPr>
        <w:spacing w:after="200" w:line="240" w:lineRule="auto"/>
        <w:jc w:val="both"/>
        <w:rPr>
          <w:bCs/>
          <w:sz w:val="24"/>
          <w:szCs w:val="24"/>
        </w:rPr>
      </w:pPr>
      <w:r w:rsidRPr="003C0015">
        <w:rPr>
          <w:bCs/>
          <w:sz w:val="24"/>
          <w:szCs w:val="24"/>
        </w:rPr>
        <w:t xml:space="preserve">Table S9. Blast mapping of </w:t>
      </w:r>
      <w:proofErr w:type="spellStart"/>
      <w:r w:rsidRPr="003C0015">
        <w:rPr>
          <w:bCs/>
          <w:sz w:val="24"/>
          <w:szCs w:val="24"/>
        </w:rPr>
        <w:t>patescibacterial</w:t>
      </w:r>
      <w:proofErr w:type="spellEnd"/>
      <w:r w:rsidRPr="003C0015">
        <w:rPr>
          <w:bCs/>
          <w:sz w:val="24"/>
          <w:szCs w:val="24"/>
        </w:rPr>
        <w:t xml:space="preserve"> ASVs to Danish WWTP metagenomic datasets. Three 100% identity mapping </w:t>
      </w:r>
      <w:r w:rsidR="00D60B2C" w:rsidRPr="003C0015">
        <w:rPr>
          <w:bCs/>
          <w:sz w:val="24"/>
          <w:szCs w:val="24"/>
        </w:rPr>
        <w:t xml:space="preserve">ASVs </w:t>
      </w:r>
      <w:r w:rsidRPr="003C0015">
        <w:rPr>
          <w:bCs/>
          <w:sz w:val="24"/>
          <w:szCs w:val="24"/>
        </w:rPr>
        <w:t xml:space="preserve">with &gt;330 base pair coverage were highlighted in yellow.  </w:t>
      </w:r>
    </w:p>
    <w:p w14:paraId="10EA7784" w14:textId="7FC20ABA" w:rsidR="009804B9" w:rsidRPr="003C0015" w:rsidRDefault="009804B9" w:rsidP="003C0015">
      <w:pPr>
        <w:spacing w:after="200" w:line="240" w:lineRule="auto"/>
        <w:jc w:val="both"/>
        <w:rPr>
          <w:bCs/>
          <w:sz w:val="24"/>
          <w:szCs w:val="24"/>
        </w:rPr>
      </w:pPr>
      <w:r>
        <w:rPr>
          <w:bCs/>
          <w:sz w:val="24"/>
          <w:szCs w:val="24"/>
        </w:rPr>
        <w:t xml:space="preserve">Table S10. </w:t>
      </w:r>
      <w:r w:rsidRPr="009804B9">
        <w:rPr>
          <w:bCs/>
          <w:sz w:val="24"/>
          <w:szCs w:val="24"/>
        </w:rPr>
        <w:t xml:space="preserve">Global distribution of the </w:t>
      </w:r>
      <w:proofErr w:type="spellStart"/>
      <w:r w:rsidRPr="009804B9">
        <w:rPr>
          <w:bCs/>
          <w:sz w:val="24"/>
          <w:szCs w:val="24"/>
        </w:rPr>
        <w:t>patescibacterial</w:t>
      </w:r>
      <w:proofErr w:type="spellEnd"/>
      <w:r w:rsidRPr="009804B9">
        <w:rPr>
          <w:bCs/>
          <w:sz w:val="24"/>
          <w:szCs w:val="24"/>
        </w:rPr>
        <w:t xml:space="preserve"> genera identified as core community members from each country (average relative abundance).</w:t>
      </w:r>
    </w:p>
    <w:p w14:paraId="744A39DB" w14:textId="26FE940B" w:rsidR="0018207B" w:rsidRPr="003C0015" w:rsidRDefault="00EB185A" w:rsidP="003C0015">
      <w:pPr>
        <w:spacing w:after="200" w:line="240" w:lineRule="auto"/>
        <w:jc w:val="both"/>
        <w:rPr>
          <w:bCs/>
          <w:sz w:val="24"/>
          <w:szCs w:val="24"/>
        </w:rPr>
      </w:pPr>
      <w:r w:rsidRPr="003C0015">
        <w:rPr>
          <w:bCs/>
          <w:sz w:val="24"/>
          <w:szCs w:val="24"/>
        </w:rPr>
        <w:t>Table S1</w:t>
      </w:r>
      <w:r w:rsidR="009804B9">
        <w:rPr>
          <w:bCs/>
          <w:sz w:val="24"/>
          <w:szCs w:val="24"/>
        </w:rPr>
        <w:t>1</w:t>
      </w:r>
      <w:r w:rsidRPr="003C0015">
        <w:rPr>
          <w:bCs/>
          <w:sz w:val="24"/>
          <w:szCs w:val="24"/>
        </w:rPr>
        <w:t xml:space="preserve">. Core </w:t>
      </w:r>
      <w:proofErr w:type="spellStart"/>
      <w:r w:rsidRPr="003C0015">
        <w:rPr>
          <w:bCs/>
          <w:sz w:val="24"/>
          <w:szCs w:val="24"/>
        </w:rPr>
        <w:t>patescibacterial</w:t>
      </w:r>
      <w:proofErr w:type="spellEnd"/>
      <w:r w:rsidRPr="003C0015">
        <w:rPr>
          <w:bCs/>
          <w:sz w:val="24"/>
          <w:szCs w:val="24"/>
        </w:rPr>
        <w:t xml:space="preserve"> genera identified if all four main process types of activated sludge samples were analysed together and MAG representation of core genera. </w:t>
      </w:r>
    </w:p>
    <w:p w14:paraId="5E9A821D" w14:textId="179E58FF" w:rsidR="0018207B" w:rsidRPr="003C0015" w:rsidRDefault="00EB185A" w:rsidP="003C0015">
      <w:pPr>
        <w:spacing w:after="200" w:line="240" w:lineRule="auto"/>
        <w:jc w:val="both"/>
        <w:rPr>
          <w:bCs/>
          <w:sz w:val="24"/>
          <w:szCs w:val="24"/>
        </w:rPr>
      </w:pPr>
      <w:r w:rsidRPr="003C0015">
        <w:rPr>
          <w:bCs/>
          <w:sz w:val="24"/>
          <w:szCs w:val="24"/>
        </w:rPr>
        <w:t>Table S1</w:t>
      </w:r>
      <w:r w:rsidR="009804B9">
        <w:rPr>
          <w:bCs/>
          <w:sz w:val="24"/>
          <w:szCs w:val="24"/>
        </w:rPr>
        <w:t>2</w:t>
      </w:r>
      <w:r w:rsidRPr="003C0015">
        <w:rPr>
          <w:bCs/>
          <w:sz w:val="24"/>
          <w:szCs w:val="24"/>
        </w:rPr>
        <w:t xml:space="preserve">. Core </w:t>
      </w:r>
      <w:proofErr w:type="spellStart"/>
      <w:r w:rsidRPr="003C0015">
        <w:rPr>
          <w:bCs/>
          <w:sz w:val="24"/>
          <w:szCs w:val="24"/>
        </w:rPr>
        <w:t>patescibacterial</w:t>
      </w:r>
      <w:proofErr w:type="spellEnd"/>
      <w:r w:rsidRPr="003C0015">
        <w:rPr>
          <w:bCs/>
          <w:sz w:val="24"/>
          <w:szCs w:val="24"/>
        </w:rPr>
        <w:t xml:space="preserve"> genera identified in activated sludge samples from plants with carbon removal (C). </w:t>
      </w:r>
    </w:p>
    <w:p w14:paraId="687E809A" w14:textId="5A7BDB80" w:rsidR="0018207B" w:rsidRPr="003C0015" w:rsidRDefault="00EB185A" w:rsidP="003C0015">
      <w:pPr>
        <w:spacing w:after="200" w:line="240" w:lineRule="auto"/>
        <w:jc w:val="both"/>
        <w:rPr>
          <w:bCs/>
          <w:sz w:val="24"/>
          <w:szCs w:val="24"/>
        </w:rPr>
      </w:pPr>
      <w:r w:rsidRPr="003C0015">
        <w:rPr>
          <w:bCs/>
          <w:sz w:val="24"/>
          <w:szCs w:val="24"/>
        </w:rPr>
        <w:t>Table S1</w:t>
      </w:r>
      <w:r w:rsidR="009804B9">
        <w:rPr>
          <w:bCs/>
          <w:sz w:val="24"/>
          <w:szCs w:val="24"/>
        </w:rPr>
        <w:t>3</w:t>
      </w:r>
      <w:r w:rsidRPr="003C0015">
        <w:rPr>
          <w:bCs/>
          <w:sz w:val="24"/>
          <w:szCs w:val="24"/>
        </w:rPr>
        <w:t xml:space="preserve">. Core </w:t>
      </w:r>
      <w:proofErr w:type="spellStart"/>
      <w:r w:rsidRPr="003C0015">
        <w:rPr>
          <w:bCs/>
          <w:sz w:val="24"/>
          <w:szCs w:val="24"/>
        </w:rPr>
        <w:t>patescibacterial</w:t>
      </w:r>
      <w:proofErr w:type="spellEnd"/>
      <w:r w:rsidRPr="003C0015">
        <w:rPr>
          <w:bCs/>
          <w:sz w:val="24"/>
          <w:szCs w:val="24"/>
        </w:rPr>
        <w:t xml:space="preserve"> genera identified in activated sludge samples from plants with carbon removal with nitrification (C,</w:t>
      </w:r>
      <w:r w:rsidR="004D6FE9" w:rsidRPr="003C0015">
        <w:rPr>
          <w:bCs/>
          <w:sz w:val="24"/>
          <w:szCs w:val="24"/>
        </w:rPr>
        <w:t xml:space="preserve"> </w:t>
      </w:r>
      <w:r w:rsidRPr="003C0015">
        <w:rPr>
          <w:bCs/>
          <w:sz w:val="24"/>
          <w:szCs w:val="24"/>
        </w:rPr>
        <w:t>N).</w:t>
      </w:r>
    </w:p>
    <w:p w14:paraId="58188DA1" w14:textId="1AD8E03F" w:rsidR="0018207B" w:rsidRPr="003C0015" w:rsidRDefault="00EB185A" w:rsidP="003C0015">
      <w:pPr>
        <w:spacing w:after="200" w:line="240" w:lineRule="auto"/>
        <w:jc w:val="both"/>
        <w:rPr>
          <w:bCs/>
          <w:sz w:val="24"/>
          <w:szCs w:val="24"/>
        </w:rPr>
      </w:pPr>
      <w:r w:rsidRPr="003C0015">
        <w:rPr>
          <w:bCs/>
          <w:sz w:val="24"/>
          <w:szCs w:val="24"/>
        </w:rPr>
        <w:lastRenderedPageBreak/>
        <w:t>Table S1</w:t>
      </w:r>
      <w:r w:rsidR="009804B9">
        <w:rPr>
          <w:bCs/>
          <w:sz w:val="24"/>
          <w:szCs w:val="24"/>
        </w:rPr>
        <w:t>4</w:t>
      </w:r>
      <w:r w:rsidRPr="003C0015">
        <w:rPr>
          <w:bCs/>
          <w:sz w:val="24"/>
          <w:szCs w:val="24"/>
        </w:rPr>
        <w:t xml:space="preserve">. Core </w:t>
      </w:r>
      <w:proofErr w:type="spellStart"/>
      <w:r w:rsidRPr="003C0015">
        <w:rPr>
          <w:bCs/>
          <w:sz w:val="24"/>
          <w:szCs w:val="24"/>
        </w:rPr>
        <w:t>patescibacterial</w:t>
      </w:r>
      <w:proofErr w:type="spellEnd"/>
      <w:r w:rsidRPr="003C0015">
        <w:rPr>
          <w:bCs/>
          <w:sz w:val="24"/>
          <w:szCs w:val="24"/>
        </w:rPr>
        <w:t xml:space="preserve"> genera identified in activated sludge samples from plants with</w:t>
      </w:r>
      <w:r w:rsidR="00D60B2C" w:rsidRPr="003C0015">
        <w:rPr>
          <w:bCs/>
          <w:sz w:val="24"/>
          <w:szCs w:val="24"/>
        </w:rPr>
        <w:t xml:space="preserve"> </w:t>
      </w:r>
      <w:r w:rsidRPr="003C0015">
        <w:rPr>
          <w:bCs/>
          <w:sz w:val="24"/>
          <w:szCs w:val="24"/>
        </w:rPr>
        <w:t>carbon removal, nitrification and denitrification (C,</w:t>
      </w:r>
      <w:r w:rsidR="004D6FE9" w:rsidRPr="003C0015">
        <w:rPr>
          <w:bCs/>
          <w:sz w:val="24"/>
          <w:szCs w:val="24"/>
        </w:rPr>
        <w:t xml:space="preserve"> </w:t>
      </w:r>
      <w:r w:rsidRPr="003C0015">
        <w:rPr>
          <w:bCs/>
          <w:sz w:val="24"/>
          <w:szCs w:val="24"/>
        </w:rPr>
        <w:t>N,</w:t>
      </w:r>
      <w:r w:rsidR="004D6FE9" w:rsidRPr="003C0015">
        <w:rPr>
          <w:bCs/>
          <w:sz w:val="24"/>
          <w:szCs w:val="24"/>
        </w:rPr>
        <w:t xml:space="preserve"> </w:t>
      </w:r>
      <w:r w:rsidRPr="003C0015">
        <w:rPr>
          <w:bCs/>
          <w:sz w:val="24"/>
          <w:szCs w:val="24"/>
        </w:rPr>
        <w:t>DN).</w:t>
      </w:r>
    </w:p>
    <w:p w14:paraId="40FE32BA" w14:textId="3DE8A31C" w:rsidR="0018207B" w:rsidRPr="003C0015" w:rsidRDefault="00EB185A" w:rsidP="003C0015">
      <w:pPr>
        <w:spacing w:after="200" w:line="240" w:lineRule="auto"/>
        <w:jc w:val="both"/>
        <w:rPr>
          <w:bCs/>
          <w:sz w:val="24"/>
          <w:szCs w:val="24"/>
        </w:rPr>
      </w:pPr>
      <w:r w:rsidRPr="003C0015">
        <w:rPr>
          <w:bCs/>
          <w:sz w:val="24"/>
          <w:szCs w:val="24"/>
        </w:rPr>
        <w:t>Table S1</w:t>
      </w:r>
      <w:r w:rsidR="009804B9">
        <w:rPr>
          <w:bCs/>
          <w:sz w:val="24"/>
          <w:szCs w:val="24"/>
        </w:rPr>
        <w:t>5</w:t>
      </w:r>
      <w:r w:rsidRPr="003C0015">
        <w:rPr>
          <w:bCs/>
          <w:sz w:val="24"/>
          <w:szCs w:val="24"/>
        </w:rPr>
        <w:t xml:space="preserve">. Core </w:t>
      </w:r>
      <w:proofErr w:type="spellStart"/>
      <w:r w:rsidRPr="003C0015">
        <w:rPr>
          <w:bCs/>
          <w:sz w:val="24"/>
          <w:szCs w:val="24"/>
        </w:rPr>
        <w:t>patescibacterial</w:t>
      </w:r>
      <w:proofErr w:type="spellEnd"/>
      <w:r w:rsidRPr="003C0015">
        <w:rPr>
          <w:bCs/>
          <w:sz w:val="24"/>
          <w:szCs w:val="24"/>
        </w:rPr>
        <w:t xml:space="preserve"> genera identified in activated sludge samples from plants with carbon removal, nitrogen removal, enhanced biological phosphorus removal (C,</w:t>
      </w:r>
      <w:r w:rsidR="004D6FE9" w:rsidRPr="003C0015">
        <w:rPr>
          <w:bCs/>
          <w:sz w:val="24"/>
          <w:szCs w:val="24"/>
        </w:rPr>
        <w:t xml:space="preserve"> </w:t>
      </w:r>
      <w:r w:rsidRPr="003C0015">
        <w:rPr>
          <w:bCs/>
          <w:sz w:val="24"/>
          <w:szCs w:val="24"/>
        </w:rPr>
        <w:t>N,</w:t>
      </w:r>
      <w:r w:rsidR="004D6FE9" w:rsidRPr="003C0015">
        <w:rPr>
          <w:bCs/>
          <w:sz w:val="24"/>
          <w:szCs w:val="24"/>
        </w:rPr>
        <w:t xml:space="preserve"> </w:t>
      </w:r>
      <w:r w:rsidRPr="003C0015">
        <w:rPr>
          <w:bCs/>
          <w:sz w:val="24"/>
          <w:szCs w:val="24"/>
        </w:rPr>
        <w:t>DN,</w:t>
      </w:r>
      <w:r w:rsidR="004D6FE9" w:rsidRPr="003C0015">
        <w:rPr>
          <w:bCs/>
          <w:sz w:val="24"/>
          <w:szCs w:val="24"/>
        </w:rPr>
        <w:t xml:space="preserve"> </w:t>
      </w:r>
      <w:r w:rsidRPr="003C0015">
        <w:rPr>
          <w:bCs/>
          <w:sz w:val="24"/>
          <w:szCs w:val="24"/>
        </w:rPr>
        <w:t>P</w:t>
      </w:r>
      <w:r w:rsidR="00D60B2C" w:rsidRPr="003C0015">
        <w:rPr>
          <w:bCs/>
          <w:sz w:val="24"/>
          <w:szCs w:val="24"/>
        </w:rPr>
        <w:t xml:space="preserve"> </w:t>
      </w:r>
      <w:r w:rsidRPr="003C0015">
        <w:rPr>
          <w:bCs/>
          <w:sz w:val="24"/>
          <w:szCs w:val="24"/>
        </w:rPr>
        <w:t>/</w:t>
      </w:r>
      <w:r w:rsidR="00D60B2C" w:rsidRPr="003C0015">
        <w:rPr>
          <w:bCs/>
          <w:sz w:val="24"/>
          <w:szCs w:val="24"/>
        </w:rPr>
        <w:t xml:space="preserve"> </w:t>
      </w:r>
      <w:r w:rsidRPr="003C0015">
        <w:rPr>
          <w:bCs/>
          <w:sz w:val="24"/>
          <w:szCs w:val="24"/>
        </w:rPr>
        <w:t>EBPR).</w:t>
      </w:r>
    </w:p>
    <w:p w14:paraId="72ECF038" w14:textId="7C169D05" w:rsidR="0018207B" w:rsidRPr="003C0015" w:rsidRDefault="00EB185A" w:rsidP="003C0015">
      <w:pPr>
        <w:spacing w:after="200" w:line="240" w:lineRule="auto"/>
        <w:jc w:val="both"/>
        <w:rPr>
          <w:bCs/>
          <w:sz w:val="24"/>
          <w:szCs w:val="24"/>
        </w:rPr>
      </w:pPr>
      <w:r w:rsidRPr="003C0015">
        <w:rPr>
          <w:bCs/>
          <w:sz w:val="24"/>
          <w:szCs w:val="24"/>
        </w:rPr>
        <w:t>Table S1</w:t>
      </w:r>
      <w:r w:rsidR="009804B9">
        <w:rPr>
          <w:bCs/>
          <w:sz w:val="24"/>
          <w:szCs w:val="24"/>
        </w:rPr>
        <w:t>6</w:t>
      </w:r>
      <w:r w:rsidRPr="003C0015">
        <w:rPr>
          <w:bCs/>
          <w:sz w:val="24"/>
          <w:szCs w:val="24"/>
        </w:rPr>
        <w:t xml:space="preserve">. List of </w:t>
      </w:r>
      <w:proofErr w:type="spellStart"/>
      <w:r w:rsidRPr="003C0015">
        <w:rPr>
          <w:bCs/>
          <w:sz w:val="24"/>
          <w:szCs w:val="24"/>
        </w:rPr>
        <w:t>patescibacterial</w:t>
      </w:r>
      <w:proofErr w:type="spellEnd"/>
      <w:r w:rsidRPr="003C0015">
        <w:rPr>
          <w:bCs/>
          <w:sz w:val="24"/>
          <w:szCs w:val="24"/>
        </w:rPr>
        <w:t xml:space="preserve"> genera that were characterized as CRAT genera</w:t>
      </w:r>
    </w:p>
    <w:p w14:paraId="06C88EB5" w14:textId="50F7C14A" w:rsidR="0018207B" w:rsidRPr="003C0015" w:rsidRDefault="00EB185A" w:rsidP="003C0015">
      <w:pPr>
        <w:spacing w:after="200" w:line="240" w:lineRule="auto"/>
        <w:jc w:val="both"/>
        <w:rPr>
          <w:bCs/>
          <w:sz w:val="24"/>
          <w:szCs w:val="24"/>
        </w:rPr>
      </w:pPr>
      <w:r w:rsidRPr="003C0015">
        <w:rPr>
          <w:bCs/>
          <w:sz w:val="24"/>
          <w:szCs w:val="24"/>
        </w:rPr>
        <w:t>Table S1</w:t>
      </w:r>
      <w:r w:rsidR="009804B9">
        <w:rPr>
          <w:bCs/>
          <w:sz w:val="24"/>
          <w:szCs w:val="24"/>
        </w:rPr>
        <w:t>7</w:t>
      </w:r>
      <w:r w:rsidRPr="003C0015">
        <w:rPr>
          <w:bCs/>
          <w:sz w:val="24"/>
          <w:szCs w:val="24"/>
        </w:rPr>
        <w:t>. Correlated genus pairs (X and Y) with p value &lt;0.01 and an absolute correlation value &gt;0.5  identified by network analysis.</w:t>
      </w:r>
    </w:p>
    <w:p w14:paraId="57175AB1" w14:textId="319C6E2B" w:rsidR="0018207B" w:rsidRPr="003C0015" w:rsidRDefault="00EB185A" w:rsidP="003C0015">
      <w:pPr>
        <w:spacing w:after="200" w:line="240" w:lineRule="auto"/>
        <w:jc w:val="both"/>
        <w:rPr>
          <w:bCs/>
          <w:sz w:val="24"/>
          <w:szCs w:val="24"/>
        </w:rPr>
      </w:pPr>
      <w:r w:rsidRPr="003C0015">
        <w:rPr>
          <w:bCs/>
          <w:sz w:val="24"/>
          <w:szCs w:val="24"/>
        </w:rPr>
        <w:t>Table S1</w:t>
      </w:r>
      <w:r w:rsidR="009804B9">
        <w:rPr>
          <w:bCs/>
          <w:sz w:val="24"/>
          <w:szCs w:val="24"/>
        </w:rPr>
        <w:t>8</w:t>
      </w:r>
      <w:r w:rsidRPr="003C0015">
        <w:rPr>
          <w:bCs/>
          <w:sz w:val="24"/>
          <w:szCs w:val="24"/>
        </w:rPr>
        <w:t xml:space="preserve">. Correlated ASV pairs (X and Y) with p value &lt;0.01 and an absolute correlation value &gt;0.5  identified by network analysis. </w:t>
      </w:r>
    </w:p>
    <w:p w14:paraId="35FF2732" w14:textId="77777777" w:rsidR="0018207B" w:rsidRPr="003C0015" w:rsidRDefault="0018207B" w:rsidP="003C0015">
      <w:pPr>
        <w:spacing w:line="240" w:lineRule="auto"/>
        <w:rPr>
          <w:bCs/>
        </w:rPr>
      </w:pPr>
    </w:p>
    <w:sectPr w:rsidR="0018207B" w:rsidRPr="003C0015">
      <w:footerReference w:type="default" r:id="rId16"/>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98692" w14:textId="77777777" w:rsidR="00A64FAC" w:rsidRDefault="00A64FAC" w:rsidP="00E70CD9">
      <w:pPr>
        <w:spacing w:line="240" w:lineRule="auto"/>
      </w:pPr>
      <w:r>
        <w:separator/>
      </w:r>
    </w:p>
  </w:endnote>
  <w:endnote w:type="continuationSeparator" w:id="0">
    <w:p w14:paraId="1F992B57" w14:textId="77777777" w:rsidR="00A64FAC" w:rsidRDefault="00A64FAC" w:rsidP="00E70C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1832272"/>
      <w:docPartObj>
        <w:docPartGallery w:val="Page Numbers (Bottom of Page)"/>
        <w:docPartUnique/>
      </w:docPartObj>
    </w:sdtPr>
    <w:sdtEndPr>
      <w:rPr>
        <w:noProof/>
      </w:rPr>
    </w:sdtEndPr>
    <w:sdtContent>
      <w:p w14:paraId="19971430" w14:textId="766D2A98" w:rsidR="00E70CD9" w:rsidRDefault="00E70CD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E4F3C13" w14:textId="77777777" w:rsidR="00E70CD9" w:rsidRDefault="00E70C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AF821" w14:textId="77777777" w:rsidR="00A64FAC" w:rsidRDefault="00A64FAC" w:rsidP="00E70CD9">
      <w:pPr>
        <w:spacing w:line="240" w:lineRule="auto"/>
      </w:pPr>
      <w:r>
        <w:separator/>
      </w:r>
    </w:p>
  </w:footnote>
  <w:footnote w:type="continuationSeparator" w:id="0">
    <w:p w14:paraId="756DD182" w14:textId="77777777" w:rsidR="00A64FAC" w:rsidRDefault="00A64FAC" w:rsidP="00E70CD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9C018D"/>
    <w:multiLevelType w:val="hybridMultilevel"/>
    <w:tmpl w:val="E3FCCBA0"/>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 w15:restartNumberingAfterBreak="0">
    <w:nsid w:val="6F6E0DA0"/>
    <w:multiLevelType w:val="hybridMultilevel"/>
    <w:tmpl w:val="82241AB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702170159">
    <w:abstractNumId w:val="1"/>
  </w:num>
  <w:num w:numId="2" w16cid:durableId="2458458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63938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07B"/>
    <w:rsid w:val="00030314"/>
    <w:rsid w:val="001766B8"/>
    <w:rsid w:val="0018207B"/>
    <w:rsid w:val="001D78C0"/>
    <w:rsid w:val="003848FD"/>
    <w:rsid w:val="003C0015"/>
    <w:rsid w:val="004D6FE9"/>
    <w:rsid w:val="00541E58"/>
    <w:rsid w:val="00684B75"/>
    <w:rsid w:val="00722DA5"/>
    <w:rsid w:val="0073311D"/>
    <w:rsid w:val="007D48DC"/>
    <w:rsid w:val="008F7E38"/>
    <w:rsid w:val="009804B9"/>
    <w:rsid w:val="009E1F76"/>
    <w:rsid w:val="00A06943"/>
    <w:rsid w:val="00A64FAC"/>
    <w:rsid w:val="00AB6A7E"/>
    <w:rsid w:val="00B66B83"/>
    <w:rsid w:val="00CE3EA9"/>
    <w:rsid w:val="00D11C70"/>
    <w:rsid w:val="00D60B2C"/>
    <w:rsid w:val="00E139AD"/>
    <w:rsid w:val="00E33AC6"/>
    <w:rsid w:val="00E70CD9"/>
    <w:rsid w:val="00EB185A"/>
  </w:rsids>
  <m:mathPr>
    <m:mathFont m:val="Cambria Math"/>
    <m:brkBin m:val="before"/>
    <m:brkBinSub m:val="--"/>
    <m:smallFrac m:val="0"/>
    <m:dispDef/>
    <m:lMargin m:val="0"/>
    <m:rMargin m:val="0"/>
    <m:defJc m:val="centerGroup"/>
    <m:wrapIndent m:val="1440"/>
    <m:intLim m:val="subSup"/>
    <m:naryLim m:val="undOvr"/>
  </m:mathPr>
  <w:themeFontLang w:val="en-A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F0699"/>
  <w15:docId w15:val="{8A6BC8D9-2CBA-47A5-BE1A-F4958B730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E70CD9"/>
    <w:pPr>
      <w:tabs>
        <w:tab w:val="center" w:pos="4680"/>
        <w:tab w:val="right" w:pos="9360"/>
      </w:tabs>
      <w:spacing w:line="240" w:lineRule="auto"/>
    </w:pPr>
  </w:style>
  <w:style w:type="character" w:customStyle="1" w:styleId="HeaderChar">
    <w:name w:val="Header Char"/>
    <w:basedOn w:val="DefaultParagraphFont"/>
    <w:link w:val="Header"/>
    <w:uiPriority w:val="99"/>
    <w:rsid w:val="00E70CD9"/>
  </w:style>
  <w:style w:type="paragraph" w:styleId="Footer">
    <w:name w:val="footer"/>
    <w:basedOn w:val="Normal"/>
    <w:link w:val="FooterChar"/>
    <w:uiPriority w:val="99"/>
    <w:unhideWhenUsed/>
    <w:rsid w:val="00E70CD9"/>
    <w:pPr>
      <w:tabs>
        <w:tab w:val="center" w:pos="4680"/>
        <w:tab w:val="right" w:pos="9360"/>
      </w:tabs>
      <w:spacing w:line="240" w:lineRule="auto"/>
    </w:pPr>
  </w:style>
  <w:style w:type="character" w:customStyle="1" w:styleId="FooterChar">
    <w:name w:val="Footer Char"/>
    <w:basedOn w:val="DefaultParagraphFont"/>
    <w:link w:val="Footer"/>
    <w:uiPriority w:val="99"/>
    <w:rsid w:val="00E70CD9"/>
  </w:style>
  <w:style w:type="paragraph" w:styleId="ListParagraph">
    <w:name w:val="List Paragraph"/>
    <w:basedOn w:val="Normal"/>
    <w:uiPriority w:val="34"/>
    <w:qFormat/>
    <w:rsid w:val="00CE3EA9"/>
    <w:pPr>
      <w:ind w:left="720"/>
      <w:contextualSpacing/>
    </w:pPr>
  </w:style>
  <w:style w:type="character" w:styleId="CommentReference">
    <w:name w:val="annotation reference"/>
    <w:basedOn w:val="DefaultParagraphFont"/>
    <w:uiPriority w:val="99"/>
    <w:semiHidden/>
    <w:unhideWhenUsed/>
    <w:rsid w:val="00EB185A"/>
    <w:rPr>
      <w:sz w:val="16"/>
      <w:szCs w:val="16"/>
    </w:rPr>
  </w:style>
  <w:style w:type="paragraph" w:styleId="CommentText">
    <w:name w:val="annotation text"/>
    <w:basedOn w:val="Normal"/>
    <w:link w:val="CommentTextChar"/>
    <w:uiPriority w:val="99"/>
    <w:unhideWhenUsed/>
    <w:rsid w:val="00EB185A"/>
    <w:pPr>
      <w:spacing w:line="240" w:lineRule="auto"/>
    </w:pPr>
    <w:rPr>
      <w:sz w:val="20"/>
      <w:szCs w:val="20"/>
    </w:rPr>
  </w:style>
  <w:style w:type="character" w:customStyle="1" w:styleId="CommentTextChar">
    <w:name w:val="Comment Text Char"/>
    <w:basedOn w:val="DefaultParagraphFont"/>
    <w:link w:val="CommentText"/>
    <w:uiPriority w:val="99"/>
    <w:rsid w:val="00EB185A"/>
    <w:rPr>
      <w:sz w:val="20"/>
      <w:szCs w:val="20"/>
    </w:rPr>
  </w:style>
  <w:style w:type="paragraph" w:styleId="CommentSubject">
    <w:name w:val="annotation subject"/>
    <w:basedOn w:val="CommentText"/>
    <w:next w:val="CommentText"/>
    <w:link w:val="CommentSubjectChar"/>
    <w:uiPriority w:val="99"/>
    <w:semiHidden/>
    <w:unhideWhenUsed/>
    <w:rsid w:val="00EB185A"/>
    <w:rPr>
      <w:b/>
      <w:bCs/>
    </w:rPr>
  </w:style>
  <w:style w:type="character" w:customStyle="1" w:styleId="CommentSubjectChar">
    <w:name w:val="Comment Subject Char"/>
    <w:basedOn w:val="CommentTextChar"/>
    <w:link w:val="CommentSubject"/>
    <w:uiPriority w:val="99"/>
    <w:semiHidden/>
    <w:rsid w:val="00EB185A"/>
    <w:rPr>
      <w:b/>
      <w:bCs/>
      <w:sz w:val="20"/>
      <w:szCs w:val="20"/>
    </w:rPr>
  </w:style>
  <w:style w:type="paragraph" w:styleId="Revision">
    <w:name w:val="Revision"/>
    <w:hidden/>
    <w:uiPriority w:val="99"/>
    <w:semiHidden/>
    <w:rsid w:val="008F7E38"/>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02826">
      <w:bodyDiv w:val="1"/>
      <w:marLeft w:val="0"/>
      <w:marRight w:val="0"/>
      <w:marTop w:val="0"/>
      <w:marBottom w:val="0"/>
      <w:divBdr>
        <w:top w:val="none" w:sz="0" w:space="0" w:color="auto"/>
        <w:left w:val="none" w:sz="0" w:space="0" w:color="auto"/>
        <w:bottom w:val="none" w:sz="0" w:space="0" w:color="auto"/>
        <w:right w:val="none" w:sz="0" w:space="0" w:color="auto"/>
      </w:divBdr>
    </w:div>
    <w:div w:id="818184067">
      <w:bodyDiv w:val="1"/>
      <w:marLeft w:val="0"/>
      <w:marRight w:val="0"/>
      <w:marTop w:val="0"/>
      <w:marBottom w:val="0"/>
      <w:divBdr>
        <w:top w:val="none" w:sz="0" w:space="0" w:color="auto"/>
        <w:left w:val="none" w:sz="0" w:space="0" w:color="auto"/>
        <w:bottom w:val="none" w:sz="0" w:space="0" w:color="auto"/>
        <w:right w:val="none" w:sz="0" w:space="0" w:color="auto"/>
      </w:divBdr>
    </w:div>
    <w:div w:id="13353777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B7C3CF-9D71-40B2-8A3E-381FD9800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1199</Words>
  <Characters>6836</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Huifeng Hu</cp:lastModifiedBy>
  <cp:revision>4</cp:revision>
  <cp:lastPrinted>2023-11-02T14:59:00Z</cp:lastPrinted>
  <dcterms:created xsi:type="dcterms:W3CDTF">2023-11-02T15:32:00Z</dcterms:created>
  <dcterms:modified xsi:type="dcterms:W3CDTF">2023-11-02T17:23:00Z</dcterms:modified>
</cp:coreProperties>
</file>