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9AA7C" w14:textId="2F4FB3FD" w:rsidR="00BC6896" w:rsidRDefault="00BC6896" w:rsidP="00BC6896">
      <w:pPr>
        <w:pStyle w:val="Title"/>
      </w:pPr>
      <w:r>
        <w:t>SUPPLEMENTAL MATERIALS</w:t>
      </w:r>
    </w:p>
    <w:p w14:paraId="4CE12EE3" w14:textId="77777777" w:rsidR="00BC6896" w:rsidRDefault="00BC6896" w:rsidP="00BC6896">
      <w:pPr>
        <w:pStyle w:val="Title"/>
      </w:pPr>
      <w:r>
        <w:t xml:space="preserve">Comparing Population-Level </w:t>
      </w:r>
      <w:r w:rsidRPr="000677F0">
        <w:t>Humoral</w:t>
      </w:r>
      <w:r>
        <w:t xml:space="preserve"> and </w:t>
      </w:r>
    </w:p>
    <w:p w14:paraId="75D0A443" w14:textId="77777777" w:rsidR="00BC6896" w:rsidRDefault="00BC6896" w:rsidP="00BC6896">
      <w:pPr>
        <w:pStyle w:val="Title"/>
      </w:pPr>
      <w:r>
        <w:t>Cellular Immunity to SARS-Cov-2 in Bangalore, India</w:t>
      </w:r>
    </w:p>
    <w:p w14:paraId="603A8A76" w14:textId="77777777" w:rsidR="00BC6896" w:rsidRDefault="00BC6896" w:rsidP="00BC6896"/>
    <w:p w14:paraId="5AFCADE2" w14:textId="77777777" w:rsidR="00594589" w:rsidRDefault="00594589" w:rsidP="00594589">
      <w:pPr>
        <w:jc w:val="center"/>
        <w:rPr>
          <w:iCs/>
        </w:rPr>
      </w:pPr>
      <w:r w:rsidRPr="00594589">
        <w:rPr>
          <w:iCs/>
        </w:rPr>
        <w:t xml:space="preserve">Anup Malani, Jayashree Aiyar, Andrea Sant, Neha Kamran, </w:t>
      </w:r>
    </w:p>
    <w:p w14:paraId="40DEAEE7" w14:textId="5DA6295E" w:rsidR="00BC6896" w:rsidRPr="000D56CC" w:rsidRDefault="00594589" w:rsidP="00594589">
      <w:pPr>
        <w:jc w:val="center"/>
        <w:rPr>
          <w:iCs/>
        </w:rPr>
      </w:pPr>
      <w:r w:rsidRPr="00594589">
        <w:rPr>
          <w:iCs/>
        </w:rPr>
        <w:t xml:space="preserve">Manoj </w:t>
      </w:r>
      <w:proofErr w:type="spellStart"/>
      <w:r w:rsidRPr="00594589">
        <w:rPr>
          <w:iCs/>
        </w:rPr>
        <w:t>Mohanan</w:t>
      </w:r>
      <w:proofErr w:type="spellEnd"/>
      <w:r w:rsidRPr="00594589">
        <w:rPr>
          <w:iCs/>
        </w:rPr>
        <w:t xml:space="preserve">, </w:t>
      </w:r>
      <w:proofErr w:type="spellStart"/>
      <w:r w:rsidRPr="00594589">
        <w:rPr>
          <w:iCs/>
        </w:rPr>
        <w:t>Saloni</w:t>
      </w:r>
      <w:proofErr w:type="spellEnd"/>
      <w:r w:rsidRPr="00594589">
        <w:rPr>
          <w:iCs/>
        </w:rPr>
        <w:t xml:space="preserve"> Taneja, Bartek </w:t>
      </w:r>
      <w:proofErr w:type="spellStart"/>
      <w:r w:rsidRPr="00594589">
        <w:rPr>
          <w:iCs/>
        </w:rPr>
        <w:t>Woda</w:t>
      </w:r>
      <w:proofErr w:type="spellEnd"/>
      <w:r w:rsidRPr="00594589">
        <w:rPr>
          <w:iCs/>
        </w:rPr>
        <w:t xml:space="preserve">, </w:t>
      </w:r>
      <w:proofErr w:type="spellStart"/>
      <w:r w:rsidRPr="00594589">
        <w:rPr>
          <w:iCs/>
        </w:rPr>
        <w:t>Wanran</w:t>
      </w:r>
      <w:proofErr w:type="spellEnd"/>
      <w:r w:rsidRPr="00594589">
        <w:rPr>
          <w:iCs/>
        </w:rPr>
        <w:t xml:space="preserve"> Zha</w:t>
      </w:r>
      <w:r w:rsidR="00E23681">
        <w:rPr>
          <w:iCs/>
        </w:rPr>
        <w:t>o</w:t>
      </w:r>
      <w:r w:rsidRPr="00594589">
        <w:rPr>
          <w:iCs/>
        </w:rPr>
        <w:t>, and Anu Acharya</w:t>
      </w:r>
    </w:p>
    <w:p w14:paraId="72FE40FE" w14:textId="77777777" w:rsidR="00BC6896" w:rsidRDefault="00BC6896" w:rsidP="00BC6896"/>
    <w:p w14:paraId="1F104A55" w14:textId="77777777" w:rsidR="00BC6896" w:rsidRDefault="00BC6896" w:rsidP="00BC6896">
      <w:pPr>
        <w:pStyle w:val="Heading1"/>
      </w:pPr>
      <w:bookmarkStart w:id="0" w:name="_hgxw5bcrol7a" w:colFirst="0" w:colLast="0"/>
      <w:bookmarkEnd w:id="0"/>
      <w:r>
        <w:t>Methods</w:t>
      </w:r>
    </w:p>
    <w:p w14:paraId="5F88C37F" w14:textId="77777777" w:rsidR="00BC6896" w:rsidRPr="00BC6896" w:rsidRDefault="00BC6896" w:rsidP="00BC6896">
      <w:pPr>
        <w:ind w:firstLine="720"/>
        <w:rPr>
          <w:color w:val="000000" w:themeColor="text1"/>
        </w:rPr>
      </w:pPr>
      <w:r>
        <w:rPr>
          <w:b/>
        </w:rPr>
        <w:t>Additional information on approvals</w:t>
      </w:r>
      <w:r>
        <w:t>.  This study was approved by the Government of India (the Prime Minister’s Principal Scientific Advisor’s Office) and the Government of Karnataka (</w:t>
      </w:r>
      <w:bookmarkStart w:id="1" w:name="OLE_LINK65"/>
      <w:bookmarkStart w:id="2" w:name="OLE_LINK66"/>
      <w:r>
        <w:t>Commissionerate Health &amp; Family Welfare</w:t>
      </w:r>
      <w:bookmarkEnd w:id="1"/>
      <w:bookmarkEnd w:id="2"/>
      <w:r>
        <w:t xml:space="preserve">, No. NVBDCP/ EST 7F/COVID-19/ 2020-21). The study </w:t>
      </w:r>
      <w:r w:rsidRPr="00BC6896">
        <w:rPr>
          <w:color w:val="000000" w:themeColor="text1"/>
        </w:rPr>
        <w:t>protocols were also approved by IRB / IEC committees at two institutions:</w:t>
      </w:r>
    </w:p>
    <w:p w14:paraId="1CC0D740" w14:textId="77777777" w:rsidR="00BC6896" w:rsidRPr="00BC6896" w:rsidRDefault="00BC6896" w:rsidP="00BC6896">
      <w:pPr>
        <w:numPr>
          <w:ilvl w:val="0"/>
          <w:numId w:val="1"/>
        </w:numPr>
        <w:rPr>
          <w:color w:val="000000" w:themeColor="text1"/>
        </w:rPr>
      </w:pPr>
      <w:proofErr w:type="spellStart"/>
      <w:r w:rsidRPr="00BC6896">
        <w:rPr>
          <w:color w:val="000000" w:themeColor="text1"/>
        </w:rPr>
        <w:t>Karesa</w:t>
      </w:r>
      <w:proofErr w:type="spellEnd"/>
      <w:r w:rsidRPr="00BC6896">
        <w:rPr>
          <w:color w:val="000000" w:themeColor="text1"/>
        </w:rPr>
        <w:t xml:space="preserve"> (ECR/308/</w:t>
      </w:r>
      <w:proofErr w:type="spellStart"/>
      <w:r w:rsidRPr="00BC6896">
        <w:rPr>
          <w:color w:val="000000" w:themeColor="text1"/>
        </w:rPr>
        <w:t>Indt</w:t>
      </w:r>
      <w:proofErr w:type="spellEnd"/>
      <w:r w:rsidRPr="00BC6896">
        <w:rPr>
          <w:color w:val="000000" w:themeColor="text1"/>
        </w:rPr>
        <w:t>/KA/2018) IRB, approved February 11, 2021, for Anu Acharya (</w:t>
      </w:r>
      <w:proofErr w:type="spellStart"/>
      <w:r w:rsidRPr="00BC6896">
        <w:rPr>
          <w:color w:val="000000" w:themeColor="text1"/>
        </w:rPr>
        <w:t>Mapmygenome</w:t>
      </w:r>
      <w:proofErr w:type="spellEnd"/>
      <w:r w:rsidRPr="00BC6896">
        <w:rPr>
          <w:color w:val="000000" w:themeColor="text1"/>
        </w:rPr>
        <w:t>),</w:t>
      </w:r>
    </w:p>
    <w:p w14:paraId="2D0E6C3F" w14:textId="77777777" w:rsidR="00BC6896" w:rsidRDefault="00BC6896" w:rsidP="00BC6896">
      <w:pPr>
        <w:numPr>
          <w:ilvl w:val="0"/>
          <w:numId w:val="1"/>
        </w:numPr>
      </w:pPr>
      <w:r w:rsidRPr="00BC6896">
        <w:rPr>
          <w:color w:val="000000" w:themeColor="text1"/>
        </w:rPr>
        <w:t>University of Chicago (IRB20-1484)</w:t>
      </w:r>
      <w:r>
        <w:t>.</w:t>
      </w:r>
    </w:p>
    <w:p w14:paraId="7E435ADB" w14:textId="77777777" w:rsidR="00BC6896" w:rsidRDefault="00BC6896" w:rsidP="00BC6896">
      <w:r>
        <w:t>Because Malani (University of Chicago) only received de-identified data, the research was determined to be exempt from IRB review at their institutions.</w:t>
      </w:r>
    </w:p>
    <w:p w14:paraId="760D57E5" w14:textId="77777777" w:rsidR="00BC6896" w:rsidRDefault="00BC6896" w:rsidP="00BC6896">
      <w:pPr>
        <w:ind w:firstLine="720"/>
      </w:pPr>
      <w:r>
        <w:t>Informed consent was requested at three points: when recruiting individuals, when individuals reported to health camps, and just before blood was taken.  The first consent concerned the recruitment questionnaire, the second the oral survey and anthropometric measurements taken at the health camp, and the third the venous blood draw.  Data was only gathered from an individual if they consented.</w:t>
      </w:r>
    </w:p>
    <w:p w14:paraId="1F917710" w14:textId="4B64D35C" w:rsidR="00BC6896" w:rsidRDefault="00BC6896" w:rsidP="00BC6896">
      <w:pPr>
        <w:ind w:firstLine="720"/>
      </w:pPr>
      <w:r>
        <w:rPr>
          <w:b/>
        </w:rPr>
        <w:lastRenderedPageBreak/>
        <w:t>Sampling</w:t>
      </w:r>
      <w:r>
        <w:t xml:space="preserve">.  The 48 starting points (Figure S1) were visited in a sequence that would minimize the duration of biospecimen collection.  Each day 2 starting points were visited, one in a slum and one in the closest non-slum community.  The route through slum (and thus non-slum) sites was selected at random.   </w:t>
      </w:r>
    </w:p>
    <w:p w14:paraId="2A9164ED" w14:textId="77777777" w:rsidR="00BC6896" w:rsidRDefault="00BC6896" w:rsidP="00BC6896"/>
    <w:p w14:paraId="26D98FD9" w14:textId="77777777" w:rsidR="00BC6896" w:rsidRDefault="00BC6896" w:rsidP="00BC6896">
      <w:pPr>
        <w:pStyle w:val="Heading2"/>
      </w:pPr>
      <w:r>
        <w:t>Figure S1.  Map of slum and non-slum starting points for systematic sampling.</w:t>
      </w:r>
    </w:p>
    <w:p w14:paraId="037030B5" w14:textId="77777777" w:rsidR="00BC6896" w:rsidRDefault="00BC6896" w:rsidP="00BC6896">
      <w:r>
        <w:rPr>
          <w:noProof/>
          <w:lang w:val="en-US"/>
        </w:rPr>
        <w:drawing>
          <wp:inline distT="114300" distB="114300" distL="114300" distR="114300" wp14:anchorId="1E058A5C" wp14:editId="55999AB3">
            <wp:extent cx="5943600" cy="4241800"/>
            <wp:effectExtent l="0" t="0" r="0" b="0"/>
            <wp:docPr id="10" name="image4.png" descr="A map with different colored spots and number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0" name="image4.png" descr="A map with different colored spots and numbers&#10;&#10;Description automatically generated with medium confidence"/>
                    <pic:cNvPicPr preferRelativeResize="0"/>
                  </pic:nvPicPr>
                  <pic:blipFill>
                    <a:blip r:embed="rId6"/>
                    <a:srcRect/>
                    <a:stretch>
                      <a:fillRect/>
                    </a:stretch>
                  </pic:blipFill>
                  <pic:spPr>
                    <a:xfrm>
                      <a:off x="0" y="0"/>
                      <a:ext cx="5943600" cy="4241800"/>
                    </a:xfrm>
                    <a:prstGeom prst="rect">
                      <a:avLst/>
                    </a:prstGeom>
                    <a:ln/>
                  </pic:spPr>
                </pic:pic>
              </a:graphicData>
            </a:graphic>
          </wp:inline>
        </w:drawing>
      </w:r>
    </w:p>
    <w:p w14:paraId="02093E10" w14:textId="77777777" w:rsidR="00BC6896" w:rsidRDefault="00BC6896" w:rsidP="00BC6896">
      <w:r>
        <w:t xml:space="preserve">Each starting point is visited just one day.  If less than 50 persons provide biospecimens at a starting point, the deficit (50 - number providing specimens) is allocated to remaining starting points from the same type of community that have not yet been visited.  If, during systematic sampling in a slum, a household does not answer the door, it is replaced with the adjacent </w:t>
      </w:r>
      <w:r>
        <w:lastRenderedPageBreak/>
        <w:t>household to the right.  We selected an individual to sample within the household using the following Table S1:</w:t>
      </w:r>
    </w:p>
    <w:p w14:paraId="379EA908" w14:textId="77777777" w:rsidR="00BC6896" w:rsidRDefault="00BC6896" w:rsidP="00BC6896"/>
    <w:p w14:paraId="5CC75ABE" w14:textId="77777777" w:rsidR="00BC6896" w:rsidRDefault="00BC6896" w:rsidP="00BC6896">
      <w:pPr>
        <w:pStyle w:val="Heading2"/>
      </w:pPr>
      <w:r>
        <w:t>Table S1.  Demographic groups for employing Kish method.</w:t>
      </w:r>
    </w:p>
    <w:tbl>
      <w:tblPr>
        <w:tblW w:w="9300" w:type="dxa"/>
        <w:tblBorders>
          <w:top w:val="nil"/>
          <w:left w:val="nil"/>
          <w:bottom w:val="nil"/>
          <w:right w:val="nil"/>
          <w:insideH w:val="nil"/>
          <w:insideV w:val="nil"/>
        </w:tblBorders>
        <w:tblLayout w:type="fixed"/>
        <w:tblLook w:val="0600" w:firstRow="0" w:lastRow="0" w:firstColumn="0" w:lastColumn="0" w:noHBand="1" w:noVBand="1"/>
      </w:tblPr>
      <w:tblGrid>
        <w:gridCol w:w="4650"/>
        <w:gridCol w:w="4650"/>
      </w:tblGrid>
      <w:tr w:rsidR="00BC6896" w14:paraId="75497A83" w14:textId="77777777" w:rsidTr="00724DE2">
        <w:tc>
          <w:tcPr>
            <w:tcW w:w="4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F11CC3" w14:textId="77777777" w:rsidR="00BC6896" w:rsidRDefault="00BC6896" w:rsidP="00724DE2">
            <w:pPr>
              <w:spacing w:line="240" w:lineRule="auto"/>
            </w:pPr>
            <w:r>
              <w:t>Male, 12-20</w:t>
            </w:r>
          </w:p>
        </w:tc>
        <w:tc>
          <w:tcPr>
            <w:tcW w:w="46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AE95AB4" w14:textId="77777777" w:rsidR="00BC6896" w:rsidRDefault="00BC6896" w:rsidP="00724DE2">
            <w:pPr>
              <w:spacing w:line="240" w:lineRule="auto"/>
            </w:pPr>
            <w:r>
              <w:t>Female, 12-20</w:t>
            </w:r>
          </w:p>
        </w:tc>
      </w:tr>
      <w:tr w:rsidR="00BC6896" w14:paraId="4CB600A1" w14:textId="77777777" w:rsidTr="00724DE2">
        <w:tc>
          <w:tcPr>
            <w:tcW w:w="46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EDEC9A" w14:textId="77777777" w:rsidR="00BC6896" w:rsidRDefault="00BC6896" w:rsidP="00724DE2">
            <w:pPr>
              <w:spacing w:line="240" w:lineRule="auto"/>
            </w:pPr>
            <w:r>
              <w:t>Male, 21-40</w:t>
            </w:r>
          </w:p>
        </w:tc>
        <w:tc>
          <w:tcPr>
            <w:tcW w:w="4650" w:type="dxa"/>
            <w:tcBorders>
              <w:top w:val="nil"/>
              <w:left w:val="nil"/>
              <w:bottom w:val="single" w:sz="8" w:space="0" w:color="000000"/>
              <w:right w:val="single" w:sz="8" w:space="0" w:color="000000"/>
            </w:tcBorders>
            <w:tcMar>
              <w:top w:w="100" w:type="dxa"/>
              <w:left w:w="100" w:type="dxa"/>
              <w:bottom w:w="100" w:type="dxa"/>
              <w:right w:w="100" w:type="dxa"/>
            </w:tcMar>
          </w:tcPr>
          <w:p w14:paraId="289A90E9" w14:textId="77777777" w:rsidR="00BC6896" w:rsidRDefault="00BC6896" w:rsidP="00724DE2">
            <w:pPr>
              <w:spacing w:line="240" w:lineRule="auto"/>
            </w:pPr>
            <w:r>
              <w:t>Female, 21-40</w:t>
            </w:r>
          </w:p>
        </w:tc>
      </w:tr>
      <w:tr w:rsidR="00BC6896" w14:paraId="5DF17C4A" w14:textId="77777777" w:rsidTr="00724DE2">
        <w:tc>
          <w:tcPr>
            <w:tcW w:w="46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D42ECFD" w14:textId="77777777" w:rsidR="00BC6896" w:rsidRDefault="00BC6896" w:rsidP="00724DE2">
            <w:pPr>
              <w:spacing w:line="240" w:lineRule="auto"/>
            </w:pPr>
            <w:r>
              <w:t>Male, 41-60</w:t>
            </w:r>
          </w:p>
        </w:tc>
        <w:tc>
          <w:tcPr>
            <w:tcW w:w="4650" w:type="dxa"/>
            <w:tcBorders>
              <w:top w:val="nil"/>
              <w:left w:val="nil"/>
              <w:bottom w:val="single" w:sz="8" w:space="0" w:color="000000"/>
              <w:right w:val="single" w:sz="8" w:space="0" w:color="000000"/>
            </w:tcBorders>
            <w:tcMar>
              <w:top w:w="100" w:type="dxa"/>
              <w:left w:w="100" w:type="dxa"/>
              <w:bottom w:w="100" w:type="dxa"/>
              <w:right w:w="100" w:type="dxa"/>
            </w:tcMar>
          </w:tcPr>
          <w:p w14:paraId="0B8A9136" w14:textId="77777777" w:rsidR="00BC6896" w:rsidRDefault="00BC6896" w:rsidP="00724DE2">
            <w:pPr>
              <w:spacing w:line="240" w:lineRule="auto"/>
            </w:pPr>
            <w:r>
              <w:t>Female, 41-60</w:t>
            </w:r>
          </w:p>
        </w:tc>
      </w:tr>
      <w:tr w:rsidR="00BC6896" w14:paraId="2630DF6D" w14:textId="77777777" w:rsidTr="00724DE2">
        <w:tc>
          <w:tcPr>
            <w:tcW w:w="46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9FB27" w14:textId="77777777" w:rsidR="00BC6896" w:rsidRDefault="00BC6896" w:rsidP="00724DE2">
            <w:pPr>
              <w:spacing w:line="240" w:lineRule="auto"/>
            </w:pPr>
            <w:r>
              <w:t>Male, 61+</w:t>
            </w:r>
          </w:p>
        </w:tc>
        <w:tc>
          <w:tcPr>
            <w:tcW w:w="4650" w:type="dxa"/>
            <w:tcBorders>
              <w:top w:val="nil"/>
              <w:left w:val="nil"/>
              <w:bottom w:val="single" w:sz="8" w:space="0" w:color="000000"/>
              <w:right w:val="single" w:sz="8" w:space="0" w:color="000000"/>
            </w:tcBorders>
            <w:tcMar>
              <w:top w:w="100" w:type="dxa"/>
              <w:left w:w="100" w:type="dxa"/>
              <w:bottom w:w="100" w:type="dxa"/>
              <w:right w:w="100" w:type="dxa"/>
            </w:tcMar>
          </w:tcPr>
          <w:p w14:paraId="0F64B999" w14:textId="77777777" w:rsidR="00BC6896" w:rsidRDefault="00BC6896" w:rsidP="00724DE2">
            <w:pPr>
              <w:spacing w:line="240" w:lineRule="auto"/>
            </w:pPr>
            <w:r>
              <w:t>Female, 61+</w:t>
            </w:r>
          </w:p>
        </w:tc>
      </w:tr>
    </w:tbl>
    <w:p w14:paraId="3BF81EF5" w14:textId="77777777" w:rsidR="00BC6896" w:rsidRDefault="00BC6896" w:rsidP="00BC6896"/>
    <w:p w14:paraId="38C865FC" w14:textId="77777777" w:rsidR="00BC6896" w:rsidRDefault="00BC6896" w:rsidP="00BC6896">
      <w:r>
        <w:t xml:space="preserve">At the 1st household surveyors asked a person from the first demographic cell, 2nd household a person from the second cell, and so on.  If the designated person is not available, surveyors asked for consent from someone in the next cell.  If, as a result, a surveyor skipped a cell in one household, in the next household the surveyor would start with the skipped cell before going to the next open cell.  If the designated person refuses consent, the surveyor skips to the next household and asks for someone in the same cell.  The goal is to sample 2 persons for each cell over the course of every 16 households.  </w:t>
      </w:r>
    </w:p>
    <w:p w14:paraId="091A9E8C" w14:textId="77777777" w:rsidR="00BC6896" w:rsidRDefault="00BC6896" w:rsidP="00BC6896">
      <w:pPr>
        <w:ind w:firstLine="720"/>
      </w:pPr>
      <w:r>
        <w:rPr>
          <w:b/>
        </w:rPr>
        <w:t>Service providers</w:t>
      </w:r>
      <w:r>
        <w:t xml:space="preserve">.  The listing exercise, oral survey, and biospecimen collection was conducted by Morsel.  The municipal government in Bangalore provided ASHA workers who were known to </w:t>
      </w:r>
      <w:proofErr w:type="gramStart"/>
      <w:r>
        <w:t>local residents</w:t>
      </w:r>
      <w:proofErr w:type="gramEnd"/>
      <w:r>
        <w:t xml:space="preserve"> to accompany surveyors conducting the listing exercise to encourage participation.  The ELISA test, PBMC isolation, and the test for cellular immunity was conducted by </w:t>
      </w:r>
      <w:proofErr w:type="spellStart"/>
      <w:r>
        <w:t>Syngene</w:t>
      </w:r>
      <w:proofErr w:type="spellEnd"/>
      <w:r>
        <w:t xml:space="preserve"> International LTD.  The rapid neutralizing antibody test was conducted by </w:t>
      </w:r>
      <w:proofErr w:type="spellStart"/>
      <w:r>
        <w:t>Mapmygenome</w:t>
      </w:r>
      <w:proofErr w:type="spellEnd"/>
      <w:r>
        <w:t xml:space="preserve"> India LTD.  </w:t>
      </w:r>
    </w:p>
    <w:p w14:paraId="05965E4C" w14:textId="77777777" w:rsidR="00BC6896" w:rsidRDefault="00BC6896" w:rsidP="00BC6896">
      <w:pPr>
        <w:ind w:firstLine="720"/>
      </w:pPr>
      <w:r>
        <w:rPr>
          <w:b/>
        </w:rPr>
        <w:t>PBMC isolation and cryo-preservation</w:t>
      </w:r>
      <w:r>
        <w:t xml:space="preserve">.  Venous blood was collected in sodium heparin tubes at the site of clinical examination. Peripheral blood mono-nuclear cells (PBMCs) were </w:t>
      </w:r>
      <w:r>
        <w:lastRenderedPageBreak/>
        <w:t xml:space="preserve">isolated from whole blood samples by density centrifugation with </w:t>
      </w:r>
      <w:proofErr w:type="spellStart"/>
      <w:r>
        <w:t>Lymphoprep</w:t>
      </w:r>
      <w:proofErr w:type="spellEnd"/>
      <w:r>
        <w:t xml:space="preserve"> (STEMCELL Technologies). Briefly, 10 mL </w:t>
      </w:r>
      <w:proofErr w:type="spellStart"/>
      <w:r>
        <w:t>Lymphoprep</w:t>
      </w:r>
      <w:proofErr w:type="spellEnd"/>
      <w:r>
        <w:t xml:space="preserve"> was added to falcon tubes. Blood was diluted with an equal amount of Roswell Park Memorial Institute (RPMI) 1640 medium (Gibco) + 1% </w:t>
      </w:r>
      <w:proofErr w:type="spellStart"/>
      <w:r>
        <w:t>PenStrep</w:t>
      </w:r>
      <w:proofErr w:type="spellEnd"/>
      <w:r>
        <w:t xml:space="preserve"> (Gibco). Diluted blood was gently layered on top of </w:t>
      </w:r>
      <w:proofErr w:type="spellStart"/>
      <w:r>
        <w:t>Lymphoprep</w:t>
      </w:r>
      <w:proofErr w:type="spellEnd"/>
      <w:r>
        <w:t>. Tubes were centrifuged at 430 RCF for 30 minutes at room temperature. Post centrifugation, a buffy coat of PBMC layer was transferred into a fresh tube without disturbing the erythrocyte/granulocyte pellet. Pellet was washed twice with DPBS (Gibco</w:t>
      </w:r>
      <w:proofErr w:type="gramStart"/>
      <w:r>
        <w:t>)</w:t>
      </w:r>
      <w:proofErr w:type="gramEnd"/>
      <w:r>
        <w:t xml:space="preserve"> and RBCs were removed by using the ACK lysis buffer (Gibco). Post RBC lysis, the pellet was washed and resuspended in RPMI 1640 media with 10% FBS (Gibco) and cells were counted. Isolated PBMCs were cryo-preserved in a freezing solution containing 90% FBS and 10% dimethyl sulfoxide (Sigma) and stored in liquid nitrogen until use.</w:t>
      </w:r>
    </w:p>
    <w:p w14:paraId="2186A78E" w14:textId="77777777" w:rsidR="00BC6896" w:rsidRDefault="00BC6896" w:rsidP="00BC6896">
      <w:pPr>
        <w:ind w:firstLine="720"/>
      </w:pPr>
      <w:r w:rsidRPr="00B976D7">
        <w:rPr>
          <w:b/>
          <w:bCs/>
        </w:rPr>
        <w:t>Peptide synthesis</w:t>
      </w:r>
      <w:r>
        <w:t>.  Peptide synthesis was carried out using pre-loaded Wang resin (0.4 mmol/g, 0.08 mmol scale) on an automated Syro-1 parallel peptide synthesizer by Fmoc-SPPS/</w:t>
      </w:r>
      <w:proofErr w:type="spellStart"/>
      <w:r>
        <w:t>tBu</w:t>
      </w:r>
      <w:proofErr w:type="spellEnd"/>
      <w:r>
        <w:t xml:space="preserve"> strategy. Double coupling of Fmoc-protected amino acids (0.3 mol) was performed by using DIC (0.3 mol)/</w:t>
      </w:r>
      <w:proofErr w:type="spellStart"/>
      <w:r>
        <w:t>Oxyma</w:t>
      </w:r>
      <w:proofErr w:type="spellEnd"/>
      <w:r>
        <w:t xml:space="preserve"> (0.3 mol) for 40 min, and HATU (0.29 mol)/DIPEA (0.6 mol) for 30 min successively. The resin was washed with DMF (3 x 1 min) after each coupling. Fmoc-deprotection was accomplished with 40% piperidine for 3 min and 20% piperidine for 12 min. After Fmoc-deprotection, the resin was washed with DMF (6 x 1 min). Finally, the resin was drained and washed with DMF, DCM, and Diethyl ether. The resulting peptidyl resin was cleaved with either TFA/TIS/H2O (95:2.5:2.5, v/v/v) or TFA/TIS/DODT/H2O (92.5:2.5:2.5:2.5, v/v/v/v) for 3 h. The peptide was precipitated in cold ether and collected by centrifugation. The crude peptide was purified by a preparative reverse-phase HPLC with 0.1 % TFA in H2O/ACN </w:t>
      </w:r>
      <w:r>
        <w:lastRenderedPageBreak/>
        <w:t>as gradient. Fractions were collected and lyophilized to yield the peptides used for T cell stimu</w:t>
      </w:r>
      <w:r w:rsidRPr="00791FFC">
        <w:t>lation.</w:t>
      </w:r>
    </w:p>
    <w:p w14:paraId="57D5C9C1" w14:textId="0E710983" w:rsidR="00BC6896" w:rsidRDefault="00BC6896" w:rsidP="00BC6896">
      <w:pPr>
        <w:ind w:firstLine="720"/>
      </w:pPr>
      <w:r w:rsidRPr="00791FFC">
        <w:rPr>
          <w:b/>
          <w:bCs/>
        </w:rPr>
        <w:t>Peptides</w:t>
      </w:r>
      <w:r w:rsidRPr="00791FFC">
        <w:t>.  The table below characterizes the S1 peptides synthesized for this study</w:t>
      </w:r>
      <w:r>
        <w:t>.</w:t>
      </w:r>
      <w:r w:rsidRPr="00791FFC">
        <w:t xml:space="preserve">  </w:t>
      </w:r>
    </w:p>
    <w:p w14:paraId="3FA9E52D" w14:textId="77777777" w:rsidR="00BC6896" w:rsidRDefault="00BC6896" w:rsidP="00BC6896"/>
    <w:p w14:paraId="73C9D70C" w14:textId="77777777" w:rsidR="00BC6896" w:rsidRDefault="00BC6896" w:rsidP="00BC6896">
      <w:pPr>
        <w:pStyle w:val="Heading2"/>
      </w:pPr>
      <w:r>
        <w:t>Table S2.  Sequence for synthesized S1 peptides.</w:t>
      </w:r>
    </w:p>
    <w:p w14:paraId="214BD030" w14:textId="77777777" w:rsidR="00BC6896" w:rsidRDefault="00BC6896" w:rsidP="00BC6896">
      <w:r w:rsidRPr="00791FFC">
        <w:rPr>
          <w:noProof/>
        </w:rPr>
        <w:drawing>
          <wp:inline distT="0" distB="0" distL="0" distR="0" wp14:anchorId="00D0B679" wp14:editId="61F4F395">
            <wp:extent cx="5943600" cy="4247515"/>
            <wp:effectExtent l="0" t="0" r="0" b="0"/>
            <wp:docPr id="1776055821" name="Picture 1" descr="A close-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055821" name="Picture 1" descr="A close-up of a text&#10;&#10;Description automatically generated"/>
                    <pic:cNvPicPr/>
                  </pic:nvPicPr>
                  <pic:blipFill>
                    <a:blip r:embed="rId7"/>
                    <a:stretch>
                      <a:fillRect/>
                    </a:stretch>
                  </pic:blipFill>
                  <pic:spPr>
                    <a:xfrm>
                      <a:off x="0" y="0"/>
                      <a:ext cx="5943600" cy="4247515"/>
                    </a:xfrm>
                    <a:prstGeom prst="rect">
                      <a:avLst/>
                    </a:prstGeom>
                  </pic:spPr>
                </pic:pic>
              </a:graphicData>
            </a:graphic>
          </wp:inline>
        </w:drawing>
      </w:r>
    </w:p>
    <w:p w14:paraId="747E7968" w14:textId="77777777" w:rsidR="00BC6896" w:rsidRDefault="00BC6896" w:rsidP="00BC6896"/>
    <w:p w14:paraId="33047EEC" w14:textId="77777777" w:rsidR="00BC6896" w:rsidRDefault="00BC6896" w:rsidP="00BC6896">
      <w:pPr>
        <w:ind w:firstLine="720"/>
      </w:pPr>
      <w:r>
        <w:rPr>
          <w:b/>
        </w:rPr>
        <w:t>Calculation of weighted averages</w:t>
      </w:r>
      <w:r>
        <w:t xml:space="preserve">.  The recruitment survey asked the individual selected as a respondent in each household to give not only their age and sex, but also the age and sex of every other household member.  The respondent’s demographics are used to estimate the fraction of the population from each community that is each of the 8 demographic groups from which we </w:t>
      </w:r>
      <w:r>
        <w:lastRenderedPageBreak/>
        <w:t xml:space="preserve">sampled.  Specifically, our estimate of the fraction of people in demographic group j (from Table S1) in community type k (slum or non-slum) </w:t>
      </w:r>
      <w:proofErr w:type="gramStart"/>
      <w:r>
        <w:t>is</w:t>
      </w:r>
      <w:proofErr w:type="gramEnd"/>
      <w:r>
        <w:t xml:space="preserve"> </w:t>
      </w:r>
    </w:p>
    <w:p w14:paraId="4E85EC0A" w14:textId="77777777" w:rsidR="00BC6896" w:rsidRDefault="00000000" w:rsidP="00BC6896">
      <w:pPr>
        <w:jc w:val="center"/>
      </w:pPr>
      <m:oMathPara>
        <m:oMath>
          <m:sSub>
            <m:sSubPr>
              <m:ctrlPr>
                <w:rPr>
                  <w:rFonts w:ascii="Cambria Math" w:hAnsi="Cambria Math"/>
                </w:rPr>
              </m:ctrlPr>
            </m:sSubPr>
            <m:e>
              <m:r>
                <w:rPr>
                  <w:rFonts w:ascii="Cambria Math" w:hAnsi="Cambria Math"/>
                </w:rPr>
                <m:t>F</m:t>
              </m:r>
            </m:e>
            <m:sub>
              <m:r>
                <w:rPr>
                  <w:rFonts w:ascii="Cambria Math" w:hAnsi="Cambria Math"/>
                </w:rPr>
                <m:t>jk</m:t>
              </m:r>
            </m:sub>
          </m:sSub>
          <m:r>
            <w:rPr>
              <w:rFonts w:ascii="Cambria Math" w:hAnsi="Cambria Math"/>
            </w:rPr>
            <m:t>=(1/</m:t>
          </m:r>
          <m:sSub>
            <m:sSubPr>
              <m:ctrlPr>
                <w:rPr>
                  <w:rFonts w:ascii="Cambria Math" w:hAnsi="Cambria Math"/>
                </w:rPr>
              </m:ctrlPr>
            </m:sSubPr>
            <m:e>
              <m:r>
                <w:rPr>
                  <w:rFonts w:ascii="Cambria Math" w:hAnsi="Cambria Math"/>
                </w:rPr>
                <m:t>m</m:t>
              </m:r>
            </m:e>
            <m:sub>
              <m:r>
                <w:rPr>
                  <w:rFonts w:ascii="Cambria Math" w:hAnsi="Cambria Math"/>
                </w:rPr>
                <m:t>k</m:t>
              </m:r>
            </m:sub>
          </m:sSub>
          <m:r>
            <w:rPr>
              <w:rFonts w:ascii="Cambria Math" w:hAnsi="Cambria Math"/>
            </w:rPr>
            <m:t>)</m:t>
          </m:r>
          <m:nary>
            <m:naryPr>
              <m:chr m:val="∑"/>
              <m:ctrlPr>
                <w:rPr>
                  <w:rFonts w:ascii="Cambria Math" w:hAnsi="Cambria Math"/>
                </w:rPr>
              </m:ctrlPr>
            </m:naryPr>
            <m:sub>
              <m:r>
                <w:rPr>
                  <w:rFonts w:ascii="Cambria Math" w:hAnsi="Cambria Math"/>
                </w:rPr>
                <m:t>i=1</m:t>
              </m:r>
            </m:sub>
            <m:sup>
              <m:sSub>
                <m:sSubPr>
                  <m:ctrlPr>
                    <w:rPr>
                      <w:rFonts w:ascii="Cambria Math" w:hAnsi="Cambria Math"/>
                    </w:rPr>
                  </m:ctrlPr>
                </m:sSubPr>
                <m:e>
                  <m:r>
                    <w:rPr>
                      <w:rFonts w:ascii="Cambria Math" w:hAnsi="Cambria Math"/>
                    </w:rPr>
                    <m:t>n</m:t>
                  </m:r>
                </m:e>
                <m:sub>
                  <m:r>
                    <w:rPr>
                      <w:rFonts w:ascii="Cambria Math" w:hAnsi="Cambria Math"/>
                    </w:rPr>
                    <m:t>k</m:t>
                  </m:r>
                </m:sub>
              </m:sSub>
            </m:sup>
            <m:e>
              <m:sSub>
                <m:sSubPr>
                  <m:ctrlPr>
                    <w:rPr>
                      <w:rFonts w:ascii="Cambria Math" w:hAnsi="Cambria Math"/>
                    </w:rPr>
                  </m:ctrlPr>
                </m:sSubPr>
                <m:e>
                  <m:r>
                    <w:rPr>
                      <w:rFonts w:ascii="Cambria Math" w:hAnsi="Cambria Math"/>
                    </w:rPr>
                    <m:t>m</m:t>
                  </m:r>
                </m:e>
                <m:sub>
                  <m:r>
                    <w:rPr>
                      <w:rFonts w:ascii="Cambria Math" w:hAnsi="Cambria Math"/>
                    </w:rPr>
                    <m:t>ijk</m:t>
                  </m:r>
                </m:sub>
              </m:sSub>
            </m:e>
          </m:nary>
        </m:oMath>
      </m:oMathPara>
    </w:p>
    <w:p w14:paraId="02BD2057" w14:textId="77777777" w:rsidR="00BC6896" w:rsidRDefault="00BC6896" w:rsidP="00BC6896">
      <w:r>
        <w:t xml:space="preserve">where </w:t>
      </w:r>
      <m:oMath>
        <m:sSub>
          <m:sSubPr>
            <m:ctrlPr>
              <w:rPr>
                <w:rFonts w:ascii="Cambria Math" w:hAnsi="Cambria Math"/>
              </w:rPr>
            </m:ctrlPr>
          </m:sSubPr>
          <m:e>
            <m:r>
              <w:rPr>
                <w:rFonts w:ascii="Cambria Math" w:hAnsi="Cambria Math"/>
              </w:rPr>
              <m:t>m</m:t>
            </m:r>
          </m:e>
          <m:sub>
            <m:r>
              <w:rPr>
                <w:rFonts w:ascii="Cambria Math" w:hAnsi="Cambria Math"/>
              </w:rPr>
              <m:t>ijk</m:t>
            </m:r>
          </m:sub>
        </m:sSub>
      </m:oMath>
      <w:r>
        <w:t xml:space="preserve"> is the number of household members in person i’s household in demographic group j in community type k, </w:t>
      </w:r>
      <m:oMath>
        <m:sSub>
          <m:sSubPr>
            <m:ctrlPr>
              <w:rPr>
                <w:rFonts w:ascii="Cambria Math" w:hAnsi="Cambria Math"/>
              </w:rPr>
            </m:ctrlPr>
          </m:sSubPr>
          <m:e>
            <m:r>
              <w:rPr>
                <w:rFonts w:ascii="Cambria Math" w:hAnsi="Cambria Math"/>
              </w:rPr>
              <m:t>n</m:t>
            </m:r>
          </m:e>
          <m:sub>
            <m:r>
              <w:rPr>
                <w:rFonts w:ascii="Cambria Math" w:hAnsi="Cambria Math"/>
              </w:rPr>
              <m:t>k</m:t>
            </m:r>
          </m:sub>
        </m:sSub>
      </m:oMath>
      <w:r>
        <w:t xml:space="preserve"> is the number of respondents who consented during recruitment in community type k, and </w:t>
      </w:r>
    </w:p>
    <w:p w14:paraId="2C8E61E1" w14:textId="77777777" w:rsidR="00BC6896" w:rsidRDefault="00000000" w:rsidP="00BC6896">
      <w:pPr>
        <w:jc w:val="center"/>
      </w:pPr>
      <m:oMathPara>
        <m:oMath>
          <m:sSub>
            <m:sSubPr>
              <m:ctrlPr>
                <w:rPr>
                  <w:rFonts w:ascii="Cambria Math" w:hAnsi="Cambria Math"/>
                </w:rPr>
              </m:ctrlPr>
            </m:sSubPr>
            <m:e>
              <m:r>
                <w:rPr>
                  <w:rFonts w:ascii="Cambria Math" w:hAnsi="Cambria Math"/>
                </w:rPr>
                <m:t>m</m:t>
              </m:r>
            </m:e>
            <m:sub>
              <m:r>
                <w:rPr>
                  <w:rFonts w:ascii="Cambria Math" w:hAnsi="Cambria Math"/>
                </w:rPr>
                <m:t>k</m:t>
              </m:r>
            </m:sub>
          </m:sSub>
          <m:r>
            <w:rPr>
              <w:rFonts w:ascii="Cambria Math" w:hAnsi="Cambria Math"/>
            </w:rPr>
            <m:t>=</m:t>
          </m:r>
          <m:nary>
            <m:naryPr>
              <m:chr m:val="∑"/>
              <m:ctrlPr>
                <w:rPr>
                  <w:rFonts w:ascii="Cambria Math" w:hAnsi="Cambria Math"/>
                </w:rPr>
              </m:ctrlPr>
            </m:naryPr>
            <m:sub>
              <m:r>
                <w:rPr>
                  <w:rFonts w:ascii="Cambria Math" w:hAnsi="Cambria Math"/>
                </w:rPr>
                <m:t>j=1</m:t>
              </m:r>
            </m:sub>
            <m:sup>
              <m:r>
                <w:rPr>
                  <w:rFonts w:ascii="Cambria Math" w:hAnsi="Cambria Math"/>
                </w:rPr>
                <m:t>8</m:t>
              </m:r>
            </m:sup>
            <m:e>
              <m:nary>
                <m:naryPr>
                  <m:chr m:val="∑"/>
                  <m:ctrlPr>
                    <w:rPr>
                      <w:rFonts w:ascii="Cambria Math" w:hAnsi="Cambria Math"/>
                    </w:rPr>
                  </m:ctrlPr>
                </m:naryPr>
                <m:sub>
                  <m:r>
                    <w:rPr>
                      <w:rFonts w:ascii="Cambria Math" w:hAnsi="Cambria Math"/>
                    </w:rPr>
                    <m:t>i=1</m:t>
                  </m:r>
                </m:sub>
                <m:sup>
                  <m:sSub>
                    <m:sSubPr>
                      <m:ctrlPr>
                        <w:rPr>
                          <w:rFonts w:ascii="Cambria Math" w:hAnsi="Cambria Math"/>
                        </w:rPr>
                      </m:ctrlPr>
                    </m:sSubPr>
                    <m:e>
                      <m:r>
                        <w:rPr>
                          <w:rFonts w:ascii="Cambria Math" w:hAnsi="Cambria Math"/>
                        </w:rPr>
                        <m:t>n</m:t>
                      </m:r>
                    </m:e>
                    <m:sub>
                      <m:r>
                        <w:rPr>
                          <w:rFonts w:ascii="Cambria Math" w:hAnsi="Cambria Math"/>
                        </w:rPr>
                        <m:t>k</m:t>
                      </m:r>
                    </m:sub>
                  </m:sSub>
                </m:sup>
                <m:e>
                  <m:sSub>
                    <m:sSubPr>
                      <m:ctrlPr>
                        <w:rPr>
                          <w:rFonts w:ascii="Cambria Math" w:hAnsi="Cambria Math"/>
                        </w:rPr>
                      </m:ctrlPr>
                    </m:sSubPr>
                    <m:e>
                      <m:r>
                        <w:rPr>
                          <w:rFonts w:ascii="Cambria Math" w:hAnsi="Cambria Math"/>
                        </w:rPr>
                        <m:t>m</m:t>
                      </m:r>
                    </m:e>
                    <m:sub>
                      <m:r>
                        <w:rPr>
                          <w:rFonts w:ascii="Cambria Math" w:hAnsi="Cambria Math"/>
                        </w:rPr>
                        <m:t>ijk</m:t>
                      </m:r>
                    </m:sub>
                  </m:sSub>
                </m:e>
              </m:nary>
            </m:e>
          </m:nary>
        </m:oMath>
      </m:oMathPara>
    </w:p>
    <w:p w14:paraId="6D4DB806" w14:textId="77777777" w:rsidR="00BC6896" w:rsidRDefault="00BC6896" w:rsidP="00BC6896">
      <w:r>
        <w:t xml:space="preserve">is the number of members in the households of all recruitment respondents in community type k.  </w:t>
      </w:r>
    </w:p>
    <w:p w14:paraId="5999B35E" w14:textId="77777777" w:rsidR="00BC6896" w:rsidRDefault="00BC6896" w:rsidP="00BC6896"/>
    <w:p w14:paraId="7882FA48" w14:textId="77777777" w:rsidR="00BC6896" w:rsidRDefault="00BC6896" w:rsidP="00BC6896">
      <w:r>
        <w:t xml:space="preserve">Let </w:t>
      </w:r>
      <m:oMath>
        <m:sSub>
          <m:sSubPr>
            <m:ctrlPr>
              <w:rPr>
                <w:rFonts w:ascii="Cambria Math" w:hAnsi="Cambria Math"/>
              </w:rPr>
            </m:ctrlPr>
          </m:sSubPr>
          <m:e>
            <m:r>
              <w:rPr>
                <w:rFonts w:ascii="Cambria Math" w:hAnsi="Cambria Math"/>
              </w:rPr>
              <m:t>y</m:t>
            </m:r>
          </m:e>
          <m:sub>
            <m:r>
              <w:rPr>
                <w:rFonts w:ascii="Cambria Math" w:hAnsi="Cambria Math"/>
              </w:rPr>
              <m:t>ijk</m:t>
            </m:r>
          </m:sub>
        </m:sSub>
      </m:oMath>
      <w:r>
        <w:t xml:space="preserve"> be the outcome of a test for member i of the biospecimen sample from demographic group j in community type k.  Then the estimate of the community-type average outcome is</w:t>
      </w:r>
    </w:p>
    <w:p w14:paraId="53C893E4" w14:textId="77777777" w:rsidR="00BC6896" w:rsidRDefault="00000000" w:rsidP="00BC6896">
      <w:pPr>
        <w:jc w:val="center"/>
      </w:pPr>
      <m:oMathPara>
        <m:oMath>
          <m:sSub>
            <m:sSubPr>
              <m:ctrlPr>
                <w:rPr>
                  <w:rFonts w:ascii="Cambria Math" w:hAnsi="Cambria Math"/>
                </w:rPr>
              </m:ctrlPr>
            </m:sSubPr>
            <m:e>
              <m:r>
                <w:rPr>
                  <w:rFonts w:ascii="Cambria Math" w:hAnsi="Cambria Math"/>
                </w:rPr>
                <m:t>y</m:t>
              </m:r>
            </m:e>
            <m:sub>
              <m:r>
                <w:rPr>
                  <w:rFonts w:ascii="Cambria Math" w:hAnsi="Cambria Math"/>
                </w:rPr>
                <m:t>k</m:t>
              </m:r>
            </m:sub>
          </m:sSub>
          <m:r>
            <w:rPr>
              <w:rFonts w:ascii="Cambria Math" w:hAnsi="Cambria Math"/>
            </w:rPr>
            <m:t>=</m:t>
          </m:r>
          <m:nary>
            <m:naryPr>
              <m:chr m:val="∑"/>
              <m:ctrlPr>
                <w:rPr>
                  <w:rFonts w:ascii="Cambria Math" w:hAnsi="Cambria Math"/>
                </w:rPr>
              </m:ctrlPr>
            </m:naryPr>
            <m:sub>
              <m:r>
                <w:rPr>
                  <w:rFonts w:ascii="Cambria Math" w:hAnsi="Cambria Math"/>
                </w:rPr>
                <m:t>j=1</m:t>
              </m:r>
            </m:sub>
            <m:sup>
              <m:r>
                <w:rPr>
                  <w:rFonts w:ascii="Cambria Math" w:hAnsi="Cambria Math"/>
                </w:rPr>
                <m:t>8</m:t>
              </m:r>
            </m:sup>
            <m:e>
              <m:sSub>
                <m:sSubPr>
                  <m:ctrlPr>
                    <w:rPr>
                      <w:rFonts w:ascii="Cambria Math" w:hAnsi="Cambria Math"/>
                    </w:rPr>
                  </m:ctrlPr>
                </m:sSubPr>
                <m:e>
                  <m:r>
                    <w:rPr>
                      <w:rFonts w:ascii="Cambria Math" w:hAnsi="Cambria Math"/>
                    </w:rPr>
                    <m:t>F</m:t>
                  </m:r>
                </m:e>
                <m:sub>
                  <m:r>
                    <w:rPr>
                      <w:rFonts w:ascii="Cambria Math" w:hAnsi="Cambria Math"/>
                    </w:rPr>
                    <m:t>jk</m:t>
                  </m:r>
                </m:sub>
              </m:sSub>
              <m:d>
                <m:dPr>
                  <m:begChr m:val="["/>
                  <m:endChr m:val="]"/>
                  <m:ctrlPr>
                    <w:rPr>
                      <w:rFonts w:ascii="Cambria Math" w:hAnsi="Cambria Math"/>
                      <w:i/>
                    </w:rPr>
                  </m:ctrlPr>
                </m:dPr>
                <m:e>
                  <m:d>
                    <m:dPr>
                      <m:ctrlPr>
                        <w:rPr>
                          <w:rFonts w:ascii="Cambria Math" w:hAnsi="Cambria Math"/>
                          <w:i/>
                        </w:rPr>
                      </m:ctrlPr>
                    </m:dPr>
                    <m:e>
                      <m:f>
                        <m:fPr>
                          <m:ctrlPr>
                            <w:rPr>
                              <w:rFonts w:ascii="Cambria Math" w:hAnsi="Cambria Math"/>
                              <w:i/>
                            </w:rPr>
                          </m:ctrlPr>
                        </m:fPr>
                        <m:num>
                          <m:r>
                            <w:rPr>
                              <w:rFonts w:ascii="Cambria Math" w:hAnsi="Cambria Math"/>
                            </w:rPr>
                            <m:t>1</m:t>
                          </m:r>
                        </m:num>
                        <m:den>
                          <m:sSub>
                            <m:sSubPr>
                              <m:ctrlPr>
                                <w:rPr>
                                  <w:rFonts w:ascii="Cambria Math" w:hAnsi="Cambria Math"/>
                                </w:rPr>
                              </m:ctrlPr>
                            </m:sSubPr>
                            <m:e>
                              <m:r>
                                <w:rPr>
                                  <w:rFonts w:ascii="Cambria Math" w:hAnsi="Cambria Math"/>
                                </w:rPr>
                                <m:t>n</m:t>
                              </m:r>
                            </m:e>
                            <m:sub>
                              <m:r>
                                <w:rPr>
                                  <w:rFonts w:ascii="Cambria Math" w:hAnsi="Cambria Math"/>
                                </w:rPr>
                                <m:t>jk</m:t>
                              </m:r>
                            </m:sub>
                          </m:sSub>
                        </m:den>
                      </m:f>
                    </m:e>
                  </m:d>
                  <m:nary>
                    <m:naryPr>
                      <m:chr m:val="∑"/>
                      <m:ctrlPr>
                        <w:rPr>
                          <w:rFonts w:ascii="Cambria Math" w:hAnsi="Cambria Math"/>
                        </w:rPr>
                      </m:ctrlPr>
                    </m:naryPr>
                    <m:sub>
                      <m:r>
                        <w:rPr>
                          <w:rFonts w:ascii="Cambria Math" w:hAnsi="Cambria Math"/>
                        </w:rPr>
                        <m:t>i=1</m:t>
                      </m:r>
                    </m:sub>
                    <m:sup>
                      <m:sSub>
                        <m:sSubPr>
                          <m:ctrlPr>
                            <w:rPr>
                              <w:rFonts w:ascii="Cambria Math" w:hAnsi="Cambria Math"/>
                            </w:rPr>
                          </m:ctrlPr>
                        </m:sSubPr>
                        <m:e>
                          <m:r>
                            <w:rPr>
                              <w:rFonts w:ascii="Cambria Math" w:hAnsi="Cambria Math"/>
                            </w:rPr>
                            <m:t>n</m:t>
                          </m:r>
                        </m:e>
                        <m:sub>
                          <m:r>
                            <w:rPr>
                              <w:rFonts w:ascii="Cambria Math" w:hAnsi="Cambria Math"/>
                            </w:rPr>
                            <m:t>k</m:t>
                          </m:r>
                        </m:sub>
                      </m:sSub>
                    </m:sup>
                    <m:e>
                      <m:sSub>
                        <m:sSubPr>
                          <m:ctrlPr>
                            <w:rPr>
                              <w:rFonts w:ascii="Cambria Math" w:hAnsi="Cambria Math"/>
                            </w:rPr>
                          </m:ctrlPr>
                        </m:sSubPr>
                        <m:e>
                          <m:r>
                            <w:rPr>
                              <w:rFonts w:ascii="Cambria Math" w:hAnsi="Cambria Math"/>
                            </w:rPr>
                            <m:t>d</m:t>
                          </m:r>
                        </m:e>
                        <m:sub>
                          <m:r>
                            <w:rPr>
                              <w:rFonts w:ascii="Cambria Math" w:hAnsi="Cambria Math"/>
                            </w:rPr>
                            <m:t>ijk</m:t>
                          </m:r>
                        </m:sub>
                      </m:sSub>
                      <m:r>
                        <w:rPr>
                          <w:rFonts w:ascii="Cambria Math" w:hAnsi="Cambria Math"/>
                        </w:rPr>
                        <m:t>y</m:t>
                      </m:r>
                    </m:e>
                  </m:nary>
                </m:e>
              </m:d>
            </m:e>
          </m:nary>
        </m:oMath>
      </m:oMathPara>
    </w:p>
    <w:p w14:paraId="50DE75B5" w14:textId="77777777" w:rsidR="00BC6896" w:rsidRDefault="00BC6896" w:rsidP="00BC6896">
      <w:r>
        <w:t xml:space="preserve">where </w:t>
      </w:r>
      <m:oMath>
        <m:sSub>
          <m:sSubPr>
            <m:ctrlPr>
              <w:rPr>
                <w:rFonts w:ascii="Cambria Math" w:hAnsi="Cambria Math"/>
              </w:rPr>
            </m:ctrlPr>
          </m:sSubPr>
          <m:e>
            <m:r>
              <w:rPr>
                <w:rFonts w:ascii="Cambria Math" w:hAnsi="Cambria Math"/>
              </w:rPr>
              <m:t>n</m:t>
            </m:r>
          </m:e>
          <m:sub>
            <m:r>
              <w:rPr>
                <w:rFonts w:ascii="Cambria Math" w:hAnsi="Cambria Math"/>
              </w:rPr>
              <m:t>jk</m:t>
            </m:r>
          </m:sub>
        </m:sSub>
      </m:oMath>
      <w:r>
        <w:t xml:space="preserve"> is the number of biospecimen sample members in demographic group j in community type k.</w:t>
      </w:r>
    </w:p>
    <w:p w14:paraId="01567F78" w14:textId="77777777" w:rsidR="00BC6896" w:rsidRDefault="00BC6896" w:rsidP="00BC6896"/>
    <w:p w14:paraId="6E64C27B" w14:textId="77777777" w:rsidR="00BC6896" w:rsidRDefault="00BC6896" w:rsidP="00BC6896">
      <w:pPr>
        <w:pStyle w:val="Heading1"/>
      </w:pPr>
      <w:r>
        <w:t>Results</w:t>
      </w:r>
    </w:p>
    <w:p w14:paraId="2A85E91D" w14:textId="77777777" w:rsidR="00BC6896" w:rsidRDefault="00BC6896" w:rsidP="00BC6896"/>
    <w:p w14:paraId="6E4CC949" w14:textId="77777777" w:rsidR="00BC6896" w:rsidRDefault="00BC6896" w:rsidP="00BC6896">
      <w:pPr>
        <w:pStyle w:val="Heading2"/>
      </w:pPr>
      <w:r>
        <w:t>Table S3.  Concentration of cytokines in control specimen and incremental concentration of cytokines in stimulated specimen, conditional on whether incremental concentration in stimulated specimens is positive.</w:t>
      </w:r>
    </w:p>
    <w:p w14:paraId="12D2E7DD" w14:textId="77777777" w:rsidR="00BC6896" w:rsidRDefault="00BC6896" w:rsidP="00BC6896">
      <w:r w:rsidRPr="00F6441A">
        <w:rPr>
          <w:noProof/>
        </w:rPr>
        <w:lastRenderedPageBreak/>
        <w:drawing>
          <wp:inline distT="0" distB="0" distL="0" distR="0" wp14:anchorId="0D317ABE" wp14:editId="3E3E8146">
            <wp:extent cx="5943600" cy="1535430"/>
            <wp:effectExtent l="0" t="0" r="0" b="1270"/>
            <wp:docPr id="84038309" name="Picture 1" descr="A table with numbers and a few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38309" name="Picture 1" descr="A table with numbers and a few black text&#10;&#10;Description automatically generated with medium confidence"/>
                    <pic:cNvPicPr/>
                  </pic:nvPicPr>
                  <pic:blipFill>
                    <a:blip r:embed="rId8"/>
                    <a:stretch>
                      <a:fillRect/>
                    </a:stretch>
                  </pic:blipFill>
                  <pic:spPr>
                    <a:xfrm>
                      <a:off x="0" y="0"/>
                      <a:ext cx="5943600" cy="1535430"/>
                    </a:xfrm>
                    <a:prstGeom prst="rect">
                      <a:avLst/>
                    </a:prstGeom>
                  </pic:spPr>
                </pic:pic>
              </a:graphicData>
            </a:graphic>
          </wp:inline>
        </w:drawing>
      </w:r>
    </w:p>
    <w:p w14:paraId="4015C3CE" w14:textId="77777777" w:rsidR="00BC6896" w:rsidRDefault="00BC6896" w:rsidP="00BC6896"/>
    <w:p w14:paraId="33F63C77" w14:textId="77777777" w:rsidR="000958FE" w:rsidRDefault="000958FE"/>
    <w:sectPr w:rsidR="000958FE" w:rsidSect="00BC6896">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5F1589"/>
    <w:multiLevelType w:val="multilevel"/>
    <w:tmpl w:val="CE1E09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89497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896"/>
    <w:rsid w:val="00051B91"/>
    <w:rsid w:val="000958FE"/>
    <w:rsid w:val="000B11C7"/>
    <w:rsid w:val="000B4A55"/>
    <w:rsid w:val="001272BA"/>
    <w:rsid w:val="00144F64"/>
    <w:rsid w:val="001679CB"/>
    <w:rsid w:val="001E63A8"/>
    <w:rsid w:val="00281415"/>
    <w:rsid w:val="00405548"/>
    <w:rsid w:val="00436C5B"/>
    <w:rsid w:val="00477EDC"/>
    <w:rsid w:val="00480E7A"/>
    <w:rsid w:val="004878B9"/>
    <w:rsid w:val="004C2ABB"/>
    <w:rsid w:val="004E7E41"/>
    <w:rsid w:val="004F1681"/>
    <w:rsid w:val="005222E5"/>
    <w:rsid w:val="00531177"/>
    <w:rsid w:val="00543982"/>
    <w:rsid w:val="00594589"/>
    <w:rsid w:val="00683F86"/>
    <w:rsid w:val="008226E6"/>
    <w:rsid w:val="00823DD6"/>
    <w:rsid w:val="008C1C74"/>
    <w:rsid w:val="008D0B24"/>
    <w:rsid w:val="00900170"/>
    <w:rsid w:val="009A60B1"/>
    <w:rsid w:val="009F67D6"/>
    <w:rsid w:val="00A746D5"/>
    <w:rsid w:val="00A842F6"/>
    <w:rsid w:val="00A95A61"/>
    <w:rsid w:val="00AD2443"/>
    <w:rsid w:val="00BB1877"/>
    <w:rsid w:val="00BC6896"/>
    <w:rsid w:val="00CC21EB"/>
    <w:rsid w:val="00D20AF7"/>
    <w:rsid w:val="00D44D6D"/>
    <w:rsid w:val="00D758A2"/>
    <w:rsid w:val="00E23681"/>
    <w:rsid w:val="00FF40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B7A4E1C"/>
  <w15:chartTrackingRefBased/>
  <w15:docId w15:val="{0268BC88-B74B-6F41-A96F-0513FEB3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896"/>
    <w:pPr>
      <w:spacing w:line="480" w:lineRule="auto"/>
    </w:pPr>
    <w:rPr>
      <w:rFonts w:ascii="Times New Roman" w:eastAsia="Arial" w:hAnsi="Times New Roman" w:cs="Arial"/>
      <w:kern w:val="0"/>
      <w:szCs w:val="22"/>
      <w:lang w:val="en"/>
      <w14:ligatures w14:val="none"/>
    </w:rPr>
  </w:style>
  <w:style w:type="paragraph" w:styleId="Heading1">
    <w:name w:val="heading 1"/>
    <w:basedOn w:val="Normal"/>
    <w:next w:val="Normal"/>
    <w:link w:val="Heading1Char"/>
    <w:uiPriority w:val="9"/>
    <w:qFormat/>
    <w:rsid w:val="00BC6896"/>
    <w:pPr>
      <w:keepNext/>
      <w:keepLines/>
      <w:outlineLvl w:val="0"/>
    </w:pPr>
    <w:rPr>
      <w:b/>
      <w:sz w:val="36"/>
      <w:szCs w:val="36"/>
    </w:rPr>
  </w:style>
  <w:style w:type="paragraph" w:styleId="Heading2">
    <w:name w:val="heading 2"/>
    <w:basedOn w:val="Normal"/>
    <w:next w:val="Normal"/>
    <w:link w:val="Heading2Char"/>
    <w:uiPriority w:val="9"/>
    <w:unhideWhenUsed/>
    <w:qFormat/>
    <w:rsid w:val="00BC6896"/>
    <w:pPr>
      <w:outlineLvl w:val="1"/>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6896"/>
    <w:rPr>
      <w:rFonts w:ascii="Times New Roman" w:eastAsia="Arial" w:hAnsi="Times New Roman" w:cs="Arial"/>
      <w:b/>
      <w:kern w:val="0"/>
      <w:sz w:val="36"/>
      <w:szCs w:val="36"/>
      <w:lang w:val="en"/>
      <w14:ligatures w14:val="none"/>
    </w:rPr>
  </w:style>
  <w:style w:type="character" w:customStyle="1" w:styleId="Heading2Char">
    <w:name w:val="Heading 2 Char"/>
    <w:basedOn w:val="DefaultParagraphFont"/>
    <w:link w:val="Heading2"/>
    <w:uiPriority w:val="9"/>
    <w:rsid w:val="00BC6896"/>
    <w:rPr>
      <w:rFonts w:ascii="Times New Roman" w:eastAsia="Arial" w:hAnsi="Times New Roman" w:cs="Arial"/>
      <w:i/>
      <w:kern w:val="0"/>
      <w:szCs w:val="22"/>
      <w:lang w:val="en"/>
      <w14:ligatures w14:val="none"/>
    </w:rPr>
  </w:style>
  <w:style w:type="paragraph" w:styleId="Title">
    <w:name w:val="Title"/>
    <w:basedOn w:val="Normal"/>
    <w:next w:val="Normal"/>
    <w:link w:val="TitleChar"/>
    <w:uiPriority w:val="10"/>
    <w:qFormat/>
    <w:rsid w:val="00BC6896"/>
    <w:pPr>
      <w:keepNext/>
      <w:keepLines/>
      <w:jc w:val="center"/>
    </w:pPr>
    <w:rPr>
      <w:b/>
      <w:sz w:val="28"/>
      <w:szCs w:val="28"/>
    </w:rPr>
  </w:style>
  <w:style w:type="character" w:customStyle="1" w:styleId="TitleChar">
    <w:name w:val="Title Char"/>
    <w:basedOn w:val="DefaultParagraphFont"/>
    <w:link w:val="Title"/>
    <w:uiPriority w:val="10"/>
    <w:rsid w:val="00BC6896"/>
    <w:rPr>
      <w:rFonts w:ascii="Times New Roman" w:eastAsia="Arial" w:hAnsi="Times New Roman" w:cs="Arial"/>
      <w:b/>
      <w:kern w:val="0"/>
      <w:sz w:val="28"/>
      <w:szCs w:val="28"/>
      <w:lang w:val="en"/>
      <w14:ligatures w14:val="none"/>
    </w:rPr>
  </w:style>
  <w:style w:type="character" w:styleId="LineNumber">
    <w:name w:val="line number"/>
    <w:basedOn w:val="DefaultParagraphFont"/>
    <w:uiPriority w:val="99"/>
    <w:semiHidden/>
    <w:unhideWhenUsed/>
    <w:rsid w:val="00BC68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918E8-F1D5-5F47-969C-05D9B39AF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1082</Words>
  <Characters>6171</Characters>
  <Application>Microsoft Office Word</Application>
  <DocSecurity>0</DocSecurity>
  <Lines>51</Lines>
  <Paragraphs>14</Paragraphs>
  <ScaleCrop>false</ScaleCrop>
  <Company/>
  <LinksUpToDate>false</LinksUpToDate>
  <CharactersWithSpaces>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Anup Malani</dc:creator>
  <cp:keywords/>
  <dc:description/>
  <cp:lastModifiedBy>Anup Malani</cp:lastModifiedBy>
  <cp:revision>3</cp:revision>
  <dcterms:created xsi:type="dcterms:W3CDTF">2023-11-01T21:23:00Z</dcterms:created>
  <dcterms:modified xsi:type="dcterms:W3CDTF">2023-11-02T15:51:00Z</dcterms:modified>
</cp:coreProperties>
</file>