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69262" w14:textId="2CD6806F" w:rsidR="00211AFB" w:rsidRDefault="007258BA" w:rsidP="00C94495">
      <w:pPr>
        <w:pStyle w:val="Heading1"/>
        <w:jc w:val="center"/>
        <w:rPr>
          <w:sz w:val="28"/>
          <w:szCs w:val="28"/>
        </w:rPr>
      </w:pPr>
      <w:r>
        <w:rPr>
          <w:sz w:val="28"/>
          <w:szCs w:val="28"/>
        </w:rPr>
        <w:t>Coronavirus in the Skin of the Pangolin: Implications for SARS-CoV-2 Transmission</w:t>
      </w:r>
      <w:r w:rsidR="00C94495">
        <w:rPr>
          <w:sz w:val="28"/>
          <w:szCs w:val="28"/>
        </w:rPr>
        <w:t xml:space="preserve">? </w:t>
      </w:r>
    </w:p>
    <w:p w14:paraId="5E0A7611" w14:textId="77777777" w:rsidR="00211AFB" w:rsidRDefault="007258BA">
      <w:pPr>
        <w:pStyle w:val="Heading1"/>
        <w:rPr>
          <w:sz w:val="28"/>
          <w:szCs w:val="28"/>
          <w:lang w:val="en-US" w:eastAsia="zh-CN"/>
        </w:rPr>
      </w:pPr>
      <w:r>
        <w:rPr>
          <w:rFonts w:hint="eastAsia"/>
          <w:sz w:val="28"/>
          <w:szCs w:val="28"/>
          <w:lang w:val="en-US" w:eastAsia="zh-CN"/>
        </w:rPr>
        <w:t>Supplementary Figures</w:t>
      </w:r>
    </w:p>
    <w:p w14:paraId="52605A6B" w14:textId="77777777" w:rsidR="00211AFB" w:rsidRDefault="007258BA" w:rsidP="006F37C5">
      <w:pPr>
        <w:pStyle w:val="figurecentre"/>
        <w:ind w:firstLineChars="0" w:firstLine="0"/>
      </w:pPr>
      <w:r>
        <w:rPr>
          <w:noProof/>
        </w:rPr>
        <w:drawing>
          <wp:inline distT="0" distB="0" distL="0" distR="0" wp14:anchorId="6D5A90B6" wp14:editId="466E7B6C">
            <wp:extent cx="5488940" cy="3280410"/>
            <wp:effectExtent l="0" t="0" r="1016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488940" cy="3280410"/>
                    </a:xfrm>
                    <a:prstGeom prst="rect">
                      <a:avLst/>
                    </a:prstGeom>
                    <a:noFill/>
                    <a:ln>
                      <a:noFill/>
                    </a:ln>
                  </pic:spPr>
                </pic:pic>
              </a:graphicData>
            </a:graphic>
          </wp:inline>
        </w:drawing>
      </w:r>
      <w:bookmarkStart w:id="0" w:name="_Ref59004571"/>
    </w:p>
    <w:p w14:paraId="55799875" w14:textId="77777777" w:rsidR="00211AFB" w:rsidRDefault="007258BA">
      <w:pPr>
        <w:pStyle w:val="Heading1"/>
      </w:pPr>
      <w:r>
        <w:rPr>
          <w:rStyle w:val="Strong"/>
          <w:b/>
          <w:bCs/>
        </w:rPr>
        <w:t xml:space="preserve">Figure </w:t>
      </w:r>
      <w:bookmarkEnd w:id="0"/>
      <w:r>
        <w:rPr>
          <w:rStyle w:val="Strong"/>
          <w:b/>
          <w:bCs/>
        </w:rPr>
        <w:t xml:space="preserve">S1. Reads mapped to </w:t>
      </w:r>
      <w:proofErr w:type="spellStart"/>
      <w:r>
        <w:rPr>
          <w:rStyle w:val="Strong"/>
          <w:b/>
          <w:bCs/>
        </w:rPr>
        <w:t>pCoV</w:t>
      </w:r>
      <w:proofErr w:type="spellEnd"/>
      <w:r>
        <w:rPr>
          <w:rStyle w:val="Strong"/>
          <w:b/>
          <w:bCs/>
        </w:rPr>
        <w:t xml:space="preserve"> genome.</w:t>
      </w:r>
      <w:r>
        <w:t xml:space="preserve"> </w:t>
      </w:r>
      <w:r>
        <w:rPr>
          <w:b w:val="0"/>
          <w:bCs w:val="0"/>
        </w:rPr>
        <w:t>Most of the reads mapped to the 3’ region. However, the current library preparation protocols based on poly-A selection for short-read sequencing could lead to the cDNA fragments not uniformly distributed within transcripts and 3’ bias</w:t>
      </w:r>
      <w:r>
        <w:rPr>
          <w:b w:val="0"/>
          <w:bCs w:val="0"/>
        </w:rPr>
        <w:fldChar w:fldCharType="begin"/>
      </w:r>
      <w:r>
        <w:rPr>
          <w:b w:val="0"/>
          <w:bCs w:val="0"/>
        </w:rPr>
        <w:instrText xml:space="preserve"> ADDIN ZOTERO_ITEM CSL_CITATION {"citationID":"i4yW4Gwg","properties":{"formattedCitation":"\\super 1\\nosupersub{}","plainCitation":"1","noteIndex":0},"citationItems":[{"id":128,"uris":["http://zotero.org/users/7242262/items/U4CDYD4U"],"uri":["http://zotero.org/users/7242262/items/U4CDYD4U"],"itemData":{"id":128,"type":"article-journal","abstract":"The biochemistry of RNA-Seq library preparation results in cDNA fragments that are not uniformly distributed within the transcripts they represent. This non-uniformity must be accounted for when estimating expression levels, and we show how to perform the needed corrections using a likelihood based approach. We find improvements in expression estimates as measured by correlation with independently performed qRT-PCR and show that correction of bias leads to improved replicability of results across libraries and sequencing technologies.","container-title":"Genome Biology","DOI":"10/bcq694","ISSN":"1474-760X","issue":"3","journalAbbreviation":"Genome Biol","language":"eng","note":"PMID: 21410973\nPMCID: PMC3129672","page":"R22","source":"PubMed","title":"Improving RNA-Seq expression estimates by correcting for fragment bias","volume":"12","author":[{"family":"Roberts","given":"Adam"},{"family":"Trapnell","given":"Cole"},{"family":"Donaghey","given":"Julie"},{"family":"Rinn","given":"John L."},{"family":"Pachter","given":"Lior"}],"issued":{"date-parts":[["2011"]]}}}],"schema":"https://github.com/citation-style-language/schema/raw/master/csl-citation.json"} </w:instrText>
      </w:r>
      <w:r>
        <w:rPr>
          <w:b w:val="0"/>
          <w:bCs w:val="0"/>
        </w:rPr>
        <w:fldChar w:fldCharType="separate"/>
      </w:r>
      <w:r>
        <w:rPr>
          <w:vertAlign w:val="superscript"/>
        </w:rPr>
        <w:t>1</w:t>
      </w:r>
      <w:r>
        <w:rPr>
          <w:b w:val="0"/>
          <w:bCs w:val="0"/>
        </w:rPr>
        <w:fldChar w:fldCharType="end"/>
      </w:r>
      <w:r>
        <w:rPr>
          <w:b w:val="0"/>
          <w:bCs w:val="0"/>
        </w:rPr>
        <w:t xml:space="preserve">, which may cause the low coverage of the 5’ of the transcripts. The length of the 5’ leader sequence of each </w:t>
      </w:r>
      <w:proofErr w:type="spellStart"/>
      <w:r>
        <w:rPr>
          <w:b w:val="0"/>
          <w:bCs w:val="0"/>
        </w:rPr>
        <w:t>CoV</w:t>
      </w:r>
      <w:proofErr w:type="spellEnd"/>
      <w:r>
        <w:rPr>
          <w:b w:val="0"/>
          <w:bCs w:val="0"/>
        </w:rPr>
        <w:t xml:space="preserve"> mRNA is only about 70 nucleotides</w:t>
      </w:r>
      <w:r>
        <w:rPr>
          <w:b w:val="0"/>
          <w:bCs w:val="0"/>
        </w:rPr>
        <w:fldChar w:fldCharType="begin"/>
      </w:r>
      <w:r>
        <w:rPr>
          <w:b w:val="0"/>
          <w:bCs w:val="0"/>
        </w:rPr>
        <w:instrText xml:space="preserve"> ADDIN ZOTERO_ITEM CSL_CITATION {"citationID":"rkVvYuEe","properties":{"formattedCitation":"\\super 2\\nosupersub{}","plainCitation":"2","noteIndex":0},"citationItems":[{"id":131,"uris":["http://zotero.org/users/7242262/items/KFH6B9QX"],"uri":["http://zotero.org/users/7242262/items/KFH6B9QX"],"itemData":{"id":131,"type":"article-journal","abstract":"SARS-CoV-2 is a betacoronavirus responsible for the COVID-19 pandemic. Although the SARS-CoV-2 genome was reported recently, its transcriptomic architecture is unknown. Utilizing two complementary sequencing techniques, we present a high-resolution map of the SARS-CoV-2 transcriptome and epitranscriptome. DNA nanoball sequencing shows that the transcriptome is highly complex owing to numerous discontinuous transcription events. In addition to the canonical genomic and 9 subgenomic RNAs, SARS-CoV-2 produces transcripts encoding unknown ORFs with fusion, deletion, and/or frameshift. Using nanopore direct RNA sequencing, we further find at least 41 RNA modification sites on viral transcripts, with the most frequent motif, AAGAA. Modified RNAs have shorter poly(A) tails than unmodified RNAs, suggesting a link between the modification and the 3' tail. Functional investigation of the unknown transcripts and RNA modifications discovered in this study will open new directions to our understanding of the life cycle and pathogenicity of SARS-CoV-2.","container-title":"Cell","DOI":"10/ggtxg8","ISSN":"1097-4172","issue":"4","journalAbbreviation":"Cell","language":"eng","note":"PMID: 32330414\nPMCID: PMC7179501","page":"914-921.e10","source":"PubMed","title":"The Architecture of SARS-CoV-2 Transcriptome","volume":"181","author":[{"family":"Kim","given":"Dongwan"},{"family":"Lee","given":"Joo-Yeon"},{"family":"Yang","given":"Jeong-Sun"},{"family":"Kim","given":"Jun Won"},{"family":"Kim","given":"V. Narry"},{"family":"Chang","given":"Hyeshik"}],"issued":{"date-parts":[["2020",5,14]]}}}],"schema":"https://github.com/citation-style-language/schema/raw/master/csl-citation.json"} </w:instrText>
      </w:r>
      <w:r>
        <w:rPr>
          <w:b w:val="0"/>
          <w:bCs w:val="0"/>
        </w:rPr>
        <w:fldChar w:fldCharType="separate"/>
      </w:r>
      <w:r>
        <w:rPr>
          <w:vertAlign w:val="superscript"/>
        </w:rPr>
        <w:t>2</w:t>
      </w:r>
      <w:r>
        <w:rPr>
          <w:b w:val="0"/>
          <w:bCs w:val="0"/>
        </w:rPr>
        <w:fldChar w:fldCharType="end"/>
      </w:r>
      <w:r>
        <w:rPr>
          <w:b w:val="0"/>
          <w:bCs w:val="0"/>
        </w:rPr>
        <w:t xml:space="preserve">, so the mRNA formed from the long-distance fusion between sequences can be better detected by long-read sequencers. </w:t>
      </w:r>
      <w:proofErr w:type="spellStart"/>
      <w:r>
        <w:rPr>
          <w:b w:val="0"/>
          <w:bCs w:val="0"/>
        </w:rPr>
        <w:t>pCoV</w:t>
      </w:r>
      <w:proofErr w:type="spellEnd"/>
      <w:r>
        <w:rPr>
          <w:b w:val="0"/>
          <w:bCs w:val="0"/>
        </w:rPr>
        <w:t xml:space="preserve">, pangolin coronavirus. </w:t>
      </w:r>
      <w:r>
        <w:rPr>
          <w:b w:val="0"/>
          <w:bCs w:val="0"/>
        </w:rPr>
        <w:br w:type="page"/>
      </w:r>
    </w:p>
    <w:p w14:paraId="34DA9553" w14:textId="5F2A1AFF" w:rsidR="00211AFB" w:rsidRDefault="007258BA" w:rsidP="006F37C5">
      <w:pPr>
        <w:ind w:firstLineChars="0" w:firstLine="0"/>
      </w:pPr>
      <w:r>
        <w:rPr>
          <w:noProof/>
        </w:rPr>
        <w:lastRenderedPageBreak/>
        <w:drawing>
          <wp:inline distT="0" distB="0" distL="0" distR="0" wp14:anchorId="1781A7E4" wp14:editId="75379B96">
            <wp:extent cx="5667375" cy="6968536"/>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67879" cy="6969156"/>
                    </a:xfrm>
                    <a:prstGeom prst="rect">
                      <a:avLst/>
                    </a:prstGeom>
                    <a:noFill/>
                    <a:ln>
                      <a:noFill/>
                    </a:ln>
                  </pic:spPr>
                </pic:pic>
              </a:graphicData>
            </a:graphic>
          </wp:inline>
        </w:drawing>
      </w:r>
      <w:r>
        <w:rPr>
          <w:rStyle w:val="Strong"/>
        </w:rPr>
        <w:t xml:space="preserve"> Figure S2. Genes associated with COVID-19 pathway.</w:t>
      </w:r>
      <w:r>
        <w:t xml:space="preserve"> Red and green indicates up- and down-regulated in </w:t>
      </w:r>
      <w:proofErr w:type="spellStart"/>
      <w:r>
        <w:t>Dahu</w:t>
      </w:r>
      <w:proofErr w:type="spellEnd"/>
      <w:r>
        <w:t xml:space="preserve"> skin. Legend is shown in log</w:t>
      </w:r>
      <w:r>
        <w:rPr>
          <w:rStyle w:val="subscriptChar"/>
        </w:rPr>
        <w:t>2</w:t>
      </w:r>
      <w:r>
        <w:t xml:space="preserve"> fold change scale. </w:t>
      </w:r>
      <w:r>
        <w:br w:type="page"/>
      </w:r>
    </w:p>
    <w:p w14:paraId="409F5C4E" w14:textId="39E2B847" w:rsidR="00211AFB" w:rsidRDefault="00946C23" w:rsidP="006F37C5">
      <w:pPr>
        <w:pStyle w:val="figurecentre"/>
        <w:ind w:firstLineChars="0" w:firstLine="0"/>
        <w:rPr>
          <w:b/>
          <w:bCs/>
          <w:sz w:val="28"/>
          <w:szCs w:val="28"/>
          <w:lang w:val="en-US" w:eastAsia="zh-CN"/>
        </w:rPr>
      </w:pPr>
      <w:r>
        <w:rPr>
          <w:noProof/>
        </w:rPr>
        <w:lastRenderedPageBreak/>
        <w:drawing>
          <wp:inline distT="0" distB="0" distL="0" distR="0" wp14:anchorId="165BE7B1" wp14:editId="5F4374BF">
            <wp:extent cx="4316730" cy="6815455"/>
            <wp:effectExtent l="0" t="0" r="762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16730" cy="6815455"/>
                    </a:xfrm>
                    <a:prstGeom prst="rect">
                      <a:avLst/>
                    </a:prstGeom>
                    <a:noFill/>
                    <a:ln>
                      <a:noFill/>
                    </a:ln>
                  </pic:spPr>
                </pic:pic>
              </a:graphicData>
            </a:graphic>
          </wp:inline>
        </w:drawing>
      </w:r>
    </w:p>
    <w:p w14:paraId="3CA4FD4B" w14:textId="77777777" w:rsidR="00211AFB" w:rsidRDefault="007258BA">
      <w:pPr>
        <w:ind w:firstLineChars="0" w:firstLine="0"/>
        <w:rPr>
          <w:lang w:val="en-US" w:eastAsia="zh-CN"/>
        </w:rPr>
      </w:pPr>
      <w:bookmarkStart w:id="1" w:name="_Ref61169519"/>
      <w:r>
        <w:rPr>
          <w:rStyle w:val="Strong"/>
        </w:rPr>
        <w:t>Figure S3.</w:t>
      </w:r>
      <w:bookmarkEnd w:id="1"/>
      <w:r>
        <w:rPr>
          <w:rStyle w:val="Strong"/>
        </w:rPr>
        <w:t xml:space="preserve"> The </w:t>
      </w:r>
      <w:proofErr w:type="gramStart"/>
      <w:r>
        <w:rPr>
          <w:rStyle w:val="Strong"/>
        </w:rPr>
        <w:t>up-regulation</w:t>
      </w:r>
      <w:proofErr w:type="gramEnd"/>
      <w:r>
        <w:rPr>
          <w:rStyle w:val="Strong"/>
        </w:rPr>
        <w:t xml:space="preserve"> of ribosomal proteins in </w:t>
      </w:r>
      <w:proofErr w:type="spellStart"/>
      <w:r>
        <w:rPr>
          <w:rStyle w:val="Strong"/>
        </w:rPr>
        <w:t>Dahu</w:t>
      </w:r>
      <w:proofErr w:type="spellEnd"/>
      <w:r>
        <w:rPr>
          <w:rStyle w:val="Strong"/>
        </w:rPr>
        <w:t xml:space="preserve"> skin.</w:t>
      </w:r>
      <w:r>
        <w:t xml:space="preserve"> </w:t>
      </w:r>
      <w:r>
        <w:rPr>
          <w:rStyle w:val="Strong"/>
        </w:rPr>
        <w:t>(A)</w:t>
      </w:r>
      <w:r>
        <w:t xml:space="preserve"> The expression profile of all the ribosomal proteins in </w:t>
      </w:r>
      <w:proofErr w:type="spellStart"/>
      <w:r>
        <w:t>Dahu</w:t>
      </w:r>
      <w:proofErr w:type="spellEnd"/>
      <w:r>
        <w:t xml:space="preserve"> skin, and </w:t>
      </w:r>
      <w:r>
        <w:rPr>
          <w:rStyle w:val="Strong"/>
        </w:rPr>
        <w:t xml:space="preserve">(B) </w:t>
      </w:r>
      <w:proofErr w:type="spellStart"/>
      <w:r>
        <w:rPr>
          <w:rStyle w:val="Strong"/>
          <w:b w:val="0"/>
          <w:bCs w:val="0"/>
        </w:rPr>
        <w:t>Dahu</w:t>
      </w:r>
      <w:proofErr w:type="spellEnd"/>
      <w:r>
        <w:rPr>
          <w:rStyle w:val="Strong"/>
          <w:b w:val="0"/>
          <w:bCs w:val="0"/>
        </w:rPr>
        <w:t xml:space="preserve"> </w:t>
      </w:r>
      <w:proofErr w:type="gramStart"/>
      <w:r>
        <w:rPr>
          <w:rStyle w:val="Strong"/>
          <w:b w:val="0"/>
          <w:bCs w:val="0"/>
        </w:rPr>
        <w:t>skin-specific</w:t>
      </w:r>
      <w:proofErr w:type="gramEnd"/>
      <w:r>
        <w:rPr>
          <w:rStyle w:val="Strong"/>
          <w:b w:val="0"/>
          <w:bCs w:val="0"/>
        </w:rPr>
        <w:t xml:space="preserve"> DEGs are highlighte</w:t>
      </w:r>
      <w:r>
        <w:t>d. Legend is shown in log</w:t>
      </w:r>
      <w:r>
        <w:rPr>
          <w:rStyle w:val="subscriptChar"/>
        </w:rPr>
        <w:t>2</w:t>
      </w:r>
      <w:r>
        <w:t xml:space="preserve"> fold change scale. </w:t>
      </w:r>
      <w:r>
        <w:rPr>
          <w:lang w:val="en-US" w:eastAsia="zh-CN"/>
        </w:rPr>
        <w:br w:type="page"/>
      </w:r>
    </w:p>
    <w:p w14:paraId="2221F5BE" w14:textId="767CCF8D" w:rsidR="00211AFB" w:rsidRDefault="00345D73">
      <w:pPr>
        <w:pStyle w:val="figurecentre"/>
        <w:rPr>
          <w:lang w:val="en-US" w:eastAsia="zh-CN"/>
        </w:rPr>
      </w:pPr>
      <w:r>
        <w:rPr>
          <w:noProof/>
        </w:rPr>
        <w:lastRenderedPageBreak/>
        <w:drawing>
          <wp:inline distT="0" distB="0" distL="0" distR="0" wp14:anchorId="44C2FA81" wp14:editId="10152672">
            <wp:extent cx="3360717" cy="7919603"/>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2351" cy="7923454"/>
                    </a:xfrm>
                    <a:prstGeom prst="rect">
                      <a:avLst/>
                    </a:prstGeom>
                    <a:noFill/>
                    <a:ln>
                      <a:noFill/>
                    </a:ln>
                  </pic:spPr>
                </pic:pic>
              </a:graphicData>
            </a:graphic>
          </wp:inline>
        </w:drawing>
      </w:r>
    </w:p>
    <w:p w14:paraId="0BDD507F" w14:textId="1A7CCB59" w:rsidR="00211AFB" w:rsidRDefault="007258BA">
      <w:pPr>
        <w:ind w:firstLineChars="0" w:firstLine="0"/>
        <w:rPr>
          <w:b/>
          <w:bCs/>
          <w:sz w:val="28"/>
          <w:szCs w:val="28"/>
          <w:lang w:val="en-US" w:eastAsia="zh-CN"/>
        </w:rPr>
      </w:pPr>
      <w:r>
        <w:rPr>
          <w:rStyle w:val="Strong"/>
        </w:rPr>
        <w:lastRenderedPageBreak/>
        <w:t>Figure S</w:t>
      </w:r>
      <w:r>
        <w:rPr>
          <w:rStyle w:val="Strong"/>
          <w:lang w:val="en-US" w:eastAsia="zh-CN"/>
        </w:rPr>
        <w:t>4</w:t>
      </w:r>
      <w:r>
        <w:rPr>
          <w:rStyle w:val="Strong"/>
        </w:rPr>
        <w:t>.</w:t>
      </w:r>
      <w:r>
        <w:rPr>
          <w:rStyle w:val="Strong"/>
          <w:rFonts w:hint="eastAsia"/>
          <w:lang w:val="en-US" w:eastAsia="zh-CN"/>
        </w:rPr>
        <w:t xml:space="preserve"> Examples of differentially expressed </w:t>
      </w:r>
      <w:r>
        <w:rPr>
          <w:rStyle w:val="Strong"/>
          <w:lang w:val="en-US" w:eastAsia="zh-CN"/>
        </w:rPr>
        <w:t>viral genes</w:t>
      </w:r>
      <w:r>
        <w:rPr>
          <w:rStyle w:val="Strong"/>
          <w:rFonts w:hint="eastAsia"/>
          <w:lang w:val="en-US" w:eastAsia="zh-CN"/>
        </w:rPr>
        <w:t xml:space="preserve"> found in </w:t>
      </w:r>
      <w:proofErr w:type="spellStart"/>
      <w:r>
        <w:rPr>
          <w:rStyle w:val="Strong"/>
          <w:rFonts w:hint="eastAsia"/>
          <w:lang w:val="en-US" w:eastAsia="zh-CN"/>
        </w:rPr>
        <w:t>Dahu</w:t>
      </w:r>
      <w:proofErr w:type="spellEnd"/>
      <w:r>
        <w:rPr>
          <w:rStyle w:val="Strong"/>
          <w:rFonts w:hint="eastAsia"/>
          <w:lang w:val="en-US" w:eastAsia="zh-CN"/>
        </w:rPr>
        <w:t xml:space="preserve"> skin with </w:t>
      </w:r>
      <w:proofErr w:type="spellStart"/>
      <w:r>
        <w:rPr>
          <w:rStyle w:val="Strong"/>
          <w:rFonts w:hint="eastAsia"/>
          <w:lang w:val="en-US" w:eastAsia="zh-CN"/>
        </w:rPr>
        <w:t>pCoV</w:t>
      </w:r>
      <w:proofErr w:type="spellEnd"/>
      <w:r>
        <w:rPr>
          <w:rStyle w:val="Strong"/>
          <w:rFonts w:hint="eastAsia"/>
          <w:lang w:val="en-US" w:eastAsia="zh-CN"/>
        </w:rPr>
        <w:t xml:space="preserve"> infection.</w:t>
      </w:r>
      <w:r w:rsidRPr="00371D3F">
        <w:rPr>
          <w:rStyle w:val="Strong"/>
          <w:b w:val="0"/>
          <w:bCs w:val="0"/>
          <w:lang w:val="en-US" w:eastAsia="zh-CN"/>
        </w:rPr>
        <w:t xml:space="preserve"> </w:t>
      </w:r>
      <w:r w:rsidR="00371D3F" w:rsidRPr="00371D3F">
        <w:rPr>
          <w:lang w:val="en-US" w:eastAsia="zh-CN"/>
        </w:rPr>
        <w:t>(A)</w:t>
      </w:r>
      <w:r w:rsidR="00371D3F">
        <w:rPr>
          <w:sz w:val="28"/>
          <w:szCs w:val="28"/>
          <w:lang w:val="en-US" w:eastAsia="zh-CN"/>
        </w:rPr>
        <w:t xml:space="preserve"> </w:t>
      </w:r>
      <w:r w:rsidR="00371D3F" w:rsidRPr="00371D3F">
        <w:rPr>
          <w:lang w:val="en-US" w:eastAsia="zh-CN"/>
        </w:rPr>
        <w:t>virus|sp|P07572|POL_MPMV_3170</w:t>
      </w:r>
      <w:r w:rsidR="000C0426">
        <w:rPr>
          <w:lang w:val="en-US" w:eastAsia="zh-CN"/>
        </w:rPr>
        <w:t xml:space="preserve">, which is a </w:t>
      </w:r>
      <w:r w:rsidR="000C0426" w:rsidRPr="000C0426">
        <w:rPr>
          <w:lang w:val="en-US" w:eastAsia="zh-CN"/>
        </w:rPr>
        <w:t>gag-pro-pol</w:t>
      </w:r>
      <w:r w:rsidR="000C0426">
        <w:rPr>
          <w:lang w:val="en-US" w:eastAsia="zh-CN"/>
        </w:rPr>
        <w:t xml:space="preserve"> gene, encoding </w:t>
      </w:r>
      <w:r w:rsidR="000C0426" w:rsidRPr="000C0426">
        <w:rPr>
          <w:lang w:val="en-US" w:eastAsia="zh-CN"/>
        </w:rPr>
        <w:t>Gag-Pro-Pol polyprotein</w:t>
      </w:r>
      <w:r w:rsidR="000C0426">
        <w:rPr>
          <w:lang w:val="en-US" w:eastAsia="zh-CN"/>
        </w:rPr>
        <w:t xml:space="preserve">. It is originated from a </w:t>
      </w:r>
      <w:r w:rsidR="000C0426" w:rsidRPr="000C0426">
        <w:rPr>
          <w:lang w:val="en-US" w:eastAsia="zh-CN"/>
        </w:rPr>
        <w:t>Mason-Pfizer monkey virus</w:t>
      </w:r>
      <w:r w:rsidR="000C0426">
        <w:rPr>
          <w:lang w:val="en-US" w:eastAsia="zh-CN"/>
        </w:rPr>
        <w:t xml:space="preserve"> (</w:t>
      </w:r>
      <w:proofErr w:type="spellStart"/>
      <w:r w:rsidR="000C0426">
        <w:rPr>
          <w:lang w:val="en-US" w:eastAsia="zh-CN"/>
        </w:rPr>
        <w:t>UniProt</w:t>
      </w:r>
      <w:proofErr w:type="spellEnd"/>
      <w:r w:rsidR="000C0426">
        <w:rPr>
          <w:lang w:val="en-US" w:eastAsia="zh-CN"/>
        </w:rPr>
        <w:t xml:space="preserve"> ID </w:t>
      </w:r>
      <w:r w:rsidR="000C0426" w:rsidRPr="000C0426">
        <w:rPr>
          <w:lang w:val="en-US" w:eastAsia="zh-CN"/>
        </w:rPr>
        <w:t>P07572</w:t>
      </w:r>
      <w:r w:rsidR="000C0426">
        <w:rPr>
          <w:lang w:val="en-US" w:eastAsia="zh-CN"/>
        </w:rPr>
        <w:t>)</w:t>
      </w:r>
      <w:r w:rsidR="00371D3F">
        <w:rPr>
          <w:lang w:val="en-US" w:eastAsia="zh-CN"/>
        </w:rPr>
        <w:t xml:space="preserve"> (B) </w:t>
      </w:r>
      <w:r w:rsidR="00371D3F" w:rsidRPr="00371D3F">
        <w:rPr>
          <w:lang w:val="en-US" w:eastAsia="zh-CN"/>
        </w:rPr>
        <w:t>virus|sp|Q9TTC0|ENV_KORV_5205</w:t>
      </w:r>
      <w:r w:rsidR="00371D3F">
        <w:rPr>
          <w:lang w:val="en-US" w:eastAsia="zh-CN"/>
        </w:rPr>
        <w:t>,</w:t>
      </w:r>
      <w:r w:rsidR="000C0426">
        <w:rPr>
          <w:lang w:val="en-US" w:eastAsia="zh-CN"/>
        </w:rPr>
        <w:t xml:space="preserve"> which is a</w:t>
      </w:r>
      <w:r w:rsidR="003C640D">
        <w:rPr>
          <w:lang w:val="en-US" w:eastAsia="zh-CN"/>
        </w:rPr>
        <w:t>n</w:t>
      </w:r>
      <w:r w:rsidR="000C0426">
        <w:rPr>
          <w:lang w:val="en-US" w:eastAsia="zh-CN"/>
        </w:rPr>
        <w:t xml:space="preserve"> env gene, encoding </w:t>
      </w:r>
      <w:r w:rsidR="000C0426" w:rsidRPr="000C0426">
        <w:rPr>
          <w:lang w:val="en-US" w:eastAsia="zh-CN"/>
        </w:rPr>
        <w:t>Envelope glycoprotein</w:t>
      </w:r>
      <w:r w:rsidR="000C0426">
        <w:rPr>
          <w:lang w:val="en-US" w:eastAsia="zh-CN"/>
        </w:rPr>
        <w:t xml:space="preserve">. It is originated from a </w:t>
      </w:r>
      <w:r w:rsidR="000C0426" w:rsidRPr="000C0426">
        <w:rPr>
          <w:lang w:val="en-US" w:eastAsia="zh-CN"/>
        </w:rPr>
        <w:t>Koala retrovirus</w:t>
      </w:r>
      <w:r w:rsidR="000C0426">
        <w:rPr>
          <w:lang w:val="en-US" w:eastAsia="zh-CN"/>
        </w:rPr>
        <w:t xml:space="preserve"> (</w:t>
      </w:r>
      <w:proofErr w:type="spellStart"/>
      <w:r w:rsidR="000C0426">
        <w:rPr>
          <w:lang w:val="en-US" w:eastAsia="zh-CN"/>
        </w:rPr>
        <w:t>UniProt</w:t>
      </w:r>
      <w:proofErr w:type="spellEnd"/>
      <w:r w:rsidR="000C0426">
        <w:rPr>
          <w:lang w:val="en-US" w:eastAsia="zh-CN"/>
        </w:rPr>
        <w:t xml:space="preserve"> ID </w:t>
      </w:r>
      <w:r w:rsidR="000C0426" w:rsidRPr="000C0426">
        <w:rPr>
          <w:lang w:val="en-US" w:eastAsia="zh-CN"/>
        </w:rPr>
        <w:t>Q9TTC0</w:t>
      </w:r>
      <w:r w:rsidR="000C0426">
        <w:rPr>
          <w:lang w:val="en-US" w:eastAsia="zh-CN"/>
        </w:rPr>
        <w:t>)</w:t>
      </w:r>
      <w:r w:rsidR="00371D3F">
        <w:rPr>
          <w:lang w:val="en-US" w:eastAsia="zh-CN"/>
        </w:rPr>
        <w:t xml:space="preserve"> (C) </w:t>
      </w:r>
      <w:r w:rsidR="00371D3F" w:rsidRPr="00371D3F">
        <w:rPr>
          <w:lang w:val="en-US" w:eastAsia="zh-CN"/>
        </w:rPr>
        <w:t>virus|sp|P03364|POL_SMRVH_3687</w:t>
      </w:r>
      <w:r w:rsidR="00371D3F">
        <w:rPr>
          <w:lang w:val="en-US" w:eastAsia="zh-CN"/>
        </w:rPr>
        <w:t>,</w:t>
      </w:r>
      <w:r w:rsidR="000C0426">
        <w:rPr>
          <w:lang w:val="en-US" w:eastAsia="zh-CN"/>
        </w:rPr>
        <w:t xml:space="preserve"> which is a </w:t>
      </w:r>
      <w:r w:rsidR="000C0426" w:rsidRPr="000C0426">
        <w:rPr>
          <w:lang w:val="en-US" w:eastAsia="zh-CN"/>
        </w:rPr>
        <w:t>pol</w:t>
      </w:r>
      <w:r w:rsidR="000C0426">
        <w:rPr>
          <w:lang w:val="en-US" w:eastAsia="zh-CN"/>
        </w:rPr>
        <w:t xml:space="preserve"> gene, encoding </w:t>
      </w:r>
      <w:r w:rsidR="000C0426" w:rsidRPr="000C0426">
        <w:rPr>
          <w:lang w:val="en-US" w:eastAsia="zh-CN"/>
        </w:rPr>
        <w:t>Gag-Pro-Pol polyprotein</w:t>
      </w:r>
      <w:r w:rsidR="000C0426">
        <w:rPr>
          <w:lang w:val="en-US" w:eastAsia="zh-CN"/>
        </w:rPr>
        <w:t xml:space="preserve">. It is originated from a </w:t>
      </w:r>
      <w:r w:rsidR="000C0426" w:rsidRPr="000C0426">
        <w:rPr>
          <w:lang w:val="en-US" w:eastAsia="zh-CN"/>
        </w:rPr>
        <w:t>Squirrel monkey retrovirus</w:t>
      </w:r>
      <w:r w:rsidR="000C0426">
        <w:rPr>
          <w:lang w:val="en-US" w:eastAsia="zh-CN"/>
        </w:rPr>
        <w:t xml:space="preserve"> (</w:t>
      </w:r>
      <w:proofErr w:type="spellStart"/>
      <w:r w:rsidR="000C0426">
        <w:rPr>
          <w:lang w:val="en-US" w:eastAsia="zh-CN"/>
        </w:rPr>
        <w:t>UniProt</w:t>
      </w:r>
      <w:proofErr w:type="spellEnd"/>
      <w:r w:rsidR="000C0426">
        <w:rPr>
          <w:lang w:val="en-US" w:eastAsia="zh-CN"/>
        </w:rPr>
        <w:t xml:space="preserve"> ID </w:t>
      </w:r>
      <w:r w:rsidR="000C0426" w:rsidRPr="000C0426">
        <w:rPr>
          <w:lang w:val="en-US" w:eastAsia="zh-CN"/>
        </w:rPr>
        <w:t>P03364</w:t>
      </w:r>
      <w:r w:rsidR="000C0426">
        <w:rPr>
          <w:lang w:val="en-US" w:eastAsia="zh-CN"/>
        </w:rPr>
        <w:t>).</w:t>
      </w:r>
      <w:r w:rsidR="00371D3F">
        <w:rPr>
          <w:lang w:val="en-US" w:eastAsia="zh-CN"/>
        </w:rPr>
        <w:t xml:space="preserve"> (D) </w:t>
      </w:r>
      <w:r w:rsidR="00371D3F" w:rsidRPr="00371D3F">
        <w:rPr>
          <w:lang w:val="en-US" w:eastAsia="zh-CN"/>
        </w:rPr>
        <w:t>virus|sp|P03340|GAG_FSVMD_4468</w:t>
      </w:r>
      <w:r w:rsidR="002D1CD4">
        <w:rPr>
          <w:lang w:val="en-US" w:eastAsia="zh-CN"/>
        </w:rPr>
        <w:t xml:space="preserve">, which is a </w:t>
      </w:r>
      <w:r w:rsidR="002D1CD4" w:rsidRPr="002D1CD4">
        <w:rPr>
          <w:lang w:val="en-US" w:eastAsia="zh-CN"/>
        </w:rPr>
        <w:t>gag</w:t>
      </w:r>
      <w:r w:rsidR="002D1CD4">
        <w:rPr>
          <w:lang w:val="en-US" w:eastAsia="zh-CN"/>
        </w:rPr>
        <w:t xml:space="preserve"> gene, encoding </w:t>
      </w:r>
      <w:r w:rsidR="002D1CD4" w:rsidRPr="002D1CD4">
        <w:rPr>
          <w:lang w:val="en-US" w:eastAsia="zh-CN"/>
        </w:rPr>
        <w:t>Gag polyprotein</w:t>
      </w:r>
      <w:r w:rsidR="002D1CD4">
        <w:rPr>
          <w:lang w:val="en-US" w:eastAsia="zh-CN"/>
        </w:rPr>
        <w:t xml:space="preserve">. It is originated from a </w:t>
      </w:r>
      <w:r w:rsidR="002D1CD4" w:rsidRPr="002D1CD4">
        <w:rPr>
          <w:lang w:val="en-US" w:eastAsia="zh-CN"/>
        </w:rPr>
        <w:t>Feline sarcoma virus</w:t>
      </w:r>
      <w:r w:rsidR="002D1CD4">
        <w:rPr>
          <w:lang w:val="en-US" w:eastAsia="zh-CN"/>
        </w:rPr>
        <w:t xml:space="preserve"> (</w:t>
      </w:r>
      <w:proofErr w:type="spellStart"/>
      <w:r w:rsidR="002D1CD4">
        <w:rPr>
          <w:lang w:val="en-US" w:eastAsia="zh-CN"/>
        </w:rPr>
        <w:t>UniProt</w:t>
      </w:r>
      <w:proofErr w:type="spellEnd"/>
      <w:r w:rsidR="002D1CD4">
        <w:rPr>
          <w:lang w:val="en-US" w:eastAsia="zh-CN"/>
        </w:rPr>
        <w:t xml:space="preserve"> ID </w:t>
      </w:r>
      <w:r w:rsidR="002D1CD4" w:rsidRPr="002D1CD4">
        <w:rPr>
          <w:lang w:val="en-US" w:eastAsia="zh-CN"/>
        </w:rPr>
        <w:t>P03340</w:t>
      </w:r>
      <w:r w:rsidR="002D1CD4">
        <w:rPr>
          <w:lang w:val="en-US" w:eastAsia="zh-CN"/>
        </w:rPr>
        <w:t>)</w:t>
      </w:r>
      <w:r w:rsidR="00371D3F">
        <w:rPr>
          <w:lang w:val="en-US" w:eastAsia="zh-CN"/>
        </w:rPr>
        <w:t xml:space="preserve">. </w:t>
      </w:r>
      <w:r w:rsidR="000C0426">
        <w:rPr>
          <w:lang w:val="en-US" w:eastAsia="zh-CN"/>
        </w:rPr>
        <w:t xml:space="preserve">Each plot has six tracks. The top track shows the genome coordinates. The non-infected and infected pangolin skin read mapping is </w:t>
      </w:r>
      <w:r w:rsidR="000C0426" w:rsidRPr="000C0426">
        <w:rPr>
          <w:lang w:val="en-US" w:eastAsia="zh-CN"/>
        </w:rPr>
        <w:t>underneath</w:t>
      </w:r>
      <w:r w:rsidR="000C0426">
        <w:rPr>
          <w:lang w:val="en-US" w:eastAsia="zh-CN"/>
        </w:rPr>
        <w:t xml:space="preserve">. The blue and red alignments indicates forward and reverse directions. The ERV gene is shown on the bottom. </w:t>
      </w:r>
      <w:r>
        <w:rPr>
          <w:sz w:val="28"/>
          <w:szCs w:val="28"/>
          <w:lang w:val="en-US" w:eastAsia="zh-CN"/>
        </w:rPr>
        <w:br w:type="page"/>
      </w:r>
    </w:p>
    <w:p w14:paraId="61C16DCA" w14:textId="4069F55B" w:rsidR="00211AFB" w:rsidRDefault="00E36397">
      <w:pPr>
        <w:pStyle w:val="figurecentre"/>
        <w:ind w:firstLineChars="0" w:firstLine="0"/>
        <w:rPr>
          <w:rStyle w:val="Strong"/>
          <w:lang w:val="en-US" w:eastAsia="zh-CN"/>
        </w:rPr>
      </w:pPr>
      <w:r>
        <w:rPr>
          <w:noProof/>
        </w:rPr>
        <w:lastRenderedPageBreak/>
        <w:drawing>
          <wp:inline distT="0" distB="0" distL="0" distR="0" wp14:anchorId="15C0E0CE" wp14:editId="3612987F">
            <wp:extent cx="5486400" cy="5923280"/>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5923280"/>
                    </a:xfrm>
                    <a:prstGeom prst="rect">
                      <a:avLst/>
                    </a:prstGeom>
                    <a:noFill/>
                    <a:ln>
                      <a:noFill/>
                    </a:ln>
                  </pic:spPr>
                </pic:pic>
              </a:graphicData>
            </a:graphic>
          </wp:inline>
        </w:drawing>
      </w:r>
    </w:p>
    <w:p w14:paraId="46AB8EF6" w14:textId="3E98506E" w:rsidR="008403EB" w:rsidRPr="008403EB" w:rsidRDefault="007258BA">
      <w:pPr>
        <w:ind w:firstLineChars="0" w:firstLine="0"/>
        <w:rPr>
          <w:sz w:val="28"/>
          <w:szCs w:val="28"/>
          <w:lang w:val="en-US" w:eastAsia="zh-CN"/>
        </w:rPr>
      </w:pPr>
      <w:r>
        <w:rPr>
          <w:rStyle w:val="Strong"/>
        </w:rPr>
        <w:t>Figure S</w:t>
      </w:r>
      <w:r>
        <w:rPr>
          <w:rStyle w:val="Strong"/>
          <w:lang w:val="en-US" w:eastAsia="zh-CN"/>
        </w:rPr>
        <w:t>5</w:t>
      </w:r>
      <w:r>
        <w:rPr>
          <w:rStyle w:val="Strong"/>
        </w:rPr>
        <w:t>.</w:t>
      </w:r>
      <w:r>
        <w:rPr>
          <w:rStyle w:val="Strong"/>
          <w:rFonts w:hint="eastAsia"/>
          <w:lang w:val="en-US" w:eastAsia="zh-CN"/>
        </w:rPr>
        <w:t xml:space="preserve"> </w:t>
      </w:r>
      <w:r>
        <w:rPr>
          <w:rStyle w:val="Strong"/>
          <w:lang w:val="en-US" w:eastAsia="zh-CN"/>
        </w:rPr>
        <w:t xml:space="preserve">Compositions of </w:t>
      </w:r>
      <w:r w:rsidR="00F92032">
        <w:rPr>
          <w:rStyle w:val="Strong"/>
          <w:lang w:val="en-US" w:eastAsia="zh-CN"/>
        </w:rPr>
        <w:t>ERV</w:t>
      </w:r>
      <w:r>
        <w:rPr>
          <w:rStyle w:val="Strong"/>
          <w:lang w:val="en-US" w:eastAsia="zh-CN"/>
        </w:rPr>
        <w:t xml:space="preserve"> genes in the pangolin genome</w:t>
      </w:r>
      <w:r>
        <w:rPr>
          <w:rStyle w:val="Strong"/>
          <w:rFonts w:hint="eastAsia"/>
          <w:lang w:val="en-US" w:eastAsia="zh-CN"/>
        </w:rPr>
        <w:t>.</w:t>
      </w:r>
      <w:r>
        <w:rPr>
          <w:rStyle w:val="Strong"/>
          <w:b w:val="0"/>
          <w:bCs w:val="0"/>
          <w:lang w:val="en-US" w:eastAsia="zh-CN"/>
        </w:rPr>
        <w:t xml:space="preserve"> (A) </w:t>
      </w:r>
      <w:r>
        <w:t xml:space="preserve">Breakdown of </w:t>
      </w:r>
      <w:r w:rsidR="00720912">
        <w:t>ERV</w:t>
      </w:r>
      <w:r>
        <w:t xml:space="preserve"> gene types. </w:t>
      </w:r>
      <w:r>
        <w:rPr>
          <w:rStyle w:val="Strong"/>
          <w:b w:val="0"/>
          <w:bCs w:val="0"/>
          <w:lang w:val="en-US" w:eastAsia="zh-CN"/>
        </w:rPr>
        <w:t>(</w:t>
      </w:r>
      <w:r w:rsidR="00720912">
        <w:rPr>
          <w:rStyle w:val="Strong"/>
          <w:b w:val="0"/>
          <w:bCs w:val="0"/>
          <w:lang w:val="en-US" w:eastAsia="zh-CN"/>
        </w:rPr>
        <w:t>B</w:t>
      </w:r>
      <w:r>
        <w:rPr>
          <w:rStyle w:val="Strong"/>
          <w:b w:val="0"/>
          <w:bCs w:val="0"/>
          <w:lang w:val="en-US" w:eastAsia="zh-CN"/>
        </w:rPr>
        <w:t xml:space="preserve">) </w:t>
      </w:r>
      <w:r>
        <w:t xml:space="preserve">Breakdown of </w:t>
      </w:r>
      <w:r w:rsidR="00720912">
        <w:t>ERV</w:t>
      </w:r>
      <w:r>
        <w:t xml:space="preserve">. </w:t>
      </w:r>
      <w:r>
        <w:rPr>
          <w:sz w:val="28"/>
          <w:szCs w:val="28"/>
          <w:lang w:val="en-US" w:eastAsia="zh-CN"/>
        </w:rPr>
        <w:br w:type="page"/>
      </w:r>
    </w:p>
    <w:p w14:paraId="33BF01E1" w14:textId="77777777" w:rsidR="00211AFB" w:rsidRDefault="007258BA">
      <w:pPr>
        <w:pStyle w:val="Heading1"/>
        <w:rPr>
          <w:sz w:val="28"/>
          <w:szCs w:val="28"/>
          <w:lang w:val="en-US" w:eastAsia="zh-CN"/>
        </w:rPr>
      </w:pPr>
      <w:r>
        <w:rPr>
          <w:rFonts w:hint="eastAsia"/>
          <w:sz w:val="28"/>
          <w:szCs w:val="28"/>
          <w:lang w:val="en-US" w:eastAsia="zh-CN"/>
        </w:rPr>
        <w:lastRenderedPageBreak/>
        <w:t>Supplementary Methods</w:t>
      </w:r>
    </w:p>
    <w:p w14:paraId="41B7DBFF" w14:textId="77777777" w:rsidR="00211AFB" w:rsidRDefault="007258BA">
      <w:pPr>
        <w:pStyle w:val="Heading1"/>
      </w:pPr>
      <w:r>
        <w:rPr>
          <w:rStyle w:val="Emphasis"/>
          <w:i w:val="0"/>
          <w:iCs w:val="0"/>
        </w:rPr>
        <w:t>Animal ethics approval</w:t>
      </w:r>
    </w:p>
    <w:p w14:paraId="138921D9" w14:textId="07C78CA2" w:rsidR="00442EA4" w:rsidRDefault="007258BA">
      <w:pPr>
        <w:ind w:firstLineChars="0" w:firstLine="0"/>
      </w:pPr>
      <w:r>
        <w:t>T</w:t>
      </w:r>
      <w:r>
        <w:rPr>
          <w:bCs/>
        </w:rPr>
        <w:t>h</w:t>
      </w:r>
      <w:r>
        <w:t xml:space="preserve">is work was approved (reference number: </w:t>
      </w:r>
      <w:proofErr w:type="gramStart"/>
      <w:r>
        <w:t>GF(</w:t>
      </w:r>
      <w:proofErr w:type="gramEnd"/>
      <w:r>
        <w:t xml:space="preserve">2019)BASE08) by the Biology and Science Ethics Committee of the China Biodiversity Conservation and Green Development Foundation (CBCGDF). </w:t>
      </w:r>
    </w:p>
    <w:p w14:paraId="2F6B6E65" w14:textId="77777777" w:rsidR="00211AFB" w:rsidRDefault="007258BA">
      <w:pPr>
        <w:pStyle w:val="Heading1"/>
      </w:pPr>
      <w:r>
        <w:t>Sample preparation, RNA extraction, and sequencing</w:t>
      </w:r>
    </w:p>
    <w:p w14:paraId="4776E69E" w14:textId="77777777" w:rsidR="00211AFB" w:rsidRDefault="007258BA">
      <w:pPr>
        <w:ind w:firstLineChars="0" w:firstLine="0"/>
      </w:pPr>
      <w:r>
        <w:t xml:space="preserve">Total RNA of </w:t>
      </w:r>
      <w:proofErr w:type="spellStart"/>
      <w:r>
        <w:rPr>
          <w:rFonts w:hint="eastAsia"/>
          <w:lang w:val="en-US" w:eastAsia="zh-CN"/>
        </w:rPr>
        <w:t>Dahu</w:t>
      </w:r>
      <w:proofErr w:type="spellEnd"/>
      <w:r>
        <w:rPr>
          <w:rFonts w:hint="eastAsia"/>
          <w:lang w:val="en-US" w:eastAsia="zh-CN"/>
        </w:rPr>
        <w:t xml:space="preserve"> skin sample with </w:t>
      </w:r>
      <w:proofErr w:type="spellStart"/>
      <w:r>
        <w:rPr>
          <w:rFonts w:hint="eastAsia"/>
          <w:lang w:val="en-US" w:eastAsia="zh-CN"/>
        </w:rPr>
        <w:t>pCoV</w:t>
      </w:r>
      <w:proofErr w:type="spellEnd"/>
      <w:r>
        <w:rPr>
          <w:rFonts w:hint="eastAsia"/>
          <w:lang w:val="en-US" w:eastAsia="zh-CN"/>
        </w:rPr>
        <w:t xml:space="preserve"> infection </w:t>
      </w:r>
      <w:r>
        <w:t xml:space="preserve">was extracted using </w:t>
      </w:r>
      <w:r>
        <w:rPr>
          <w:rFonts w:hint="eastAsia"/>
          <w:lang w:val="en-US" w:eastAsia="zh-CN"/>
        </w:rPr>
        <w:t xml:space="preserve">Qiagen </w:t>
      </w:r>
      <w:r>
        <w:t xml:space="preserve">RNeasy Mini Kit (QIAGEN, Netherlands). </w:t>
      </w:r>
      <w:r>
        <w:rPr>
          <w:rFonts w:hint="eastAsia"/>
          <w:lang w:val="en-US" w:eastAsia="zh-CN"/>
        </w:rPr>
        <w:t xml:space="preserve">A limitation of this study is that we only have one </w:t>
      </w:r>
      <w:proofErr w:type="spellStart"/>
      <w:r>
        <w:rPr>
          <w:rFonts w:hint="eastAsia"/>
          <w:lang w:val="en-US" w:eastAsia="zh-CN"/>
        </w:rPr>
        <w:t>pCoV</w:t>
      </w:r>
      <w:proofErr w:type="spellEnd"/>
      <w:r>
        <w:rPr>
          <w:rFonts w:hint="eastAsia"/>
          <w:lang w:val="en-US" w:eastAsia="zh-CN"/>
        </w:rPr>
        <w:t xml:space="preserve"> infected skin sample since it is extremely difficult to find the </w:t>
      </w:r>
      <w:proofErr w:type="spellStart"/>
      <w:r>
        <w:rPr>
          <w:rFonts w:hint="eastAsia"/>
          <w:lang w:val="en-US" w:eastAsia="zh-CN"/>
        </w:rPr>
        <w:t>CoV</w:t>
      </w:r>
      <w:proofErr w:type="spellEnd"/>
      <w:r>
        <w:rPr>
          <w:rFonts w:hint="eastAsia"/>
          <w:lang w:val="en-US" w:eastAsia="zh-CN"/>
        </w:rPr>
        <w:t>-infected pangolin samples particularly they are endangered species. However, t</w:t>
      </w:r>
      <w:r>
        <w:t xml:space="preserve">he quality and quantity of the RNA were examined using Agilent 2100 Bioanalyzer (Agilent Technologies, CA, USA), </w:t>
      </w:r>
      <w:proofErr w:type="spellStart"/>
      <w:r>
        <w:t>NanoDrop</w:t>
      </w:r>
      <w:proofErr w:type="spellEnd"/>
      <w:r>
        <w:t xml:space="preserve"> (Thermo Fisher Scientific, MA, USA), and 1% agarose gel. Then, 1 </w:t>
      </w:r>
      <w:proofErr w:type="spellStart"/>
      <w:r>
        <w:t>μg</w:t>
      </w:r>
      <w:proofErr w:type="spellEnd"/>
      <w:r>
        <w:t xml:space="preserve"> of total RNA with an RNA integrity number (RIN) above 6.5 was used for library preparation. mRNA with poly-A tail was isolated using Poly-A mRNA Magnetic Isolation Module or rRNA removal kit (New England Biolabs, MA, USA). Then, the isolated mRNA was fragmented, and priming was performed using random primers and First-Strand Synthesis Reaction Buffer (New England Biolabs, MA, USA). First-strand cDNA was synthesised using </w:t>
      </w:r>
      <w:proofErr w:type="spellStart"/>
      <w:r>
        <w:t>ProtoScript</w:t>
      </w:r>
      <w:proofErr w:type="spellEnd"/>
      <w:r>
        <w:t xml:space="preserve"> II Reverse Transcriptase (New England Biolabs, MA, USA) and the second-strand cDNA was synthesised using Second Strand Synthesis Enzyme Mix (New England Biolabs, MA, USA). Then, the </w:t>
      </w:r>
      <w:r>
        <w:lastRenderedPageBreak/>
        <w:t xml:space="preserve">purified double-stranded cDNA was end-repaired using End Prep Enzyme Mix (New England Biolabs, MA, USA). A </w:t>
      </w:r>
      <w:proofErr w:type="spellStart"/>
      <w:r>
        <w:t>dA</w:t>
      </w:r>
      <w:proofErr w:type="spellEnd"/>
      <w:r>
        <w:t xml:space="preserve">-tail was added on each end of cDNA to ligate adapters. Size selection of adaptor-ligated cDNA was then performed using beads, and fragments of around 420 bp (with the approximate insert size of 300 bp) were retained. </w:t>
      </w:r>
    </w:p>
    <w:p w14:paraId="61039D0A" w14:textId="1E8C4F36" w:rsidR="00211AFB" w:rsidRPr="00D4388F" w:rsidRDefault="007258BA">
      <w:pPr>
        <w:ind w:firstLineChars="0" w:firstLine="0"/>
      </w:pPr>
      <w:r>
        <w:rPr>
          <w:rFonts w:hint="eastAsia"/>
          <w:lang w:val="en-US" w:eastAsia="zh-CN"/>
        </w:rPr>
        <w:t xml:space="preserve">The </w:t>
      </w:r>
      <w:r>
        <w:t>sample was then amplified by polymerase chain reaction (PCR) for 13 cycles using P5 and P7 primers, with both primers carrying sequences which can attach to flow cell to perform bridge amplification and P7 primer carrying a six-base index allowing for multiplexing. The PCR products were purified, before being validated using Qsep100 (</w:t>
      </w:r>
      <w:proofErr w:type="spellStart"/>
      <w:r>
        <w:t>Bioptic</w:t>
      </w:r>
      <w:proofErr w:type="spellEnd"/>
      <w:r>
        <w:t xml:space="preserve">, Taiwan, China) and quantified by Qubit3.0 Fluorometer (Invitrogen, CA, USA). Libraries with different indices were multiplexed and loaded on an Illumina </w:t>
      </w:r>
      <w:proofErr w:type="spellStart"/>
      <w:r>
        <w:t>HiSeq</w:t>
      </w:r>
      <w:proofErr w:type="spellEnd"/>
      <w:r>
        <w:t xml:space="preserve"> instrument according to manufacturer’s instructions (Illumina, CA, USA). Sequencing was carried out using 2 × 150bp paired-end mode on </w:t>
      </w:r>
      <w:proofErr w:type="gramStart"/>
      <w:r>
        <w:t>a</w:t>
      </w:r>
      <w:proofErr w:type="gramEnd"/>
      <w:r>
        <w:t xml:space="preserve"> </w:t>
      </w:r>
      <w:r>
        <w:rPr>
          <w:rFonts w:hint="eastAsia"/>
          <w:lang w:val="en-US" w:eastAsia="zh-CN"/>
        </w:rPr>
        <w:t xml:space="preserve">Illumina </w:t>
      </w:r>
      <w:proofErr w:type="spellStart"/>
      <w:r>
        <w:t>HiSeq</w:t>
      </w:r>
      <w:proofErr w:type="spellEnd"/>
      <w:r>
        <w:t xml:space="preserve"> instrument.</w:t>
      </w:r>
      <w:r>
        <w:rPr>
          <w:rFonts w:hint="eastAsia"/>
          <w:lang w:val="en-US" w:eastAsia="zh-CN"/>
        </w:rPr>
        <w:t xml:space="preserve"> The sequencing yielded approximately 22 million paired end reads.</w:t>
      </w:r>
      <w:r>
        <w:t xml:space="preserve"> </w:t>
      </w:r>
    </w:p>
    <w:p w14:paraId="62AC6804" w14:textId="77777777" w:rsidR="00211AFB" w:rsidRDefault="007258BA">
      <w:pPr>
        <w:pStyle w:val="Heading2"/>
      </w:pPr>
      <w:r>
        <w:t>Raw data pre-processing and mapping</w:t>
      </w:r>
    </w:p>
    <w:p w14:paraId="0B1F4410" w14:textId="77777777" w:rsidR="00211AFB" w:rsidRDefault="007258BA">
      <w:pPr>
        <w:ind w:firstLineChars="0" w:firstLine="0"/>
      </w:pPr>
      <w:r>
        <w:t xml:space="preserve">Qualities of raw reads in FASTQ format were checked using </w:t>
      </w:r>
      <w:proofErr w:type="spellStart"/>
      <w:r>
        <w:t>FastQC</w:t>
      </w:r>
      <w:proofErr w:type="spellEnd"/>
      <w:r>
        <w:t xml:space="preserve"> v0.11.9</w:t>
      </w:r>
      <w:r>
        <w:fldChar w:fldCharType="begin"/>
      </w:r>
      <w:r>
        <w:instrText xml:space="preserve"> ADDIN ZOTERO_ITEM CSL_CITATION {"citationID":"S6SfriWQ","properties":{"formattedCitation":"\\super 3\\nosupersub{}","plainCitation":"3","noteIndex":0},"citationItems":[{"id":5,"uris":["http://zotero.org/users/7242262/items/GP4V4THR"],"uri":["http://zotero.org/users/7242262/items/GP4V4THR"],"itemData":{"id":5,"type":"webpage","title":"FastQC: A quality control tool for high throughput sequence data","URL":"http://www.bioinformatics.babraham.ac.uk/projects/fastqc/","author":[{"family":"Andrews","given":"Simon"}],"accessed":{"date-parts":[["2020",12,13]]},"issued":{"date-parts":[["2010"]]}}}],"schema":"https://github.com/citation-style-language/schema/raw/master/csl-citation.json"} </w:instrText>
      </w:r>
      <w:r>
        <w:fldChar w:fldCharType="separate"/>
      </w:r>
      <w:r>
        <w:rPr>
          <w:vertAlign w:val="superscript"/>
        </w:rPr>
        <w:t>3</w:t>
      </w:r>
      <w:r>
        <w:fldChar w:fldCharType="end"/>
      </w:r>
      <w:r>
        <w:t xml:space="preserve">. Low-quality bases with </w:t>
      </w:r>
      <w:proofErr w:type="spellStart"/>
      <w:r>
        <w:t>Phred</w:t>
      </w:r>
      <w:proofErr w:type="spellEnd"/>
      <w:r>
        <w:t xml:space="preserve"> score lower than 20, adapter sequences, and PCR primers were trimmed using </w:t>
      </w:r>
      <w:proofErr w:type="spellStart"/>
      <w:r>
        <w:t>Cutadapt</w:t>
      </w:r>
      <w:proofErr w:type="spellEnd"/>
      <w:r>
        <w:t xml:space="preserve"> v1.9.1</w:t>
      </w:r>
      <w:r>
        <w:fldChar w:fldCharType="begin"/>
      </w:r>
      <w:r>
        <w:instrText xml:space="preserve"> ADDIN ZOTERO_ITEM CSL_CITATION {"citationID":"HAPiEsaK","properties":{"formattedCitation":"\\super 4\\nosupersub{}","plainCitation":"4","noteIndex":0},"citationItems":[{"id":7,"uris":["http://zotero.org/users/7242262/items/PZ52IQX9"],"uri":["http://zotero.org/users/7242262/items/PZ52IQX9"],"itemData":{"id":7,"type":"article-journal","container-title":"EMBnet J","DOI":"https://doi.org/10.14806/ej.17.1.200","note":"6923 citations (Crossref) [2020-12-13]","page":"10-12","title":"Cutadapt removes adapter sequences from high-throughput sequencing reads","volume":"17","author":[{"family":"Martin","given":"Marcel"}],"issued":{"date-parts":[["2011"]]}}}],"schema":"https://github.com/citation-style-language/schema/raw/master/csl-citation.json"} </w:instrText>
      </w:r>
      <w:r>
        <w:fldChar w:fldCharType="separate"/>
      </w:r>
      <w:r>
        <w:rPr>
          <w:vertAlign w:val="superscript"/>
        </w:rPr>
        <w:t>4</w:t>
      </w:r>
      <w:r>
        <w:fldChar w:fldCharType="end"/>
      </w:r>
      <w:r>
        <w:t xml:space="preserve">. 21,956,237 pairs of reads of length 150 bp generated from </w:t>
      </w:r>
      <w:proofErr w:type="spellStart"/>
      <w:r>
        <w:t>Dahu</w:t>
      </w:r>
      <w:proofErr w:type="spellEnd"/>
      <w:r>
        <w:t xml:space="preserve"> skin passed the quality check. </w:t>
      </w:r>
    </w:p>
    <w:p w14:paraId="4982CEC9" w14:textId="77777777" w:rsidR="00211AFB" w:rsidRDefault="007258BA">
      <w:pPr>
        <w:ind w:firstLineChars="0" w:firstLine="0"/>
      </w:pPr>
      <w:r>
        <w:t xml:space="preserve">The healthy Malayan pangolin skin sample was downloaded from our previous study (project accession PRJNA283328; run SRR3923846) and quality checked. </w:t>
      </w:r>
      <w:r>
        <w:lastRenderedPageBreak/>
        <w:t>Malayan pangolin (</w:t>
      </w:r>
      <w:r>
        <w:rPr>
          <w:rStyle w:val="Emphasis"/>
        </w:rPr>
        <w:t xml:space="preserve">Manis </w:t>
      </w:r>
      <w:proofErr w:type="spellStart"/>
      <w:r>
        <w:rPr>
          <w:rStyle w:val="Emphasis"/>
        </w:rPr>
        <w:t>javanica</w:t>
      </w:r>
      <w:proofErr w:type="spellEnd"/>
      <w:r>
        <w:t>) primary genome assembly (ManJav1.0; accession: GCF_001685135.1) and the corresponding GTF annotation were downloaded from National Centre for Biotechnology Information (NCBI). 24,805,754 pairs of reads of length 150 bp from normal pangolin skin passed the quality check. Then, the primary genome assembly was indexed using Bowtie2 v2.4.2</w:t>
      </w:r>
      <w:r>
        <w:fldChar w:fldCharType="begin"/>
      </w:r>
      <w:r>
        <w:instrText xml:space="preserve"> ADDIN ZOTERO_ITEM CSL_CITATION {"citationID":"K0ffAXvt","properties":{"formattedCitation":"\\super 5\\nosupersub{}","plainCitation":"5","noteIndex":0},"citationItems":[{"id":22,"uris":["http://zotero.org/users/7242262/items/ZEHWX9UK"],"uri":["http://zotero.org/users/7242262/items/ZEHWX9UK"],"itemData":{"id":22,"type":"article-journal","abstract":"The Bowtie 2 software achieves fast, sensitive, accurate and memory-efficient gapped alignment of sequencing reads using the full-text minute index and hardware-accelerated dynamic programming algorithms.","container-title":"Nature Methods","DOI":"10/gd2xzn","ISSN":"1548-7105","issue":"4","language":"en","note":"number: 4\npublisher: Nature Publishing Group","page":"357-359","source":"www.nature.com","title":"Fast gapped-read alignment with Bowtie 2","volume":"9","author":[{"family":"Langmead","given":"Ben"},{"family":"Salzberg","given":"Steven L."}],"issued":{"date-parts":[["2012",4]]}}}],"schema":"https://github.com/citation-style-language/schema/raw/master/csl-citation.json"} </w:instrText>
      </w:r>
      <w:r>
        <w:fldChar w:fldCharType="separate"/>
      </w:r>
      <w:r>
        <w:rPr>
          <w:vertAlign w:val="superscript"/>
        </w:rPr>
        <w:t>5</w:t>
      </w:r>
      <w:r>
        <w:fldChar w:fldCharType="end"/>
      </w:r>
      <w:r>
        <w:t xml:space="preserve"> and the trimmed reads from the healthy and </w:t>
      </w:r>
      <w:proofErr w:type="spellStart"/>
      <w:r>
        <w:t>Dahu</w:t>
      </w:r>
      <w:proofErr w:type="spellEnd"/>
      <w:r>
        <w:t xml:space="preserve"> skin samples were mapped to the genome using </w:t>
      </w:r>
      <w:proofErr w:type="spellStart"/>
      <w:r>
        <w:t>TopHat</w:t>
      </w:r>
      <w:proofErr w:type="spellEnd"/>
      <w:r>
        <w:t xml:space="preserve"> v2.1.1</w:t>
      </w:r>
      <w:r>
        <w:fldChar w:fldCharType="begin"/>
      </w:r>
      <w:r>
        <w:instrText xml:space="preserve"> ADDIN ZOTERO_ITEM CSL_CITATION {"citationID":"Gtgykv3o","properties":{"formattedCitation":"\\super 6\\uc0\\u8211{}8\\nosupersub{}","plainCitation":"6–8","noteIndex":0},"citationItems":[{"id":16,"uris":["http://zotero.org/users/7242262/items/VJG6IUFD"],"uri":["http://zotero.org/users/7242262/items/VJG6IUFD"],"itemData":{"id":16,"type":"article-journal","abstract":"TopHat-Fusion is an algorithm designed to discover transcripts representing fusion gene products, which result from the breakage and re-joining of two different chromosomes, or from rearrangements within a chromosome. TopHat-Fusion is an enhanced version of TopHat, an efficient program that aligns RNA-seq reads without relying on existing annotation. Because it is independent of gene annotation, TopHat-Fusion can discover fusion products deriving from known genes, unknown genes and unannotated splice variants of known genes. Using RNA-seq data from breast and prostate cancer cell lines, we detected both previously reported and novel fusions with solid supporting evidence. TopHat-Fusion is available at http://tophat-fusion.sourceforge.net/.","container-title":"Genome Biology","DOI":"10/c7njt9","ISSN":"1474-760X","issue":"8","journalAbbreviation":"Genome Biology","page":"R72","source":"BioMed Central","title":"TopHat-Fusion: an algorithm for discovery of novel fusion transcripts","title-short":"TopHat-Fusion","volume":"12","author":[{"family":"Kim","given":"Daehwan"},{"family":"Salzberg","given":"Steven L."}],"issued":{"date-parts":[["2011",8,11]]}}},{"id":12,"uris":["http://zotero.org/users/7242262/items/XKNZ9IFQ"],"uri":["http://zotero.org/users/7242262/items/XKNZ9IFQ"],"itemData":{"id":12,"type":"article-journal","abstract":"TopHat is a popular spliced aligner for RNA-sequence (RNA-seq) experiments. In this paper, we describe TopHat2, which incorporates many significant enhancements to TopHat. TopHat2 can align reads of various lengths produced by the latest sequencing technologies, while allowing for variable-length indels with respect to the reference genome. In addition to de novo spliced alignment, TopHat2 can align reads across fusion breaks, which can occur after genomic translocations. TopHat2 combines the ability to identify novel splice sites with direct mapping to known transcripts, producing sensitive and accurate alignments, even for highly repetitive genomes or in the presence of pseudogenes. TopHat2 is available at http://ccb.jhu.edu/software/tophat.","container-title":"Genome Biology","DOI":"10/gf3xsm","ISSN":"1474-760X","issue":"4","journalAbbreviation":"Genome Biology","page":"R36","source":"BioMed Central","title":"TopHat2: accurate alignment of transcriptomes in the presence of insertions, deletions and gene fusions","title-short":"TopHat2","volume":"14","author":[{"family":"Kim","given":"Daehwan"},{"family":"Pertea","given":"Geo"},{"family":"Trapnell","given":"Cole"},{"family":"Pimentel","given":"Harold"},{"family":"Kelley","given":"Ryan"},{"family":"Salzberg","given":"Steven L."}],"issued":{"date-parts":[["2013",4,25]]}}},{"id":14,"uris":["http://zotero.org/users/7242262/items/MV622YE2"],"uri":["http://zotero.org/users/7242262/items/MV622YE2"],"itemData":{"id":14,"type":"article-journal","abstract":"Bowtie is an ultrafast, memory-efficient alignment program for aligning short DNA sequence reads to large genomes. For the human genome, Burrows-Wheeler indexing allows Bowtie to align more than 25 million reads per CPU hour with a memory footprint of approximately 1.3 gigabytes. Bowtie extends previous Burrows-Wheeler techniques with a novel quality-aware backtracking algorithm that permits mismatches. Multiple processor cores can be used simultaneously to achieve even greater alignment speeds. Bowtie is open source http://bowtie.cbcb.umd.edu.","container-title":"Genome Biology","DOI":"10/c58wxm","ISSN":"1474-760X","issue":"3","journalAbbreviation":"Genome Biology","page":"R25","source":"BioMed Central","title":"Ultrafast and memory-efficient alignment of short DNA sequences to the human genome","volume":"10","author":[{"family":"Langmead","given":"Ben"},{"family":"Trapnell","given":"Cole"},{"family":"Pop","given":"Mihai"},{"family":"Salzberg","given":"Steven L."}],"issued":{"date-parts":[["2009",3,4]]}}}],"schema":"https://github.com/citation-style-language/schema/raw/master/csl-citation.json"} </w:instrText>
      </w:r>
      <w:r>
        <w:fldChar w:fldCharType="separate"/>
      </w:r>
      <w:r>
        <w:rPr>
          <w:vertAlign w:val="superscript"/>
        </w:rPr>
        <w:t>6–8</w:t>
      </w:r>
      <w:r>
        <w:fldChar w:fldCharType="end"/>
      </w:r>
      <w:r>
        <w:t xml:space="preserve">. The overall mapping rates for </w:t>
      </w:r>
      <w:proofErr w:type="spellStart"/>
      <w:r>
        <w:t>Dahu</w:t>
      </w:r>
      <w:proofErr w:type="spellEnd"/>
      <w:r>
        <w:t xml:space="preserve"> skin and healthy pangolin skin were 76.2% and 67.4%, respectively. </w:t>
      </w:r>
    </w:p>
    <w:p w14:paraId="3A43DEF8" w14:textId="77777777" w:rsidR="00211AFB" w:rsidRDefault="007258BA">
      <w:pPr>
        <w:ind w:firstLineChars="0" w:firstLine="0"/>
      </w:pPr>
      <w:r>
        <w:t>We also downloaded the data of human lung biopsies from the study of Blanco-Melo et al.</w:t>
      </w:r>
      <w:r>
        <w:fldChar w:fldCharType="begin"/>
      </w:r>
      <w:r>
        <w:instrText xml:space="preserve"> ADDIN ZOTERO_ITEM CSL_CITATION {"citationID":"MljvPvDl","properties":{"formattedCitation":"\\super 9\\nosupersub{}","plainCitation":"9","noteIndex":0},"citationItems":[{"id":46,"uris":["http://zotero.org/users/7242262/items/VWJ27MH7"],"uri":["http://zotero.org/users/7242262/items/VWJ27MH7"],"itemData":{"id":46,"type":"article-journal","abstract":"Viral pandemics, such as the one caused by SARS-CoV-2, pose an imminent threat to humanity. Because of its recent emergence, there is a paucity of information regarding viral behavior and host response following SARS-CoV-2 infection. Here we offer an in-depth analysis of the transcriptional response to SARS-CoV-2 compared with other respiratory viruses. Cell and animal models of SARS-CoV-2 infection, in addition to transcriptional and serum profiling of COVID-19 patients, consistently revealed a unique and inappropriate inflammatory response. This response is defined by low levels of type I and III interferons juxtaposed to elevated chemokines and high expression of IL-6. We propose that reduced innate antiviral defenses coupled with exuberant inflammatory cytokine production are the defining and driving features of COVID-19.","container-title":"Cell","DOI":"10/ggw5tq","ISSN":"1097-4172","issue":"5","journalAbbreviation":"Cell","language":"eng","note":"PMID: 32416070\nPMCID: PMC7227586","page":"1036-1045.e9","source":"PubMed","title":"Imbalanced host response to SARS-CoV-2 drives development of COVID-19","volume":"181","author":[{"family":"Blanco-Melo","given":"Daniel"},{"family":"Nilsson-Payant","given":"Benjamin E."},{"family":"Liu","given":"Wen-Chun"},{"family":"Uhl","given":"Skyler"},{"family":"Hoagland","given":"Daisy"},{"family":"Møller","given":"Rasmus"},{"family":"Jordan","given":"Tristan X."},{"family":"Oishi","given":"Kohei"},{"family":"Panis","given":"Maryline"},{"family":"Sachs","given":"David"},{"family":"Wang","given":"Taia T."},{"family":"Schwartz","given":"Robert E."},{"family":"Lim","given":"Jean K."},{"family":"Albrecht","given":"Randy A."},{"family":"tenOever","given":"Benjamin R."}],"issued":{"date-parts":[["2020"]]}},"locator":"-19","suppress-author":true}],"schema":"https://github.com/citation-style-language/schema/raw/master/csl-citation.json"} </w:instrText>
      </w:r>
      <w:r>
        <w:fldChar w:fldCharType="separate"/>
      </w:r>
      <w:r>
        <w:rPr>
          <w:vertAlign w:val="superscript"/>
        </w:rPr>
        <w:t>9</w:t>
      </w:r>
      <w:r>
        <w:fldChar w:fldCharType="end"/>
      </w:r>
      <w:r>
        <w:t xml:space="preserve"> (project accession PRJNA615032), including healthy human lung biopsies from a 72-year-old male and a 60-year-old female (runs SRR11517725, SRR11517726, SRR11517727, SRR11517728, SRR11517729, SRR11517730, SRR11517731, and SRR11517732), and SARS-CoV-2 infected lung biopsies from a deceased 74-year-old male (runs SRR11517733, SRR11517734, SRR11517735, SRR11517736, SRR11517737, SRR11517738, SRR11517739, and SRR11517740). The reads were quality-checked, indexed, and mapped using the same approaches as above. Technical replicates were merged before being analysed. The overall mapping rate for healthy and human lung samples were 87.7% and 85.0%, respectively, and for SARS-CoV-2 infected human lung samples, the overall mapping rates were 61.0% and 71.0%, respectively. </w:t>
      </w:r>
    </w:p>
    <w:p w14:paraId="64115219" w14:textId="77777777" w:rsidR="00211AFB" w:rsidRDefault="007258BA">
      <w:pPr>
        <w:pStyle w:val="Heading2"/>
      </w:pPr>
      <w:r>
        <w:t>Examination of the presence of SARS-CoV-2 RNA</w:t>
      </w:r>
    </w:p>
    <w:p w14:paraId="0787817F" w14:textId="77777777" w:rsidR="00211AFB" w:rsidRDefault="007258BA">
      <w:pPr>
        <w:ind w:firstLineChars="0" w:firstLine="0"/>
      </w:pPr>
      <w:r>
        <w:lastRenderedPageBreak/>
        <w:t xml:space="preserve">All reads were mapped to </w:t>
      </w:r>
      <w:proofErr w:type="spellStart"/>
      <w:r>
        <w:t>pCoV</w:t>
      </w:r>
      <w:proofErr w:type="spellEnd"/>
      <w:r>
        <w:t xml:space="preserve"> genome to confirm the presence of </w:t>
      </w:r>
      <w:proofErr w:type="spellStart"/>
      <w:r>
        <w:t>pCoV</w:t>
      </w:r>
      <w:proofErr w:type="spellEnd"/>
      <w:r>
        <w:t xml:space="preserve"> RNA in </w:t>
      </w:r>
      <w:proofErr w:type="spellStart"/>
      <w:r>
        <w:t>Dahu</w:t>
      </w:r>
      <w:proofErr w:type="spellEnd"/>
      <w:r>
        <w:t xml:space="preserve"> skin transcriptome. The </w:t>
      </w:r>
      <w:proofErr w:type="spellStart"/>
      <w:r>
        <w:t>pCoV</w:t>
      </w:r>
      <w:proofErr w:type="spellEnd"/>
      <w:r>
        <w:t xml:space="preserve"> genome was obtained from Xiao et al.</w:t>
      </w:r>
      <w:r>
        <w:fldChar w:fldCharType="begin"/>
      </w:r>
      <w:r>
        <w:instrText xml:space="preserve"> ADDIN ZOTERO_ITEM CSL_CITATION {"citationID":"qJmrcD3s","properties":{"formattedCitation":"\\super 10\\nosupersub{}","plainCitation":"10","noteIndex":0},"citationItems":[{"id":43,"uris":["http://zotero.org/users/7242262/items/3CUJY6ZS"],"uri":["http://zotero.org/users/7242262/items/3CUJY6ZS"],"itemData":{"id":43,"type":"article-journal","abstract":"The current outbreak of coronavirus disease-2019 (COVID-19) poses unprecedented challenges to global health1. The new coronavirus responsible for this outbreak-severe acute respiratory syndrome coronavirus 2 (SARS-CoV-2)-shares high sequence identity to SARS-CoV and a bat coronavirus, RaTG132. Although bats may be the reservoir host for a variety of coronaviruses3,4, it remains unknown whether SARS-CoV-2 has additional host species. Here we show that a coronavirus, which we name pangolin-CoV, isolated from a Malayan pangolin has 100%, 98.6%, 97.8% and 90.7% amino acid identity with SARS-CoV-2 in the E, M, N and S proteins, respectively. In particular, the receptor-binding domain of the S protein of pangolin-CoV is almost identical to that of SARS-CoV-2, with one difference in a noncritical amino acid. Our comparative genomic analysis suggests that SARS-CoV-2 may have originated in the recombination of a virus similar to pangolin-CoV with one similar to RaTG13. Pangolin-CoV was detected in 17 out of the 25 Malayan pangolins that we analysed. Infected pangolins showed clinical signs and histological changes, and circulating antibodies against pangolin-CoV reacted with the S protein of SARS-CoV-2. The isolation of a coronavirus from pangolins that is closely related to SARS-CoV-2 suggests that these animals have the potential to act as an intermediate host of SARS-CoV-2. This newly identified coronavirus from pangolins-the most-trafficked mammal in the illegal wildlife trade-could represent a future threat to public health if wildlife trade is not effectively controlled.","container-title":"Nature","DOI":"10/ggvct8","ISSN":"1476-4687","issue":"7815","journalAbbreviation":"Nature","language":"eng","note":"PMID: 32380510","page":"286-289","source":"PubMed","title":"Isolation of SARS-CoV-2-related coronavirus from Malayan pangolins","volume":"583","author":[{"family":"Xiao","given":"Kangpeng"},{"family":"Zhai","given":"Junqiong"},{"family":"Feng","given":"Yaoyu"},{"family":"Zhou","given":"Niu"},{"family":"Zhang","given":"Xu"},{"family":"Zou","given":"Jie-Jian"},{"family":"Li","given":"Na"},{"family":"Guo","given":"Yaqiong"},{"family":"Li","given":"Xiaobing"},{"family":"Shen","given":"Xuejuan"},{"family":"Zhang","given":"Zhipeng"},{"family":"Shu","given":"Fanfan"},{"family":"Huang","given":"Wanyi"},{"family":"Li","given":"Yu"},{"family":"Zhang","given":"Ziding"},{"family":"Chen","given":"Rui-Ai"},{"family":"Wu","given":"Ya-Jiang"},{"family":"Peng","given":"Shi-Ming"},{"family":"Huang","given":"Mian"},{"family":"Xie","given":"Wei-Jun"},{"family":"Cai","given":"Qin-Hui"},{"family":"Hou","given":"Fang-Hui"},{"family":"Chen","given":"Wu"},{"family":"Xiao","given":"Lihua"},{"family":"Shen","given":"Yongyi"}],"issued":{"date-parts":[["2020"]]}},"suppress-author":true}],"schema":"https://github.com/citation-style-language/schema/raw/master/csl-citation.json"} </w:instrText>
      </w:r>
      <w:r>
        <w:fldChar w:fldCharType="separate"/>
      </w:r>
      <w:r>
        <w:rPr>
          <w:vertAlign w:val="superscript"/>
        </w:rPr>
        <w:t>10</w:t>
      </w:r>
      <w:r>
        <w:fldChar w:fldCharType="end"/>
      </w:r>
      <w:r>
        <w:t>. To perform gapped local read alignment, we indexed the trimmed reads using Burrows-Wheeler transformation (BWA) aligner v0.7.17-r1188</w:t>
      </w:r>
      <w:r>
        <w:fldChar w:fldCharType="begin"/>
      </w:r>
      <w:r>
        <w:instrText xml:space="preserve"> ADDIN ZOTERO_ITEM CSL_CITATION {"citationID":"RAmBkJUg","properties":{"formattedCitation":"\\super 11\\nosupersub{}","plainCitation":"11","noteIndex":0},"citationItems":[{"id":9,"uris":["http://zotero.org/users/7242262/items/QTSLA5RX"],"uri":["http://zotero.org/users/7242262/items/QTSLA5RX"],"itemData":{"id":9,"type":"article-journal","abstract":"MOTIVATION: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individuals.\nRESULTS: We implemented Burrows-Wheeler Alignment tool (BWA), a new read alignment package that is based on backward search with Burrows-Wheeler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approximately 10-20x faster than MAQ, while achieving similar accuracy. In addition, BWA outputs alignment in the new standard SAM (Sequence Alignment/Map) format. Variant calling and other downstream analyses after the alignment can be achieved with the open source SAMtools software package.\nAVAILABILITY: http://maq.sourceforge.net.","container-title":"Bioinformatics","DOI":"10/dqt59j","ISSN":"1367-4811","issue":"14","journalAbbreviation":"Bioinformatics","language":"eng","note":"PMID: 19451168\nPMCID: PMC2705234","page":"1754-1760","source":"PubMed","title":"Fast and accurate short read alignment with Burrows-Wheeler transform","volume":"25","author":[{"family":"Li","given":"Heng"},{"family":"Durbin","given":"Richard"}],"issued":{"date-parts":[["2009",7,15]]}}}],"schema":"https://github.com/citation-style-language/schema/raw/master/csl-citation.json"} </w:instrText>
      </w:r>
      <w:r>
        <w:fldChar w:fldCharType="separate"/>
      </w:r>
      <w:r>
        <w:rPr>
          <w:vertAlign w:val="superscript"/>
        </w:rPr>
        <w:t>11</w:t>
      </w:r>
      <w:r>
        <w:fldChar w:fldCharType="end"/>
      </w:r>
      <w:r>
        <w:t xml:space="preserve"> and mapped using BWA MEM with the option -T 45. For visualisation purposes, the genomes and mapped reads (sorted BAM files) were indexed using </w:t>
      </w:r>
      <w:proofErr w:type="spellStart"/>
      <w:r>
        <w:t>SAMtools</w:t>
      </w:r>
      <w:proofErr w:type="spellEnd"/>
      <w:r>
        <w:t xml:space="preserve"> v1.11</w:t>
      </w:r>
      <w:r>
        <w:fldChar w:fldCharType="begin"/>
      </w:r>
      <w:r>
        <w:instrText xml:space="preserve"> ADDIN ZOTERO_ITEM CSL_CITATION {"citationID":"4BD5jMTT","properties":{"formattedCitation":"\\super 12,13\\nosupersub{}","plainCitation":"12,13","noteIndex":0},"citationItems":[{"id":24,"uris":["http://zotero.org/users/7242262/items/47IPQMEQ"],"uri":["http://zotero.org/users/7242262/items/47IPQMEQ"],"itemData":{"id":24,"type":"article-journal","abstract":"SUMMARY: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SAMtools implements various utilities for post-processing alignments in the SAM format, such as indexing, variant caller and alignment viewer, and thus provides universal tools for processing read alignments.\nAVAILABILITY: http://samtools.sourceforge.net.","container-title":"Bioinformatics","DOI":"10/ff6426","ISSN":"1367-4811","issue":"16","journalAbbreviation":"Bioinformatics","language":"eng","note":"PMID: 19505943\nPMCID: PMC2723002","page":"2078-2079","source":"PubMed","title":"The Sequence Alignment/Map format and SAMtools","volume":"25","author":[{"family":"Li","given":"Heng"},{"family":"Handsaker","given":"Bob"},{"family":"Wysoker","given":"Alec"},{"family":"Fennell","given":"Tim"},{"family":"Ruan","given":"Jue"},{"family":"Homer","given":"Nils"},{"family":"Marth","given":"Gabor"},{"family":"Abecasis","given":"Goncalo"},{"family":"Durbin","given":"Richard"},{"literal":"1000 Genome Project Data Processing Subgroup"}],"issued":{"date-parts":[["2009",8,15]]}}},{"id":26,"uris":["http://zotero.org/users/7242262/items/QT23CMN5"],"uri":["http://zotero.org/users/7242262/items/QT23CMN5"],"itemData":{"id":26,"type":"article-journal","abstract":"MOTIVATION: Most existing methods for DNA sequence analysis rely on accurate sequences or genotypes. However, in applications of the next-generation sequencing (NGS), accurate genotypes may not be easily obtained (e.g. multi-sample low-coverage sequencing or somatic mutation discovery). These applications press for the development of new methods for analyzing sequence data with uncertainty.\nRESULTS: We present a statistical framework for calling SNPs, discovering somatic mutations, inferring population genetical parameters and performing association tests directly based on sequencing data without explicit genotyping or linkage-based imputation. On real data, we demonstrate that our method achieves comparable accuracy to alternative methods for estimating site allele count, for inferring allele frequency spectrum and for association mapping. We also highlight the necessity of using symmetric datasets for finding somatic mutations and confirm that for discovering rare events, mismapping is frequently the leading source of errors.\nAVAILABILITY: http://samtools.sourceforge.net.\nCONTACT: hengli@broadinstitute.org.","container-title":"Bioinformatics","DOI":"10/dvt3zh","ISSN":"1367-4811","issue":"21","journalAbbreviation":"Bioinformatics","language":"eng","note":"PMID: 21903627\nPMCID: PMC3198575","page":"2987-2993","source":"PubMed","title":"A statistical framework for SNP calling, mutation discovery, association mapping and population genetical parameter estimation from sequencing data","volume":"27","author":[{"family":"Li","given":"Heng"}],"issued":{"date-parts":[["2011",11,1]]}}}],"schema":"https://github.com/citation-style-language/schema/raw/master/csl-citation.json"} </w:instrText>
      </w:r>
      <w:r>
        <w:fldChar w:fldCharType="separate"/>
      </w:r>
      <w:r>
        <w:rPr>
          <w:vertAlign w:val="superscript"/>
        </w:rPr>
        <w:t>12,13</w:t>
      </w:r>
      <w:r>
        <w:fldChar w:fldCharType="end"/>
      </w:r>
      <w:r>
        <w:t>, and visualised using Integrative Genomics Viewer (IGV) v2.4.9</w:t>
      </w:r>
      <w:r>
        <w:fldChar w:fldCharType="begin"/>
      </w:r>
      <w:r>
        <w:instrText xml:space="preserve"> ADDIN ZOTERO_ITEM CSL_CITATION {"citationID":"TY9RVqk5","properties":{"formattedCitation":"\\super 14\\uc0\\u8211{}16\\nosupersub{}","plainCitation":"14–16","noteIndex":0},"citationItems":[{"id":30,"uris":["http://zotero.org/users/7242262/items/37WPF2LL"],"uri":["http://zotero.org/users/7242262/items/37WPF2LL"],"itemData":{"id":30,"type":"article-journal","container-title":"Nature Biotechnology","DOI":"10/cpmj8s","ISSN":"1546-1696","issue":"1","language":"en","note":"number: 1\npublisher: Nature Publishing Group","page":"24-26","source":"www.nature.com","title":"Integrative genomics viewer","volume":"29","author":[{"family":"Robinson","given":"James T."},{"family":"Thorvaldsdóttir","given":"Helga"},{"family":"Winckler","given":"Wendy"},{"family":"Guttman","given":"Mitchell"},{"family":"Lander","given":"Eric S."},{"family":"Getz","given":"Gad"},{"family":"Mesirov","given":"Jill P."}],"issued":{"date-parts":[["2011",1]]}}},{"id":40,"uris":["http://zotero.org/users/7242262/items/4B66C6AF"],"uri":["http://zotero.org/users/7242262/items/4B66C6AF"],"itemData":{"id":40,"type":"article-journal","abstract":"Manual review of aligned reads for confirmation and interpretation of variant calls is an important step in many variant calling pipelines for next-generation sequencing (NGS) data. Visual inspection can greatly increase the confidence in calls, reduce the risk of false positives, and help characterize complex events. The Integrative Genomics Viewer (IGV) was one of the first tools to provide NGS data visualization, and it currently provides a rich set of tools for inspection, validation, and interpretation of NGS datasets, as well as other types of genomic data. Here, we present a short overview of IGV's variant review features for both single-nucleotide variants and structural variants, with examples from both cancer and germline datasets. IGV is freely available at https://www.igv.org Cancer Res; 77(21); e31-34. ©2017 AACR.","container-title":"Cancer Research","DOI":"10/gcjsxz","ISSN":"1538-7445","issue":"21","journalAbbreviation":"Cancer Res","language":"eng","note":"PMID: 29092934\nPMCID: PMC5678989","page":"e31-e34","source":"PubMed","title":"Variant review with the Integrative Genomics Viewer","volume":"77","author":[{"family":"Robinson","given":"James T."},{"family":"Thorvaldsdóttir","given":"Helga"},{"family":"Wenger","given":"Aaron M."},{"family":"Zehir","given":"Ahmet"},{"family":"Mesirov","given":"Jill P."}],"issued":{"date-parts":[["2017"]],"season":"01"}}},{"id":37,"uris":["http://zotero.org/users/7242262/items/YC3UWWGE"],"uri":["http://zotero.org/users/7242262/items/YC3UWWGE"],"itemData":{"id":37,"type":"article-journal","abstract":"Data visualization is an essential component of genomic data analysis. However, the size and diversity of the data sets produced by today's sequencing and array-based profiling methods present major challenges to visualization tools. The Integrative Genomics Viewer (IGV) is a high-performance viewer that efficiently handles large heterogeneous data sets, while providing a smooth and intuitive user experience at all levels of genome resolution. A key characteristic of IGV is its focus on the integrative nature of genomic studies, with support for both array-based and next-generation sequencing data, and the integration of clinical and phenotypic data. Although IGV is often used to view genomic data from public sources, its primary emphasis is to support researchers who wish to visualize and explore their own data sets or those from colleagues. To that end, IGV supports flexible loading of local and remote data sets, and is optimized to provide high-performance data visualization and exploration on standard desktop systems. IGV is freely available for download from http://www.broadinstitute.org/igv, under a GNU LGPL open-source license.","container-title":"Briefings in Bioinformatics","DOI":"10/f4sc43","ISSN":"1477-4054","issue":"2","journalAbbreviation":"Brief Bioinform","language":"eng","note":"PMID: 22517427\nPMCID: PMC3603213","page":"178-192","source":"PubMed","title":"Integrative Genomics Viewer (IGV): high-performance genomics data visualization and exploration","title-short":"Integrative Genomics Viewer (IGV)","volume":"14","author":[{"family":"Thorvaldsdóttir","given":"Helga"},{"family":"Robinson","given":"James T."},{"family":"Mesirov","given":"Jill P."}],"issued":{"date-parts":[["2013",3]]}}}],"schema":"https://github.com/citation-style-language/schema/raw/master/csl-citation.json"} </w:instrText>
      </w:r>
      <w:r>
        <w:fldChar w:fldCharType="separate"/>
      </w:r>
      <w:r>
        <w:rPr>
          <w:vertAlign w:val="superscript"/>
        </w:rPr>
        <w:t>14–16</w:t>
      </w:r>
      <w:r>
        <w:fldChar w:fldCharType="end"/>
      </w:r>
      <w:r>
        <w:t xml:space="preserve">. </w:t>
      </w:r>
    </w:p>
    <w:p w14:paraId="5D76378F" w14:textId="77777777" w:rsidR="00211AFB" w:rsidRDefault="007258BA">
      <w:pPr>
        <w:pStyle w:val="Heading2"/>
      </w:pPr>
      <w:r>
        <w:t>Phylogenetic analysis</w:t>
      </w:r>
    </w:p>
    <w:p w14:paraId="1B3E5D04" w14:textId="77777777" w:rsidR="00211AFB" w:rsidRDefault="007258BA">
      <w:pPr>
        <w:ind w:firstLineChars="0" w:firstLine="0"/>
      </w:pPr>
      <w:r>
        <w:t xml:space="preserve">The </w:t>
      </w:r>
      <w:proofErr w:type="spellStart"/>
      <w:r>
        <w:rPr>
          <w:lang w:eastAsia="zh-CN"/>
        </w:rPr>
        <w:t>pCoV</w:t>
      </w:r>
      <w:proofErr w:type="spellEnd"/>
      <w:r>
        <w:rPr>
          <w:lang w:eastAsia="zh-CN"/>
        </w:rPr>
        <w:t xml:space="preserve"> partial genome or gene </w:t>
      </w:r>
      <w:r>
        <w:t>sequences</w:t>
      </w:r>
      <w:r>
        <w:rPr>
          <w:lang w:eastAsia="zh-CN"/>
        </w:rPr>
        <w:t xml:space="preserve"> </w:t>
      </w:r>
      <w:r>
        <w:t>from the mapped reads were extracted from IGV</w:t>
      </w:r>
      <w:r>
        <w:rPr>
          <w:lang w:eastAsia="zh-CN"/>
        </w:rPr>
        <w:t xml:space="preserve"> </w:t>
      </w:r>
      <w:r>
        <w:t>v2.4.9</w:t>
      </w:r>
      <w:r>
        <w:fldChar w:fldCharType="begin"/>
      </w:r>
      <w:r>
        <w:instrText xml:space="preserve"> ADDIN ZOTERO_ITEM CSL_CITATION {"citationID":"puz2ESbo","properties":{"formattedCitation":"\\super 14\\uc0\\u8211{}16\\nosupersub{}","plainCitation":"14–16","noteIndex":0},"citationItems":[{"id":30,"uris":["http://zotero.org/users/7242262/items/37WPF2LL"],"uri":["http://zotero.org/users/7242262/items/37WPF2LL"],"itemData":{"id":30,"type":"article-journal","container-title":"Nature Biotechnology","DOI":"10/cpmj8s","ISSN":"1546-1696","issue":"1","language":"en","note":"number: 1\npublisher: Nature Publishing Group","page":"24-26","source":"www.nature.com","title":"Integrative genomics viewer","volume":"29","author":[{"family":"Robinson","given":"James T."},{"family":"Thorvaldsdóttir","given":"Helga"},{"family":"Winckler","given":"Wendy"},{"family":"Guttman","given":"Mitchell"},{"family":"Lander","given":"Eric S."},{"family":"Getz","given":"Gad"},{"family":"Mesirov","given":"Jill P."}],"issued":{"date-parts":[["2011",1]]}}},{"id":40,"uris":["http://zotero.org/users/7242262/items/4B66C6AF"],"uri":["http://zotero.org/users/7242262/items/4B66C6AF"],"itemData":{"id":40,"type":"article-journal","abstract":"Manual review of aligned reads for confirmation and interpretation of variant calls is an important step in many variant calling pipelines for next-generation sequencing (NGS) data. Visual inspection can greatly increase the confidence in calls, reduce the risk of false positives, and help characterize complex events. The Integrative Genomics Viewer (IGV) was one of the first tools to provide NGS data visualization, and it currently provides a rich set of tools for inspection, validation, and interpretation of NGS datasets, as well as other types of genomic data. Here, we present a short overview of IGV's variant review features for both single-nucleotide variants and structural variants, with examples from both cancer and germline datasets. IGV is freely available at https://www.igv.org Cancer Res; 77(21); e31-34. ©2017 AACR.","container-title":"Cancer Research","DOI":"10/gcjsxz","ISSN":"1538-7445","issue":"21","journalAbbreviation":"Cancer Res","language":"eng","note":"PMID: 29092934\nPMCID: PMC5678989","page":"e31-e34","source":"PubMed","title":"Variant review with the Integrative Genomics Viewer","volume":"77","author":[{"family":"Robinson","given":"James T."},{"family":"Thorvaldsdóttir","given":"Helga"},{"family":"Wenger","given":"Aaron M."},{"family":"Zehir","given":"Ahmet"},{"family":"Mesirov","given":"Jill P."}],"issued":{"date-parts":[["2017"]],"season":"01"}}},{"id":37,"uris":["http://zotero.org/users/7242262/items/YC3UWWGE"],"uri":["http://zotero.org/users/7242262/items/YC3UWWGE"],"itemData":{"id":37,"type":"article-journal","abstract":"Data visualization is an essential component of genomic data analysis. However, the size and diversity of the data sets produced by today's sequencing and array-based profiling methods present major challenges to visualization tools. The Integrative Genomics Viewer (IGV) is a high-performance viewer that efficiently handles large heterogeneous data sets, while providing a smooth and intuitive user experience at all levels of genome resolution. A key characteristic of IGV is its focus on the integrative nature of genomic studies, with support for both array-based and next-generation sequencing data, and the integration of clinical and phenotypic data. Although IGV is often used to view genomic data from public sources, its primary emphasis is to support researchers who wish to visualize and explore their own data sets or those from colleagues. To that end, IGV supports flexible loading of local and remote data sets, and is optimized to provide high-performance data visualization and exploration on standard desktop systems. IGV is freely available for download from http://www.broadinstitute.org/igv, under a GNU LGPL open-source license.","container-title":"Briefings in Bioinformatics","DOI":"10/f4sc43","ISSN":"1477-4054","issue":"2","journalAbbreviation":"Brief Bioinform","language":"eng","note":"PMID: 22517427\nPMCID: PMC3603213","page":"178-192","source":"PubMed","title":"Integrative Genomics Viewer (IGV): high-performance genomics data visualization and exploration","title-short":"Integrative Genomics Viewer (IGV)","volume":"14","author":[{"family":"Thorvaldsdóttir","given":"Helga"},{"family":"Robinson","given":"James T."},{"family":"Mesirov","given":"Jill P."}],"issued":{"date-parts":[["2013",3]]}}}],"schema":"https://github.com/citation-style-language/schema/raw/master/csl-citation.json"} </w:instrText>
      </w:r>
      <w:r>
        <w:fldChar w:fldCharType="separate"/>
      </w:r>
      <w:r>
        <w:rPr>
          <w:vertAlign w:val="superscript"/>
        </w:rPr>
        <w:t>14–16</w:t>
      </w:r>
      <w:r>
        <w:fldChar w:fldCharType="end"/>
      </w:r>
      <w:r>
        <w:t>. Phylogenetic trees were constructed using MEGA-X</w:t>
      </w:r>
      <w:r>
        <w:fldChar w:fldCharType="begin"/>
      </w:r>
      <w:r>
        <w:instrText xml:space="preserve"> ADDIN ZOTERO_ITEM CSL_CITATION {"citationID":"A8XslswT","properties":{"formattedCitation":"\\super 17\\nosupersub{}","plainCitation":"17","noteIndex":0},"citationItems":[{"id":291,"uris":["http://zotero.org/users/7242262/items/B2UFLGFV"],"uri":["http://zotero.org/users/7242262/items/B2UFLGFV"],"itemData":{"id":291,"type":"article-journal","abstract":"The Molecular Evolutionary Genetics Analysis (Mega) software implements many analytical methods and tools for phylogenomics and phylomedicine. Here, we report a transformation of Mega to enable cross-platform use on Microsoft Windows and Linux operating systems. Mega X does not require virtualization or emulation software and provides a uniform user experience across platforms. Mega X has additionally been upgraded to use multiple computing cores for many molecular evolutionary analyses. Mega X is available in two interfaces (graphical and command line) and can be downloaded from www.megasoftware.net free of charge.","container-title":"Molecular Biology and Evolution","DOI":"10/gd39d8","ISSN":"1537-1719","issue":"6","journalAbbreviation":"Mol Biol Evol","language":"eng","note":"PMID: 29722887\nPMCID: PMC5967553","page":"1547-1549","source":"PubMed","title":"MEGA X: Molecular Evolutionary Genetics Analysis across Computing Platforms","title-short":"MEGA X","volume":"35","author":[{"family":"Kumar","given":"Sudhir"},{"family":"Stecher","given":"Glen"},{"family":"Li","given":"Michael"},{"family":"Knyaz","given":"Christina"},{"family":"Tamura","given":"Koichiro"}],"issued":{"date-parts":[["2018",6,1]]}}}],"schema":"https://github.com/citation-style-language/schema/raw/master/csl-citation.json"} </w:instrText>
      </w:r>
      <w:r>
        <w:fldChar w:fldCharType="separate"/>
      </w:r>
      <w:r>
        <w:rPr>
          <w:vertAlign w:val="superscript"/>
        </w:rPr>
        <w:t>17</w:t>
      </w:r>
      <w:r>
        <w:fldChar w:fldCharType="end"/>
      </w:r>
      <w:r>
        <w:t>. Sequences were initially aligned using Multiple Sequence Comparison by Log-Expectation (MUSCLE) aligner</w:t>
      </w:r>
      <w:r>
        <w:fldChar w:fldCharType="begin"/>
      </w:r>
      <w:r>
        <w:instrText xml:space="preserve"> ADDIN ZOTERO_ITEM CSL_CITATION {"citationID":"hV2B4hMi","properties":{"formattedCitation":"\\super 18\\nosupersub{}","plainCitation":"18","noteIndex":0},"citationItems":[{"id":294,"uris":["http://zotero.org/users/7242262/items/TG75WTBK"],"uri":["http://zotero.org/users/7242262/items/TG75WTBK"],"itemData":{"id":294,"type":"article-journal","abstract":"BACKGROUND: In a previous paper, we introduced MUSCLE, a new program for creating multiple alignments of protein sequences, giving a brief summary of the algorithm and showing MUSCLE to achieve the highest scores reported to date on four alignment accuracy benchmarks. Here we present a more complete discussion of the algorithm, describing several previously unpublished techniques that improve biological accuracy and / or computational complexity. We introduce a new option, MUSCLE-fast, designed for high-throughput applications. We also describe a new protocol for evaluating objective functions that align two profiles.\nRESULTS: We compare the speed and accuracy of MUSCLE with CLUSTALW, Progressive POA and the MAFFT script FFTNS1, the fastest previously published program known to the author. Accuracy is measured using four benchmarks: BAliBASE, PREFAB, SABmark and SMART. We test three variants that offer highest accuracy (MUSCLE with default settings), highest speed (MUSCLE-fast), and a carefully chosen compromise between the two (MUSCLE-prog). We find MUSCLE-fast to be the fastest algorithm on all test sets, achieving average alignment accuracy similar to CLUSTALW in times that are typically two to three orders of magnitude less. MUSCLE-fast is able to align 1,000 sequences of average length 282 in 21 seconds on a current desktop computer.\nCONCLUSIONS: MUSCLE offers a range of options that provide improved speed and / or alignment accuracy compared with currently available programs. MUSCLE is freely available at http://www.drive5.com/muscle.","container-title":"BMC bioinformatics","DOI":"10/br3c6m","ISSN":"1471-2105","journalAbbreviation":"BMC Bioinformatics","language":"eng","note":"PMID: 15318951\nPMCID: PMC517706","page":"113","source":"PubMed","title":"MUSCLE: a multiple sequence alignment method with reduced time and space complexity","title-short":"MUSCLE","volume":"5","author":[{"family":"Edgar","given":"Robert C."}],"issued":{"date-parts":[["2004",8,19]]}}}],"schema":"https://github.com/citation-style-language/schema/raw/master/csl-citation.json"} </w:instrText>
      </w:r>
      <w:r>
        <w:fldChar w:fldCharType="separate"/>
      </w:r>
      <w:r>
        <w:rPr>
          <w:vertAlign w:val="superscript"/>
        </w:rPr>
        <w:t>18</w:t>
      </w:r>
      <w:r>
        <w:fldChar w:fldCharType="end"/>
      </w:r>
      <w:r>
        <w:t>. The alignments were manually curated to ensure accuracy. Maximum-likelihood trees were inferred using the Tamura-</w:t>
      </w:r>
      <w:proofErr w:type="spellStart"/>
      <w:r>
        <w:t>Nei</w:t>
      </w:r>
      <w:proofErr w:type="spellEnd"/>
      <w:r>
        <w:t xml:space="preserve"> DNA substitution model and nodal support was estimated using 1,000 replicates. </w:t>
      </w:r>
    </w:p>
    <w:p w14:paraId="3C00E535" w14:textId="77777777" w:rsidR="00211AFB" w:rsidRDefault="007258BA">
      <w:pPr>
        <w:pStyle w:val="Heading2"/>
      </w:pPr>
      <w:r>
        <w:t>Differential expression (DE) analysis</w:t>
      </w:r>
    </w:p>
    <w:p w14:paraId="09660084" w14:textId="77777777" w:rsidR="00211AFB" w:rsidRDefault="007258BA">
      <w:pPr>
        <w:ind w:firstLineChars="0" w:firstLine="0"/>
      </w:pPr>
      <w:r>
        <w:t>The read counts and normalised Fragments Per Kilobase Million (FPKM) for each gene were generated according to the Cufflinks pipeline</w:t>
      </w:r>
      <w:r>
        <w:fldChar w:fldCharType="begin"/>
      </w:r>
      <w:r>
        <w:instrText xml:space="preserve"> ADDIN ZOTERO_ITEM CSL_CITATION {"citationID":"qsYPmUOt","properties":{"formattedCitation":"\\super 19\\nosupersub{}","plainCitation":"19","noteIndex":0},"citationItems":[{"id":20,"uris":["http://zotero.org/users/7242262/items/PBBN8QJN"],"uri":["http://zotero.org/users/7242262/items/PBBN8QJN"],"itemData":{"id":20,"type":"article-journal","abstract":"Recent advances in high-throughput cDNA sequencing (RNA-seq) can reveal new genes and splice variants and quantify expression genome-wide in a single assay. The volume and complexity of data from RNA-seq experiments necessitate scalable, fast and mathematically principled analysis software. TopHat and Cufflinks are free, open-source software tools for gene discovery and comprehensive expression analysis of high-throughput mRNA sequencing (RNA-seq) data. Together, they allow biologists to identify new genes and new splice variants of known ones, as well as compare gene and transcript expression under two or more conditions. This protocol describes in detail how to use TopHat and Cufflinks to perform such analyses. It also covers several accessory tools and utilities that aid in managing data, including CummeRbund, a tool for visualizing RNA-seq analysis results. Although the procedure assumes basic informatics skills, these tools assume little to no background with RNA-seq analysis and are meant for novices and experts alike. The protocol begins with raw sequencing reads and produces a transcriptome assembly, lists of differentially expressed and regulated genes and transcripts, and publication-quality visualizations of analysis results. The protocol's execution time depends on the volume of transcriptome sequencing data and available computing resources but takes less than 1 d of computer time for typical experiments and </w:instrText>
      </w:r>
      <w:r>
        <w:rPr>
          <w:rFonts w:ascii="Cambria Math" w:hAnsi="Cambria Math" w:cs="Cambria Math"/>
        </w:rPr>
        <w:instrText>∼</w:instrText>
      </w:r>
      <w:r>
        <w:instrText xml:space="preserve">1 h of hands-on time.","container-title":"Nature Protocols","DOI":"10/f4pbzd","ISSN":"1750-2799","issue":"3","language":"en","note":"number: 3\npublisher: Nature Publishing Group","page":"562-578","source":"www.nature.com","title":"Differential gene and transcript expression analysis of RNA-seq experiments with TopHat and Cufflinks","volume":"7","author":[{"family":"Trapnell","given":"Cole"},{"family":"Roberts","given":"Adam"},{"family":"Goff","given":"Loyal"},{"family":"Pertea","given":"Geo"},{"family":"Kim","given":"Daehwan"},{"family":"Kelley","given":"David R."},{"family":"Pimentel","given":"Harold"},{"family":"Salzberg","given":"Steven L."},{"family":"Rinn","given":"John L."},{"family":"Pachter","given":"Lior"}],"issued":{"date-parts":[["2012",3]]}}}],"schema":"https://github.com/citation-style-language/schema/raw/master/csl-citation.json"} </w:instrText>
      </w:r>
      <w:r>
        <w:fldChar w:fldCharType="separate"/>
      </w:r>
      <w:r>
        <w:rPr>
          <w:vertAlign w:val="superscript"/>
        </w:rPr>
        <w:t>19</w:t>
      </w:r>
      <w:r>
        <w:fldChar w:fldCharType="end"/>
      </w:r>
      <w:r>
        <w:t>. The genes of FPKM less than one were considered as low expression or noise and being filtered. The remaining genes were considered as up-regulated differentially expressed genes (DEGs) if log</w:t>
      </w:r>
      <w:r>
        <w:rPr>
          <w:rStyle w:val="subscriptChar"/>
        </w:rPr>
        <w:t>2</w:t>
      </w:r>
      <w:r>
        <w:t xml:space="preserve"> fold change (FC) were higher than one, and down-regulated DEGs if log</w:t>
      </w:r>
      <w:r>
        <w:rPr>
          <w:rStyle w:val="subscriptChar"/>
        </w:rPr>
        <w:t>2</w:t>
      </w:r>
      <w:r>
        <w:t xml:space="preserve"> FC were lower than one (coronavirus versus </w:t>
      </w:r>
      <w:r>
        <w:lastRenderedPageBreak/>
        <w:t>control). For human samples, we used the differential expression (DE) analysis results provided by Blanco-Melo et al.</w:t>
      </w:r>
      <w:r>
        <w:fldChar w:fldCharType="begin"/>
      </w:r>
      <w:r>
        <w:instrText xml:space="preserve"> ADDIN ZOTERO_ITEM CSL_CITATION {"citationID":"XHHxyESa","properties":{"formattedCitation":"\\super 9\\nosupersub{}","plainCitation":"9","noteIndex":0},"citationItems":[{"id":46,"uris":["http://zotero.org/users/7242262/items/VWJ27MH7"],"uri":["http://zotero.org/users/7242262/items/VWJ27MH7"],"itemData":{"id":46,"type":"article-journal","abstract":"Viral pandemics, such as the one caused by SARS-CoV-2, pose an imminent threat to humanity. Because of its recent emergence, there is a paucity of information regarding viral behavior and host response following SARS-CoV-2 infection. Here we offer an in-depth analysis of the transcriptional response to SARS-CoV-2 compared with other respiratory viruses. Cell and animal models of SARS-CoV-2 infection, in addition to transcriptional and serum profiling of COVID-19 patients, consistently revealed a unique and inappropriate inflammatory response. This response is defined by low levels of type I and III interferons juxtaposed to elevated chemokines and high expression of IL-6. We propose that reduced innate antiviral defenses coupled with exuberant inflammatory cytokine production are the defining and driving features of COVID-19.","container-title":"Cell","DOI":"10/ggw5tq","ISSN":"1097-4172","issue":"5","journalAbbreviation":"Cell","language":"eng","note":"PMID: 32416070\nPMCID: PMC7227586","page":"1036-1045.e9","source":"PubMed","title":"Imbalanced host response to SARS-CoV-2 drives development of COVID-19","volume":"181","author":[{"family":"Blanco-Melo","given":"Daniel"},{"family":"Nilsson-Payant","given":"Benjamin E."},{"family":"Liu","given":"Wen-Chun"},{"family":"Uhl","given":"Skyler"},{"family":"Hoagland","given":"Daisy"},{"family":"Møller","given":"Rasmus"},{"family":"Jordan","given":"Tristan X."},{"family":"Oishi","given":"Kohei"},{"family":"Panis","given":"Maryline"},{"family":"Sachs","given":"David"},{"family":"Wang","given":"Taia T."},{"family":"Schwartz","given":"Robert E."},{"family":"Lim","given":"Jean K."},{"family":"Albrecht","given":"Randy A."},{"family":"tenOever","given":"Benjamin R."}],"issued":{"date-parts":[["2020"]]}},"locator":"-19","suppress-author":true}],"schema":"https://github.com/citation-style-language/schema/raw/master/csl-citation.json"} </w:instrText>
      </w:r>
      <w:r>
        <w:fldChar w:fldCharType="separate"/>
      </w:r>
      <w:r>
        <w:rPr>
          <w:vertAlign w:val="superscript"/>
        </w:rPr>
        <w:t>9</w:t>
      </w:r>
      <w:r>
        <w:fldChar w:fldCharType="end"/>
      </w:r>
      <w:r>
        <w:t xml:space="preserve">. To compare the human gene expression with pangolin, we generated the normalised read counts for each human sample using the same approaches as above. </w:t>
      </w:r>
    </w:p>
    <w:p w14:paraId="7A279B43" w14:textId="77777777" w:rsidR="00211AFB" w:rsidRDefault="007258BA">
      <w:pPr>
        <w:pStyle w:val="Heading2"/>
      </w:pPr>
      <w:r>
        <w:t>Functional enrichment analysis</w:t>
      </w:r>
    </w:p>
    <w:p w14:paraId="5C7C6408" w14:textId="77777777" w:rsidR="00211AFB" w:rsidRDefault="007258BA">
      <w:pPr>
        <w:ind w:firstLineChars="0" w:firstLine="0"/>
      </w:pPr>
      <w:r>
        <w:t xml:space="preserve">Gene set enrichment analysis (GSEA) and over-representation analysis (ORA) were performed using </w:t>
      </w:r>
      <w:proofErr w:type="spellStart"/>
      <w:r>
        <w:t>clusterProfiler</w:t>
      </w:r>
      <w:proofErr w:type="spellEnd"/>
      <w:r>
        <w:t xml:space="preserve"> v3.18.0</w:t>
      </w:r>
      <w:r>
        <w:fldChar w:fldCharType="begin"/>
      </w:r>
      <w:r>
        <w:instrText xml:space="preserve"> ADDIN ZOTERO_ITEM CSL_CITATION {"citationID":"POMhjWcs","properties":{"formattedCitation":"\\super 20\\nosupersub{}","plainCitation":"20","noteIndex":0},"citationItems":[{"id":52,"uris":["http://zotero.org/users/7242262/items/P9CZAV2C"],"uri":["http://zotero.org/users/7242262/items/P9CZAV2C"],"itemData":{"id":52,"type":"article-journal","abstract":"Increasing quantitative data generated from transcriptomics and proteomics require integrative strategies for analysis. Here, we present an R package, clusterProfiler that automates the process of biological-term classification and the enrichment analysis of gene clusters. The analysis module and visualization module were combined into a reusable workflow. Currently, clusterProfiler supports three species, including humans, mice, and yeast. Methods provided in this package can be easily extended to other species and ontologies. The clusterProfiler package is released under Artistic-2.0 License within Bioconductor project. The source code and vignette are freely available at http://bioconductor.org/packages/release/bioc/html/clusterProfiler.html.","container-title":"Omics: A Journal of Integrative Biology","DOI":"10/gdf33f","ISSN":"1557-8100","issue":"5","journalAbbreviation":"OMICS","language":"eng","note":"PMID: 22455463\nPMCID: PMC3339379","page":"284-287","source":"PubMed","title":"clusterProfiler: an R package for comparing biological themes among gene clusters","title-short":"clusterProfiler","volume":"16","author":[{"family":"Yu","given":"Guangchuang"},{"family":"Wang","given":"Li-Gen"},{"family":"Han","given":"Yanyan"},{"family":"He","given":"Qing-Yu"}],"issued":{"date-parts":[["2012",5]]}}}],"schema":"https://github.com/citation-style-language/schema/raw/master/csl-citation.json"} </w:instrText>
      </w:r>
      <w:r>
        <w:fldChar w:fldCharType="separate"/>
      </w:r>
      <w:r>
        <w:rPr>
          <w:vertAlign w:val="superscript"/>
        </w:rPr>
        <w:t>20</w:t>
      </w:r>
      <w:r>
        <w:fldChar w:fldCharType="end"/>
      </w:r>
      <w:r>
        <w:t xml:space="preserve">. GSEA was done using all the pangolin genes or human genes using </w:t>
      </w:r>
      <w:proofErr w:type="spellStart"/>
      <w:r>
        <w:t>fgsea</w:t>
      </w:r>
      <w:proofErr w:type="spellEnd"/>
      <w:r>
        <w:t xml:space="preserve"> method</w:t>
      </w:r>
      <w:r>
        <w:fldChar w:fldCharType="begin"/>
      </w:r>
      <w:r>
        <w:instrText xml:space="preserve"> ADDIN ZOTERO_ITEM CSL_CITATION {"citationID":"KeqO72n0","properties":{"formattedCitation":"\\super 21\\nosupersub{}","plainCitation":"21","noteIndex":0},"citationItems":[{"id":139,"uris":["http://zotero.org/users/7242262/items/YGQHISY5"],"uri":["http://zotero.org/users/7242262/items/YGQHISY5"],"itemData":{"id":139,"type":"article-journal","abstract":"&lt;h3&gt;Abstract&lt;/h3&gt; &lt;p&gt;Gene set enrichment analysis is a widely used tool for analyzing gene expression data. However, current implementations are slow due to a large number of required samples for the analysis to have a good statistical power. In this paper we present a novel algorithm, that efficiently reuses one sample multiple times and thus speeds up the analysis. We show that it is possible to make hundreds of thousands permutations in a few minutes, which leads to very accurate p-values. This, in turn, allows applying standard FDR correction procedures, which are more accurate than the ones currently used. The method is implemented in a form of an R package and is freely available at https://github.com/ctlab/fgsea.&lt;/p&gt;","container-title":"bioRxiv","DOI":"10/gfpqhm","language":"en","note":"publisher: Cold Spring Harbor Laboratory\nsection: New Results","page":"060012","source":"www.biorxiv.org","title":"An algorithm for fast preranked gene set enrichment analysis using cumulative statistic calculation","author":[{"family":"Sergushichev","given":"Alexey A."}],"issued":{"date-parts":[["2016",6,20]]}}}],"schema":"https://github.com/citation-style-language/schema/raw/master/csl-citation.json"} </w:instrText>
      </w:r>
      <w:r>
        <w:fldChar w:fldCharType="separate"/>
      </w:r>
      <w:r>
        <w:rPr>
          <w:vertAlign w:val="superscript"/>
        </w:rPr>
        <w:t>21</w:t>
      </w:r>
      <w:r>
        <w:fldChar w:fldCharType="end"/>
      </w:r>
      <w:r>
        <w:t xml:space="preserve">. </w:t>
      </w:r>
    </w:p>
    <w:p w14:paraId="2B166924" w14:textId="77777777" w:rsidR="00211AFB" w:rsidRDefault="007258BA">
      <w:pPr>
        <w:ind w:firstLineChars="0" w:firstLine="0"/>
      </w:pPr>
      <w:r>
        <w:t>We performed ORA using pangolin skin-specific or human lung-specific DEGs, compared against all the genes in pangolin or human (as background). Gene sets used in ORA and GSEA were based on human, including gene ontology (GO) biological process (BP) gene sets</w:t>
      </w:r>
      <w:r>
        <w:fldChar w:fldCharType="begin"/>
      </w:r>
      <w:r>
        <w:instrText xml:space="preserve"> ADDIN ZOTERO_ITEM CSL_CITATION {"citationID":"bcHdS7Ka","properties":{"formattedCitation":"\\super 22\\nosupersub{}","plainCitation":"22","noteIndex":0},"citationItems":[{"id":67,"uris":["http://zotero.org/users/7242262/items/YDV3KHSA"],"uri":["http://zotero.org/users/7242262/items/YDV3KHSA"],"itemData":{"id":67,"type":"article-journal","abstract":"Genomic sequencing has made it clear that a large fraction of the genes specifying the core biological functions are shared by all eukaryotes. Knowledge of the biological role of such shared proteins in one organism can often be transferred to other organisms. The goal of the Gene Ontology Consortium is to produce a dynamic, controlled vocabulary that can be applied to all eukaryotes even as knowledge of gene and protein roles in cells is accumulating and changing. To this end, three independent ontologies accessible on the World-Wide Web (http://www.geneontology.org) are being constructed: biological process, molecular function and cellular component.","container-title":"Nature genetics","DOI":"10/b9gp96","ISSN":"1061-4036","issue":"1","journalAbbreviation":"Nat Genet","note":"PMID: 10802651\nPMCID: PMC3037419","page":"25-29","source":"PubMed Central","title":"Gene Ontology: tool for the unification of biology","title-short":"Gene Ontology","volume":"25","author":[{"family":"Ashburner","given":"Michael"},{"family":"Ball","given":"Catherine A."},{"family":"Blake","given":"Judith A."},{"family":"Botstein","given":"David"},{"family":"Butler","given":"Heather"},{"family":"Cherry","given":"J. Michael"},{"family":"Davis","given":"Allan P."},{"family":"Dolinski","given":"Kara"},{"family":"Dwight","given":"Selina S."},{"family":"Eppig","given":"Janan T."},{"family":"Harris","given":"Midori A."},{"family":"Hill","given":"David P."},{"family":"Issel-Tarver","given":"Laurie"},{"family":"Kasarskis","given":"Andrew"},{"family":"Lewis","given":"Suzanna"},{"family":"Matese","given":"John C."},{"family":"Richardson","given":"Joel E."},{"family":"Ringwald","given":"Martin"},{"family":"Rubin","given":"Gerald M."},{"family":"Sherlock","given":"Gavin"}],"issued":{"date-parts":[["2000",5]]}}}],"schema":"https://github.com/citation-style-language/schema/raw/master/csl-citation.json"} </w:instrText>
      </w:r>
      <w:r>
        <w:fldChar w:fldCharType="separate"/>
      </w:r>
      <w:r>
        <w:rPr>
          <w:vertAlign w:val="superscript"/>
        </w:rPr>
        <w:t>22</w:t>
      </w:r>
      <w:r>
        <w:fldChar w:fldCharType="end"/>
      </w:r>
      <w:r>
        <w:t xml:space="preserve"> queried using </w:t>
      </w:r>
      <w:proofErr w:type="spellStart"/>
      <w:r>
        <w:t>AnnotationHub</w:t>
      </w:r>
      <w:proofErr w:type="spellEnd"/>
      <w:r>
        <w:t xml:space="preserve"> v2.22.0</w:t>
      </w:r>
      <w:r>
        <w:fldChar w:fldCharType="begin"/>
      </w:r>
      <w:r>
        <w:instrText xml:space="preserve"> ADDIN ZOTERO_ITEM CSL_CITATION {"citationID":"CvAarBam","properties":{"formattedCitation":"\\super 23\\nosupersub{}","plainCitation":"23","noteIndex":0},"citationItems":[{"id":70,"uris":["http://zotero.org/users/7242262/items/8PLVA8AU"],"uri":["http://zotero.org/users/7242262/items/8PLVA8AU"],"itemData":{"id":70,"type":"book","abstract":"This package provides a client for the Bioconductor AnnotationHub web resource. The AnnotationHub web resource provides a central location where genomic files (e.g., VCF, bed, wig) and other resources from standard locations (e.g., UCSC, Ensembl) can be discovered. The resource includes metadata about each resource, e.g., a textual description, tags, and date of modification. The client creates and manages a local cache of files retrieved by the user, helping with quick and reproducible access.","note":"DOI: 10.18129/B9.bioc.AnnotationHub","publisher":"Bioconductor version: Release (3.12)","source":"Bioconductor","title":"AnnotationHub: Client to access AnnotationHub resources","title-short":"AnnotationHub","URL":"https://bioconductor.org/packages/AnnotationHub/","version":"2.22.0","author":[{"family":"Morgan","given":"Martin"},{"family":"Carlson","given":"Marc"},{"family":"Tenenbaum","given":"Dan"},{"family":"Arora","given":"Sonali"},{"family":"Oberchain","given":"Valerie"},{"family":"Morrell","given":"Kayla"},{"family":"Shepherd","given":"Lori"}],"accessed":{"date-parts":[["2020",12,13]]},"issued":{"date-parts":[["2020"]]}}}],"schema":"https://github.com/citation-style-language/schema/raw/master/csl-citation.json"} </w:instrText>
      </w:r>
      <w:r>
        <w:fldChar w:fldCharType="separate"/>
      </w:r>
      <w:r>
        <w:rPr>
          <w:vertAlign w:val="superscript"/>
        </w:rPr>
        <w:t>23</w:t>
      </w:r>
      <w:r>
        <w:fldChar w:fldCharType="end"/>
      </w:r>
      <w:r>
        <w:t xml:space="preserve"> and Kyoto </w:t>
      </w:r>
      <w:proofErr w:type="spellStart"/>
      <w:r>
        <w:t>Encyclopedia</w:t>
      </w:r>
      <w:proofErr w:type="spellEnd"/>
      <w:r>
        <w:t xml:space="preserve"> of Genes and Genomes (KEGG) pathway gene sets</w:t>
      </w:r>
      <w:r>
        <w:fldChar w:fldCharType="begin"/>
      </w:r>
      <w:r>
        <w:instrText xml:space="preserve"> ADDIN ZOTERO_ITEM CSL_CITATION {"citationID":"iAyyFn1f","properties":{"formattedCitation":"\\super 24\\nosupersub{}","plainCitation":"24","noteIndex":0},"citationItems":[{"id":55,"uris":["http://zotero.org/users/7242262/items/PQA3QJCK"],"uri":["http://zotero.org/users/7242262/items/PQA3QJCK"],"itemData":{"id":55,"type":"article-journal","abstract":"KEGG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 genome.ad.jp/kegg/).","container-title":"Nucleic Acids Research","DOI":"10/b9st54","ISSN":"0305-1048","issue":"1","journalAbbreviation":"Nucleic Acids Res","language":"eng","note":"PMID: 10592173\nPMCID: PMC102409","page":"27-30","source":"PubMed","title":"KEGG: kyoto encyclopedia of genes and genomes","title-short":"KEGG","volume":"28","author":[{"family":"Kanehisa","given":"M."},{"family":"Goto","given":"S."}],"issued":{"date-parts":[["2000",1,1]]}}}],"schema":"https://github.com/citation-style-language/schema/raw/master/csl-citation.json"} </w:instrText>
      </w:r>
      <w:r>
        <w:fldChar w:fldCharType="separate"/>
      </w:r>
      <w:r>
        <w:rPr>
          <w:vertAlign w:val="superscript"/>
        </w:rPr>
        <w:t>24</w:t>
      </w:r>
      <w:r>
        <w:fldChar w:fldCharType="end"/>
      </w:r>
      <w:r>
        <w:t xml:space="preserve">. For ORA, we defined an enrichment score for each enriched term as </w:t>
      </w:r>
      <w:proofErr w:type="gramStart"/>
      <w:r>
        <w:t>below</w:t>
      </w:r>
      <w:proofErr w:type="gramEnd"/>
    </w:p>
    <w:p w14:paraId="15CC4294" w14:textId="77777777" w:rsidR="00211AFB" w:rsidRDefault="00410C72">
      <m:oMathPara>
        <m:oMath>
          <m:f>
            <m:fPr>
              <m:ctrlPr>
                <w:rPr>
                  <w:rFonts w:ascii="Cambria Math" w:hAnsi="Cambria Math"/>
                </w:rPr>
              </m:ctrlPr>
            </m:fPr>
            <m:num>
              <m:f>
                <m:fPr>
                  <m:type m:val="skw"/>
                  <m:ctrlPr>
                    <w:rPr>
                      <w:rFonts w:ascii="Cambria Math" w:hAnsi="Cambria Math"/>
                    </w:rPr>
                  </m:ctrlPr>
                </m:fPr>
                <m:num>
                  <m:sSub>
                    <m:sSubPr>
                      <m:ctrlPr>
                        <w:rPr>
                          <w:rFonts w:ascii="Cambria Math" w:hAnsi="Cambria Math"/>
                        </w:rPr>
                      </m:ctrlPr>
                    </m:sSubPr>
                    <m:e>
                      <m:r>
                        <w:rPr>
                          <w:rFonts w:ascii="Cambria Math" w:hAnsi="Cambria Math"/>
                        </w:rPr>
                        <m:t>F</m:t>
                      </m:r>
                    </m:e>
                    <m:sub>
                      <m:r>
                        <w:rPr>
                          <w:rFonts w:ascii="Cambria Math" w:hAnsi="Cambria Math"/>
                        </w:rPr>
                        <m:t>in</m:t>
                      </m:r>
                    </m:sub>
                  </m:sSub>
                </m:num>
                <m:den>
                  <m:sSub>
                    <m:sSubPr>
                      <m:ctrlPr>
                        <w:rPr>
                          <w:rFonts w:ascii="Cambria Math" w:hAnsi="Cambria Math"/>
                        </w:rPr>
                      </m:ctrlPr>
                    </m:sSubPr>
                    <m:e>
                      <m:r>
                        <w:rPr>
                          <w:rFonts w:ascii="Cambria Math" w:hAnsi="Cambria Math"/>
                        </w:rPr>
                        <m:t>F</m:t>
                      </m:r>
                    </m:e>
                    <m:sub>
                      <m:r>
                        <w:rPr>
                          <w:rFonts w:ascii="Cambria Math" w:hAnsi="Cambria Math"/>
                        </w:rPr>
                        <m:t>all</m:t>
                      </m:r>
                    </m:sub>
                  </m:sSub>
                </m:den>
              </m:f>
            </m:num>
            <m:den>
              <m:f>
                <m:fPr>
                  <m:type m:val="skw"/>
                  <m:ctrlPr>
                    <w:rPr>
                      <w:rFonts w:ascii="Cambria Math" w:hAnsi="Cambria Math"/>
                    </w:rPr>
                  </m:ctrlPr>
                </m:fPr>
                <m:num>
                  <m:sSub>
                    <m:sSubPr>
                      <m:ctrlPr>
                        <w:rPr>
                          <w:rFonts w:ascii="Cambria Math" w:hAnsi="Cambria Math"/>
                        </w:rPr>
                      </m:ctrlPr>
                    </m:sSubPr>
                    <m:e>
                      <m:r>
                        <w:rPr>
                          <w:rFonts w:ascii="Cambria Math" w:hAnsi="Cambria Math"/>
                        </w:rPr>
                        <m:t>B</m:t>
                      </m:r>
                    </m:e>
                    <m:sub>
                      <m:r>
                        <w:rPr>
                          <w:rFonts w:ascii="Cambria Math" w:hAnsi="Cambria Math"/>
                        </w:rPr>
                        <m:t>in</m:t>
                      </m:r>
                    </m:sub>
                  </m:sSub>
                </m:num>
                <m:den>
                  <m:sSub>
                    <m:sSubPr>
                      <m:ctrlPr>
                        <w:rPr>
                          <w:rFonts w:ascii="Cambria Math" w:hAnsi="Cambria Math"/>
                        </w:rPr>
                      </m:ctrlPr>
                    </m:sSubPr>
                    <m:e>
                      <m:r>
                        <w:rPr>
                          <w:rFonts w:ascii="Cambria Math" w:hAnsi="Cambria Math"/>
                        </w:rPr>
                        <m:t>B</m:t>
                      </m:r>
                    </m:e>
                    <m:sub>
                      <m:r>
                        <w:rPr>
                          <w:rFonts w:ascii="Cambria Math" w:hAnsi="Cambria Math"/>
                        </w:rPr>
                        <m:t>all</m:t>
                      </m:r>
                    </m:sub>
                  </m:sSub>
                </m:den>
              </m:f>
            </m:den>
          </m:f>
        </m:oMath>
      </m:oMathPara>
    </w:p>
    <w:p w14:paraId="274899C2" w14:textId="77777777" w:rsidR="00211AFB" w:rsidRDefault="007258BA">
      <w:r>
        <w:t xml:space="preserve">, where </w:t>
      </w:r>
      <m:oMath>
        <m:sSub>
          <m:sSubPr>
            <m:ctrlPr>
              <w:rPr>
                <w:rFonts w:ascii="Cambria Math" w:hAnsi="Cambria Math"/>
                <w:i/>
              </w:rPr>
            </m:ctrlPr>
          </m:sSubPr>
          <m:e>
            <m:r>
              <w:rPr>
                <w:rFonts w:ascii="Cambria Math" w:hAnsi="Cambria Math"/>
              </w:rPr>
              <m:t>F</m:t>
            </m:r>
          </m:e>
          <m:sub>
            <m:r>
              <w:rPr>
                <w:rFonts w:ascii="Cambria Math" w:hAnsi="Cambria Math"/>
              </w:rPr>
              <m:t>in</m:t>
            </m:r>
          </m:sub>
        </m:sSub>
      </m:oMath>
      <w:r>
        <w:t xml:space="preserve"> and </w:t>
      </w:r>
      <m:oMath>
        <m:sSub>
          <m:sSubPr>
            <m:ctrlPr>
              <w:rPr>
                <w:rFonts w:ascii="Cambria Math" w:hAnsi="Cambria Math"/>
                <w:i/>
              </w:rPr>
            </m:ctrlPr>
          </m:sSubPr>
          <m:e>
            <m:r>
              <w:rPr>
                <w:rFonts w:ascii="Cambria Math" w:hAnsi="Cambria Math"/>
              </w:rPr>
              <m:t>B</m:t>
            </m:r>
          </m:e>
          <m:sub>
            <m:r>
              <w:rPr>
                <w:rFonts w:ascii="Cambria Math" w:hAnsi="Cambria Math"/>
              </w:rPr>
              <m:t>in</m:t>
            </m:r>
          </m:sub>
        </m:sSub>
      </m:oMath>
      <w:r>
        <w:t xml:space="preserve"> are number of genes belonging to the term in the foreground (test) gene set and background gene set, and </w:t>
      </w:r>
      <m:oMath>
        <m:sSub>
          <m:sSubPr>
            <m:ctrlPr>
              <w:rPr>
                <w:rFonts w:ascii="Cambria Math" w:hAnsi="Cambria Math"/>
                <w:i/>
              </w:rPr>
            </m:ctrlPr>
          </m:sSubPr>
          <m:e>
            <m:r>
              <w:rPr>
                <w:rFonts w:ascii="Cambria Math" w:hAnsi="Cambria Math"/>
              </w:rPr>
              <m:t>F</m:t>
            </m:r>
          </m:e>
          <m:sub>
            <m:r>
              <w:rPr>
                <w:rFonts w:ascii="Cambria Math" w:hAnsi="Cambria Math"/>
              </w:rPr>
              <m:t>all</m:t>
            </m:r>
          </m:sub>
        </m:sSub>
      </m:oMath>
      <w:r>
        <w:t xml:space="preserve"> and </w:t>
      </w:r>
      <m:oMath>
        <m:sSub>
          <m:sSubPr>
            <m:ctrlPr>
              <w:rPr>
                <w:rFonts w:ascii="Cambria Math" w:hAnsi="Cambria Math"/>
                <w:i/>
              </w:rPr>
            </m:ctrlPr>
          </m:sSubPr>
          <m:e>
            <m:r>
              <w:rPr>
                <w:rFonts w:ascii="Cambria Math" w:hAnsi="Cambria Math"/>
              </w:rPr>
              <m:t>B</m:t>
            </m:r>
          </m:e>
          <m:sub>
            <m:r>
              <w:rPr>
                <w:rFonts w:ascii="Cambria Math" w:hAnsi="Cambria Math"/>
              </w:rPr>
              <m:t>all</m:t>
            </m:r>
          </m:sub>
        </m:sSub>
      </m:oMath>
      <w:r>
        <w:t xml:space="preserve"> are the number of all the genes in the foreground (test) and background gene set. The results with false discovery rate (FDR) adjusted </w:t>
      </w:r>
      <w:r>
        <w:rPr>
          <w:rStyle w:val="Emphasis"/>
        </w:rPr>
        <w:t>p</w:t>
      </w:r>
      <w:r>
        <w:t xml:space="preserve">-values lower than 0.05 were considered as significant. </w:t>
      </w:r>
    </w:p>
    <w:p w14:paraId="7CBF1346" w14:textId="3B740513" w:rsidR="00211AFB" w:rsidRDefault="007258BA">
      <w:pPr>
        <w:pStyle w:val="Heading2"/>
        <w:spacing w:line="480" w:lineRule="auto"/>
        <w:rPr>
          <w:lang w:val="en-US"/>
        </w:rPr>
      </w:pPr>
      <w:r>
        <w:lastRenderedPageBreak/>
        <w:t xml:space="preserve">Analysing the expression of </w:t>
      </w:r>
      <w:r w:rsidR="00D4388F">
        <w:t>ERV</w:t>
      </w:r>
      <w:r>
        <w:t xml:space="preserve"> </w:t>
      </w:r>
      <w:r>
        <w:rPr>
          <w:lang w:eastAsia="zh-CN"/>
        </w:rPr>
        <w:t>genes</w:t>
      </w:r>
    </w:p>
    <w:p w14:paraId="49536C93" w14:textId="3912EB39" w:rsidR="00211AFB" w:rsidRDefault="007258BA">
      <w:pPr>
        <w:ind w:firstLineChars="0" w:firstLine="0"/>
      </w:pPr>
      <w:r>
        <w:t xml:space="preserve">3,162 common viral proteins in the </w:t>
      </w:r>
      <w:proofErr w:type="spellStart"/>
      <w:r>
        <w:t>UniProt</w:t>
      </w:r>
      <w:proofErr w:type="spellEnd"/>
      <w:r>
        <w:t xml:space="preserve"> database were downloaded using the criteria: "Viruses [10239]" (</w:t>
      </w:r>
      <w:proofErr w:type="spellStart"/>
      <w:proofErr w:type="gramStart"/>
      <w:r>
        <w:t>name:helicase</w:t>
      </w:r>
      <w:proofErr w:type="spellEnd"/>
      <w:proofErr w:type="gramEnd"/>
      <w:r>
        <w:t xml:space="preserve"> OR </w:t>
      </w:r>
      <w:proofErr w:type="spellStart"/>
      <w:r>
        <w:t>gene:gag</w:t>
      </w:r>
      <w:proofErr w:type="spellEnd"/>
      <w:r>
        <w:t xml:space="preserve"> OR </w:t>
      </w:r>
      <w:proofErr w:type="spellStart"/>
      <w:r>
        <w:t>gene:c</w:t>
      </w:r>
      <w:proofErr w:type="spellEnd"/>
      <w:r>
        <w:t xml:space="preserve"> OR </w:t>
      </w:r>
      <w:proofErr w:type="spellStart"/>
      <w:r>
        <w:t>gene:pol</w:t>
      </w:r>
      <w:proofErr w:type="spellEnd"/>
      <w:r>
        <w:t xml:space="preserve"> OR </w:t>
      </w:r>
      <w:proofErr w:type="spellStart"/>
      <w:r>
        <w:t>gene:env</w:t>
      </w:r>
      <w:proofErr w:type="spellEnd"/>
      <w:r>
        <w:t xml:space="preserve"> OR </w:t>
      </w:r>
      <w:proofErr w:type="spellStart"/>
      <w:r>
        <w:t>gene:tat</w:t>
      </w:r>
      <w:proofErr w:type="spellEnd"/>
      <w:r>
        <w:t xml:space="preserve"> OR </w:t>
      </w:r>
      <w:proofErr w:type="spellStart"/>
      <w:r>
        <w:t>gene:s</w:t>
      </w:r>
      <w:proofErr w:type="spellEnd"/>
      <w:r>
        <w:t xml:space="preserve"> OR </w:t>
      </w:r>
      <w:proofErr w:type="spellStart"/>
      <w:r>
        <w:t>gene:rev</w:t>
      </w:r>
      <w:proofErr w:type="spellEnd"/>
      <w:r>
        <w:t xml:space="preserve"> OR </w:t>
      </w:r>
      <w:proofErr w:type="spellStart"/>
      <w:r>
        <w:t>gene:rep</w:t>
      </w:r>
      <w:proofErr w:type="spellEnd"/>
      <w:r>
        <w:t xml:space="preserve"> OR </w:t>
      </w:r>
      <w:proofErr w:type="spellStart"/>
      <w:r>
        <w:t>name:polymerase</w:t>
      </w:r>
      <w:proofErr w:type="spellEnd"/>
      <w:r>
        <w:t xml:space="preserve"> OR </w:t>
      </w:r>
      <w:proofErr w:type="spellStart"/>
      <w:r>
        <w:t>gene:nef</w:t>
      </w:r>
      <w:proofErr w:type="spellEnd"/>
      <w:r>
        <w:t xml:space="preserve">) AND </w:t>
      </w:r>
      <w:proofErr w:type="spellStart"/>
      <w:r>
        <w:t>reviewed:yes</w:t>
      </w:r>
      <w:proofErr w:type="spellEnd"/>
      <w:r>
        <w:t xml:space="preserve">. The endogenous viral genes were explored using the </w:t>
      </w:r>
      <w:r w:rsidR="00D4388F">
        <w:t>T</w:t>
      </w:r>
      <w:r>
        <w:t>BLAST</w:t>
      </w:r>
      <w:r w:rsidR="00D4388F">
        <w:t>N</w:t>
      </w:r>
      <w:r w:rsidR="00D4388F">
        <w:rPr>
          <w:lang w:eastAsia="zh-CN"/>
        </w:rPr>
        <w:fldChar w:fldCharType="begin"/>
      </w:r>
      <w:r w:rsidR="00D4388F">
        <w:rPr>
          <w:lang w:eastAsia="zh-CN"/>
        </w:rPr>
        <w:instrText xml:space="preserve"> ADDIN ZOTERO_ITEM CSL_CITATION {"citationID":"6zeCQnLi","properties":{"formattedCitation":"\\super 25\\nosupersub{}","plainCitation":"25","noteIndex":0},"citationItems":[{"id":546,"uris":["http://zotero.org/users/7242262/items/QDLTNKNJ"],"uri":["http://zotero.org/users/7242262/items/QDLTNKNJ"],"itemData":{"id":546,"type":"article-journal","abstract":"A new approach to rapid sequence comparison, basic local alignment search tool (BLAST), directly approximates alignments that optimize a measure of local similarity, the maximal segment pair (MSP) score. Recent mathematical results on the stochastic properties of MSP scores allow an analysis of the performance of this method as well as the statistical significance of alignments it generates. The basic algorithm is simple and robust; it can be implemented in a number of ways and applied in a variety of contexts including straightforward DNA and protein sequence database searches, motif searches, gene identification searches, and in the analysis of multiple regions of similarity in long DNA sequences. In addition to its flexibility and tractability to mathematical analysis, BLAST is an order of magnitude faster than existing sequence comparison tools of comparable sensitivity.","container-title":"Journal of Molecular Biology","DOI":"10/cnsjsz","ISSN":"0022-2836","issue":"3","journalAbbreviation":"J Mol Biol","language":"eng","note":"PMID: 2231712","page":"403-410","source":"PubMed","title":"Basic local alignment search tool","volume":"215","author":[{"family":"Altschul","given":"S. F."},{"family":"Gish","given":"W."},{"family":"Miller","given":"W."},{"family":"Myers","given":"E. W."},{"family":"Lipman","given":"D. J."}],"issued":{"date-parts":[["1990",10,5]]}}}],"schema":"https://github.com/citation-style-language/schema/raw/master/csl-citation.json"} </w:instrText>
      </w:r>
      <w:r w:rsidR="00D4388F">
        <w:rPr>
          <w:lang w:eastAsia="zh-CN"/>
        </w:rPr>
        <w:fldChar w:fldCharType="separate"/>
      </w:r>
      <w:r w:rsidR="00D4388F" w:rsidRPr="00D4388F">
        <w:rPr>
          <w:vertAlign w:val="superscript"/>
        </w:rPr>
        <w:t>25</w:t>
      </w:r>
      <w:r w:rsidR="00D4388F">
        <w:rPr>
          <w:lang w:eastAsia="zh-CN"/>
        </w:rPr>
        <w:fldChar w:fldCharType="end"/>
      </w:r>
      <w:r>
        <w:t xml:space="preserve"> output by querying common viral proteins against unmasked host genome. We retained hits with more than 40% identity, e-value lower than 1 </w:t>
      </w:r>
      <w:r>
        <w:rPr>
          <w:lang w:val="en-US"/>
        </w:rPr>
        <w:t>× 10</w:t>
      </w:r>
      <w:r>
        <w:rPr>
          <w:rStyle w:val="superscriptChar"/>
          <w:sz w:val="24"/>
          <w:szCs w:val="24"/>
        </w:rPr>
        <w:t>-6</w:t>
      </w:r>
      <w:r>
        <w:t xml:space="preserve">, and </w:t>
      </w:r>
      <w:proofErr w:type="spellStart"/>
      <w:r>
        <w:t>bitscore</w:t>
      </w:r>
      <w:proofErr w:type="spellEnd"/>
      <w:r>
        <w:t xml:space="preserve"> higher than 60. Then, among the retained hits, we selected one representative sequence among overlapping results by selecting the highest completeness hit. </w:t>
      </w:r>
      <w:r w:rsidR="00373760">
        <w:t xml:space="preserve">We removed all non-retroviruses and genes that have overlap coordinates with known exons. </w:t>
      </w:r>
      <w:r>
        <w:t xml:space="preserve">The filtered results were considered as </w:t>
      </w:r>
      <w:r w:rsidR="00705C90">
        <w:t>ERV</w:t>
      </w:r>
      <w:r>
        <w:t xml:space="preserve"> genes in the pangolin genome. </w:t>
      </w:r>
    </w:p>
    <w:p w14:paraId="61A2E259" w14:textId="77777777" w:rsidR="00211AFB" w:rsidRDefault="00211AFB">
      <w:pPr>
        <w:ind w:firstLineChars="0" w:firstLine="0"/>
      </w:pPr>
    </w:p>
    <w:p w14:paraId="40D26226" w14:textId="77777777" w:rsidR="00211AFB" w:rsidRDefault="007258BA">
      <w:pPr>
        <w:pStyle w:val="Heading1"/>
      </w:pPr>
      <w:r>
        <w:t>References</w:t>
      </w:r>
    </w:p>
    <w:p w14:paraId="45CD4591" w14:textId="77777777" w:rsidR="00D4388F" w:rsidRPr="00D4388F" w:rsidRDefault="007258BA" w:rsidP="00D4388F">
      <w:pPr>
        <w:pStyle w:val="Bibliography"/>
      </w:pPr>
      <w:r>
        <w:fldChar w:fldCharType="begin"/>
      </w:r>
      <w:r w:rsidR="00D4388F">
        <w:instrText xml:space="preserve"> ADDIN ZOTERO_BIBL {"uncited":[],"omitted":[],"custom":[]} CSL_BIBLIOGRAPHY </w:instrText>
      </w:r>
      <w:r>
        <w:fldChar w:fldCharType="separate"/>
      </w:r>
      <w:r w:rsidR="00D4388F" w:rsidRPr="00D4388F">
        <w:t>1.</w:t>
      </w:r>
      <w:r w:rsidR="00D4388F" w:rsidRPr="00D4388F">
        <w:tab/>
        <w:t xml:space="preserve">Roberts, A., Trapnell, C., Donaghey, J., Rinn, J. L. &amp; Pachter, L. Improving RNA-Seq expression estimates by correcting for fragment bias. </w:t>
      </w:r>
      <w:r w:rsidR="00D4388F" w:rsidRPr="00D4388F">
        <w:rPr>
          <w:i/>
          <w:iCs/>
        </w:rPr>
        <w:t>Genome Biol.</w:t>
      </w:r>
      <w:r w:rsidR="00D4388F" w:rsidRPr="00D4388F">
        <w:t xml:space="preserve"> </w:t>
      </w:r>
      <w:r w:rsidR="00D4388F" w:rsidRPr="00D4388F">
        <w:rPr>
          <w:b/>
          <w:bCs/>
        </w:rPr>
        <w:t>12</w:t>
      </w:r>
      <w:r w:rsidR="00D4388F" w:rsidRPr="00D4388F">
        <w:t>, R22 (2011).</w:t>
      </w:r>
    </w:p>
    <w:p w14:paraId="6EF298ED" w14:textId="77777777" w:rsidR="00D4388F" w:rsidRPr="00D4388F" w:rsidRDefault="00D4388F" w:rsidP="00D4388F">
      <w:pPr>
        <w:pStyle w:val="Bibliography"/>
      </w:pPr>
      <w:r w:rsidRPr="00D4388F">
        <w:t>2.</w:t>
      </w:r>
      <w:r w:rsidRPr="00D4388F">
        <w:tab/>
        <w:t xml:space="preserve">Kim, D. </w:t>
      </w:r>
      <w:r w:rsidRPr="00D4388F">
        <w:rPr>
          <w:i/>
          <w:iCs/>
        </w:rPr>
        <w:t>et al.</w:t>
      </w:r>
      <w:r w:rsidRPr="00D4388F">
        <w:t xml:space="preserve"> The Architecture of SARS-CoV-2 Transcriptome. </w:t>
      </w:r>
      <w:r w:rsidRPr="00D4388F">
        <w:rPr>
          <w:i/>
          <w:iCs/>
        </w:rPr>
        <w:t>Cell</w:t>
      </w:r>
      <w:r w:rsidRPr="00D4388F">
        <w:t xml:space="preserve"> </w:t>
      </w:r>
      <w:r w:rsidRPr="00D4388F">
        <w:rPr>
          <w:b/>
          <w:bCs/>
        </w:rPr>
        <w:t>181</w:t>
      </w:r>
      <w:r w:rsidRPr="00D4388F">
        <w:t>, 914-921.e10 (2020).</w:t>
      </w:r>
    </w:p>
    <w:p w14:paraId="6BE1A059" w14:textId="77777777" w:rsidR="00D4388F" w:rsidRPr="00D4388F" w:rsidRDefault="00D4388F" w:rsidP="00D4388F">
      <w:pPr>
        <w:pStyle w:val="Bibliography"/>
      </w:pPr>
      <w:r w:rsidRPr="00D4388F">
        <w:lastRenderedPageBreak/>
        <w:t>3.</w:t>
      </w:r>
      <w:r w:rsidRPr="00D4388F">
        <w:tab/>
        <w:t>Andrews, S. FastQC: A quality control tool for high throughput sequence data. http://www.bioinformatics.babraham.ac.uk/projects/fastqc/ (2010).</w:t>
      </w:r>
    </w:p>
    <w:p w14:paraId="49D17808" w14:textId="77777777" w:rsidR="00D4388F" w:rsidRPr="00D4388F" w:rsidRDefault="00D4388F" w:rsidP="00D4388F">
      <w:pPr>
        <w:pStyle w:val="Bibliography"/>
      </w:pPr>
      <w:r w:rsidRPr="00D4388F">
        <w:t>4.</w:t>
      </w:r>
      <w:r w:rsidRPr="00D4388F">
        <w:tab/>
        <w:t xml:space="preserve">Martin, M. Cutadapt removes adapter sequences from high-throughput sequencing reads. </w:t>
      </w:r>
      <w:r w:rsidRPr="00D4388F">
        <w:rPr>
          <w:i/>
          <w:iCs/>
        </w:rPr>
        <w:t>EMBnet J</w:t>
      </w:r>
      <w:r w:rsidRPr="00D4388F">
        <w:t xml:space="preserve"> </w:t>
      </w:r>
      <w:r w:rsidRPr="00D4388F">
        <w:rPr>
          <w:b/>
          <w:bCs/>
        </w:rPr>
        <w:t>17</w:t>
      </w:r>
      <w:r w:rsidRPr="00D4388F">
        <w:t>, 10–12 (2011).</w:t>
      </w:r>
    </w:p>
    <w:p w14:paraId="03F6B4EF" w14:textId="77777777" w:rsidR="00D4388F" w:rsidRPr="00D4388F" w:rsidRDefault="00D4388F" w:rsidP="00D4388F">
      <w:pPr>
        <w:pStyle w:val="Bibliography"/>
      </w:pPr>
      <w:r w:rsidRPr="00D4388F">
        <w:t>5.</w:t>
      </w:r>
      <w:r w:rsidRPr="00D4388F">
        <w:tab/>
        <w:t xml:space="preserve">Langmead, B. &amp; Salzberg, S. L. Fast gapped-read alignment with Bowtie 2. </w:t>
      </w:r>
      <w:r w:rsidRPr="00D4388F">
        <w:rPr>
          <w:i/>
          <w:iCs/>
        </w:rPr>
        <w:t>Nat. Methods</w:t>
      </w:r>
      <w:r w:rsidRPr="00D4388F">
        <w:t xml:space="preserve"> </w:t>
      </w:r>
      <w:r w:rsidRPr="00D4388F">
        <w:rPr>
          <w:b/>
          <w:bCs/>
        </w:rPr>
        <w:t>9</w:t>
      </w:r>
      <w:r w:rsidRPr="00D4388F">
        <w:t>, 357–359 (2012).</w:t>
      </w:r>
    </w:p>
    <w:p w14:paraId="2A87E920" w14:textId="77777777" w:rsidR="00D4388F" w:rsidRPr="00D4388F" w:rsidRDefault="00D4388F" w:rsidP="00D4388F">
      <w:pPr>
        <w:pStyle w:val="Bibliography"/>
      </w:pPr>
      <w:r w:rsidRPr="00D4388F">
        <w:t>6.</w:t>
      </w:r>
      <w:r w:rsidRPr="00D4388F">
        <w:tab/>
        <w:t xml:space="preserve">Kim, D. &amp; Salzberg, S. L. TopHat-Fusion: an algorithm for discovery of novel fusion transcripts. </w:t>
      </w:r>
      <w:r w:rsidRPr="00D4388F">
        <w:rPr>
          <w:i/>
          <w:iCs/>
        </w:rPr>
        <w:t>Genome Biol.</w:t>
      </w:r>
      <w:r w:rsidRPr="00D4388F">
        <w:t xml:space="preserve"> </w:t>
      </w:r>
      <w:r w:rsidRPr="00D4388F">
        <w:rPr>
          <w:b/>
          <w:bCs/>
        </w:rPr>
        <w:t>12</w:t>
      </w:r>
      <w:r w:rsidRPr="00D4388F">
        <w:t>, R72 (2011).</w:t>
      </w:r>
    </w:p>
    <w:p w14:paraId="3B074239" w14:textId="77777777" w:rsidR="00D4388F" w:rsidRPr="00D4388F" w:rsidRDefault="00D4388F" w:rsidP="00D4388F">
      <w:pPr>
        <w:pStyle w:val="Bibliography"/>
      </w:pPr>
      <w:r w:rsidRPr="00D4388F">
        <w:t>7.</w:t>
      </w:r>
      <w:r w:rsidRPr="00D4388F">
        <w:tab/>
        <w:t xml:space="preserve">Kim, D. </w:t>
      </w:r>
      <w:r w:rsidRPr="00D4388F">
        <w:rPr>
          <w:i/>
          <w:iCs/>
        </w:rPr>
        <w:t>et al.</w:t>
      </w:r>
      <w:r w:rsidRPr="00D4388F">
        <w:t xml:space="preserve"> TopHat2: accurate alignment of transcriptomes in the presence of insertions, deletions and gene fusions. </w:t>
      </w:r>
      <w:r w:rsidRPr="00D4388F">
        <w:rPr>
          <w:i/>
          <w:iCs/>
        </w:rPr>
        <w:t>Genome Biol.</w:t>
      </w:r>
      <w:r w:rsidRPr="00D4388F">
        <w:t xml:space="preserve"> </w:t>
      </w:r>
      <w:r w:rsidRPr="00D4388F">
        <w:rPr>
          <w:b/>
          <w:bCs/>
        </w:rPr>
        <w:t>14</w:t>
      </w:r>
      <w:r w:rsidRPr="00D4388F">
        <w:t>, R36 (2013).</w:t>
      </w:r>
    </w:p>
    <w:p w14:paraId="20845721" w14:textId="77777777" w:rsidR="00D4388F" w:rsidRPr="00D4388F" w:rsidRDefault="00D4388F" w:rsidP="00D4388F">
      <w:pPr>
        <w:pStyle w:val="Bibliography"/>
      </w:pPr>
      <w:r w:rsidRPr="00D4388F">
        <w:t>8.</w:t>
      </w:r>
      <w:r w:rsidRPr="00D4388F">
        <w:tab/>
        <w:t xml:space="preserve">Langmead, B., Trapnell, C., Pop, M. &amp; Salzberg, S. L. Ultrafast and memory-efficient alignment of short DNA sequences to the human genome. </w:t>
      </w:r>
      <w:r w:rsidRPr="00D4388F">
        <w:rPr>
          <w:i/>
          <w:iCs/>
        </w:rPr>
        <w:t>Genome Biol.</w:t>
      </w:r>
      <w:r w:rsidRPr="00D4388F">
        <w:t xml:space="preserve"> </w:t>
      </w:r>
      <w:r w:rsidRPr="00D4388F">
        <w:rPr>
          <w:b/>
          <w:bCs/>
        </w:rPr>
        <w:t>10</w:t>
      </w:r>
      <w:r w:rsidRPr="00D4388F">
        <w:t>, R25 (2009).</w:t>
      </w:r>
    </w:p>
    <w:p w14:paraId="100F5F56" w14:textId="77777777" w:rsidR="00D4388F" w:rsidRPr="00D4388F" w:rsidRDefault="00D4388F" w:rsidP="00D4388F">
      <w:pPr>
        <w:pStyle w:val="Bibliography"/>
      </w:pPr>
      <w:r w:rsidRPr="00D4388F">
        <w:t>9.</w:t>
      </w:r>
      <w:r w:rsidRPr="00D4388F">
        <w:tab/>
        <w:t xml:space="preserve">Blanco-Melo, D. </w:t>
      </w:r>
      <w:r w:rsidRPr="00D4388F">
        <w:rPr>
          <w:i/>
          <w:iCs/>
        </w:rPr>
        <w:t>et al.</w:t>
      </w:r>
      <w:r w:rsidRPr="00D4388F">
        <w:t xml:space="preserve"> Imbalanced host response to SARS-CoV-2 drives development of COVID-19. </w:t>
      </w:r>
      <w:r w:rsidRPr="00D4388F">
        <w:rPr>
          <w:i/>
          <w:iCs/>
        </w:rPr>
        <w:t>Cell</w:t>
      </w:r>
      <w:r w:rsidRPr="00D4388F">
        <w:t xml:space="preserve"> </w:t>
      </w:r>
      <w:r w:rsidRPr="00D4388F">
        <w:rPr>
          <w:b/>
          <w:bCs/>
        </w:rPr>
        <w:t>181</w:t>
      </w:r>
      <w:r w:rsidRPr="00D4388F">
        <w:t>, 1036-1045.e9 (2020).</w:t>
      </w:r>
    </w:p>
    <w:p w14:paraId="38C9319F" w14:textId="77777777" w:rsidR="00D4388F" w:rsidRPr="00D4388F" w:rsidRDefault="00D4388F" w:rsidP="00D4388F">
      <w:pPr>
        <w:pStyle w:val="Bibliography"/>
      </w:pPr>
      <w:r w:rsidRPr="00D4388F">
        <w:t>10.</w:t>
      </w:r>
      <w:r w:rsidRPr="00D4388F">
        <w:tab/>
        <w:t xml:space="preserve">Xiao, K. </w:t>
      </w:r>
      <w:r w:rsidRPr="00D4388F">
        <w:rPr>
          <w:i/>
          <w:iCs/>
        </w:rPr>
        <w:t>et al.</w:t>
      </w:r>
      <w:r w:rsidRPr="00D4388F">
        <w:t xml:space="preserve"> Isolation of SARS-CoV-2-related coronavirus from Malayan pangolins. </w:t>
      </w:r>
      <w:r w:rsidRPr="00D4388F">
        <w:rPr>
          <w:i/>
          <w:iCs/>
        </w:rPr>
        <w:t>Nature</w:t>
      </w:r>
      <w:r w:rsidRPr="00D4388F">
        <w:t xml:space="preserve"> </w:t>
      </w:r>
      <w:r w:rsidRPr="00D4388F">
        <w:rPr>
          <w:b/>
          <w:bCs/>
        </w:rPr>
        <w:t>583</w:t>
      </w:r>
      <w:r w:rsidRPr="00D4388F">
        <w:t>, 286–289 (2020).</w:t>
      </w:r>
    </w:p>
    <w:p w14:paraId="19817043" w14:textId="77777777" w:rsidR="00D4388F" w:rsidRPr="00D4388F" w:rsidRDefault="00D4388F" w:rsidP="00D4388F">
      <w:pPr>
        <w:pStyle w:val="Bibliography"/>
      </w:pPr>
      <w:r w:rsidRPr="00D4388F">
        <w:lastRenderedPageBreak/>
        <w:t>11.</w:t>
      </w:r>
      <w:r w:rsidRPr="00D4388F">
        <w:tab/>
        <w:t xml:space="preserve">Li, H. &amp; Durbin, R. Fast and accurate short read alignment with Burrows-Wheeler transform. </w:t>
      </w:r>
      <w:r w:rsidRPr="00D4388F">
        <w:rPr>
          <w:i/>
          <w:iCs/>
        </w:rPr>
        <w:t>Bioinformatics</w:t>
      </w:r>
      <w:r w:rsidRPr="00D4388F">
        <w:t xml:space="preserve"> </w:t>
      </w:r>
      <w:r w:rsidRPr="00D4388F">
        <w:rPr>
          <w:b/>
          <w:bCs/>
        </w:rPr>
        <w:t>25</w:t>
      </w:r>
      <w:r w:rsidRPr="00D4388F">
        <w:t>, 1754–1760 (2009).</w:t>
      </w:r>
    </w:p>
    <w:p w14:paraId="15BC8978" w14:textId="77777777" w:rsidR="00D4388F" w:rsidRPr="00D4388F" w:rsidRDefault="00D4388F" w:rsidP="00D4388F">
      <w:pPr>
        <w:pStyle w:val="Bibliography"/>
      </w:pPr>
      <w:r w:rsidRPr="00D4388F">
        <w:t>12.</w:t>
      </w:r>
      <w:r w:rsidRPr="00D4388F">
        <w:tab/>
        <w:t xml:space="preserve">Li, H. </w:t>
      </w:r>
      <w:r w:rsidRPr="00D4388F">
        <w:rPr>
          <w:i/>
          <w:iCs/>
        </w:rPr>
        <w:t>et al.</w:t>
      </w:r>
      <w:r w:rsidRPr="00D4388F">
        <w:t xml:space="preserve"> The Sequence Alignment/Map format and SAMtools. </w:t>
      </w:r>
      <w:r w:rsidRPr="00D4388F">
        <w:rPr>
          <w:i/>
          <w:iCs/>
        </w:rPr>
        <w:t>Bioinformatics</w:t>
      </w:r>
      <w:r w:rsidRPr="00D4388F">
        <w:t xml:space="preserve"> </w:t>
      </w:r>
      <w:r w:rsidRPr="00D4388F">
        <w:rPr>
          <w:b/>
          <w:bCs/>
        </w:rPr>
        <w:t>25</w:t>
      </w:r>
      <w:r w:rsidRPr="00D4388F">
        <w:t>, 2078–2079 (2009).</w:t>
      </w:r>
    </w:p>
    <w:p w14:paraId="7CF26CDF" w14:textId="77777777" w:rsidR="00D4388F" w:rsidRPr="00D4388F" w:rsidRDefault="00D4388F" w:rsidP="00D4388F">
      <w:pPr>
        <w:pStyle w:val="Bibliography"/>
      </w:pPr>
      <w:r w:rsidRPr="00D4388F">
        <w:t>13.</w:t>
      </w:r>
      <w:r w:rsidRPr="00D4388F">
        <w:tab/>
        <w:t xml:space="preserve">Li, H. A statistical framework for SNP calling, mutation discovery, association mapping and population genetical parameter estimation from sequencing data. </w:t>
      </w:r>
      <w:r w:rsidRPr="00D4388F">
        <w:rPr>
          <w:i/>
          <w:iCs/>
        </w:rPr>
        <w:t>Bioinformatics</w:t>
      </w:r>
      <w:r w:rsidRPr="00D4388F">
        <w:t xml:space="preserve"> </w:t>
      </w:r>
      <w:r w:rsidRPr="00D4388F">
        <w:rPr>
          <w:b/>
          <w:bCs/>
        </w:rPr>
        <w:t>27</w:t>
      </w:r>
      <w:r w:rsidRPr="00D4388F">
        <w:t>, 2987–2993 (2011).</w:t>
      </w:r>
    </w:p>
    <w:p w14:paraId="7B47B49F" w14:textId="77777777" w:rsidR="00D4388F" w:rsidRPr="00D4388F" w:rsidRDefault="00D4388F" w:rsidP="00D4388F">
      <w:pPr>
        <w:pStyle w:val="Bibliography"/>
      </w:pPr>
      <w:r w:rsidRPr="00D4388F">
        <w:t>14.</w:t>
      </w:r>
      <w:r w:rsidRPr="00D4388F">
        <w:tab/>
        <w:t xml:space="preserve">Robinson, J. T. </w:t>
      </w:r>
      <w:r w:rsidRPr="00D4388F">
        <w:rPr>
          <w:i/>
          <w:iCs/>
        </w:rPr>
        <w:t>et al.</w:t>
      </w:r>
      <w:r w:rsidRPr="00D4388F">
        <w:t xml:space="preserve"> Integrative genomics viewer. </w:t>
      </w:r>
      <w:r w:rsidRPr="00D4388F">
        <w:rPr>
          <w:i/>
          <w:iCs/>
        </w:rPr>
        <w:t>Nat. Biotechnol.</w:t>
      </w:r>
      <w:r w:rsidRPr="00D4388F">
        <w:t xml:space="preserve"> </w:t>
      </w:r>
      <w:r w:rsidRPr="00D4388F">
        <w:rPr>
          <w:b/>
          <w:bCs/>
        </w:rPr>
        <w:t>29</w:t>
      </w:r>
      <w:r w:rsidRPr="00D4388F">
        <w:t>, 24–26 (2011).</w:t>
      </w:r>
    </w:p>
    <w:p w14:paraId="08E943A8" w14:textId="77777777" w:rsidR="00D4388F" w:rsidRPr="00D4388F" w:rsidRDefault="00D4388F" w:rsidP="00D4388F">
      <w:pPr>
        <w:pStyle w:val="Bibliography"/>
      </w:pPr>
      <w:r w:rsidRPr="00D4388F">
        <w:t>15.</w:t>
      </w:r>
      <w:r w:rsidRPr="00D4388F">
        <w:tab/>
        <w:t xml:space="preserve">Robinson, J. T., Thorvaldsdóttir, H., Wenger, A. M., Zehir, A. &amp; Mesirov, J. P. Variant review with the Integrative Genomics Viewer. </w:t>
      </w:r>
      <w:r w:rsidRPr="00D4388F">
        <w:rPr>
          <w:i/>
          <w:iCs/>
        </w:rPr>
        <w:t>Cancer Res.</w:t>
      </w:r>
      <w:r w:rsidRPr="00D4388F">
        <w:t xml:space="preserve"> </w:t>
      </w:r>
      <w:r w:rsidRPr="00D4388F">
        <w:rPr>
          <w:b/>
          <w:bCs/>
        </w:rPr>
        <w:t>77</w:t>
      </w:r>
      <w:r w:rsidRPr="00D4388F">
        <w:t>, e31–e34 (2017).</w:t>
      </w:r>
    </w:p>
    <w:p w14:paraId="77D53C4D" w14:textId="77777777" w:rsidR="00D4388F" w:rsidRPr="00D4388F" w:rsidRDefault="00D4388F" w:rsidP="00D4388F">
      <w:pPr>
        <w:pStyle w:val="Bibliography"/>
      </w:pPr>
      <w:r w:rsidRPr="00D4388F">
        <w:t>16.</w:t>
      </w:r>
      <w:r w:rsidRPr="00D4388F">
        <w:tab/>
        <w:t xml:space="preserve">Thorvaldsdóttir, H., Robinson, J. T. &amp; Mesirov, J. P. Integrative Genomics Viewer (IGV): high-performance genomics data visualization and exploration. </w:t>
      </w:r>
      <w:r w:rsidRPr="00D4388F">
        <w:rPr>
          <w:i/>
          <w:iCs/>
        </w:rPr>
        <w:t>Brief. Bioinform.</w:t>
      </w:r>
      <w:r w:rsidRPr="00D4388F">
        <w:t xml:space="preserve"> </w:t>
      </w:r>
      <w:r w:rsidRPr="00D4388F">
        <w:rPr>
          <w:b/>
          <w:bCs/>
        </w:rPr>
        <w:t>14</w:t>
      </w:r>
      <w:r w:rsidRPr="00D4388F">
        <w:t>, 178–192 (2013).</w:t>
      </w:r>
    </w:p>
    <w:p w14:paraId="4A773F9F" w14:textId="77777777" w:rsidR="00D4388F" w:rsidRPr="00D4388F" w:rsidRDefault="00D4388F" w:rsidP="00D4388F">
      <w:pPr>
        <w:pStyle w:val="Bibliography"/>
      </w:pPr>
      <w:r w:rsidRPr="00D4388F">
        <w:t>17.</w:t>
      </w:r>
      <w:r w:rsidRPr="00D4388F">
        <w:tab/>
        <w:t xml:space="preserve">Kumar, S., Stecher, G., Li, M., Knyaz, C. &amp; Tamura, K. MEGA X: Molecular Evolutionary Genetics Analysis across Computing Platforms. </w:t>
      </w:r>
      <w:r w:rsidRPr="00D4388F">
        <w:rPr>
          <w:i/>
          <w:iCs/>
        </w:rPr>
        <w:t>Mol. Biol. Evol.</w:t>
      </w:r>
      <w:r w:rsidRPr="00D4388F">
        <w:t xml:space="preserve"> </w:t>
      </w:r>
      <w:r w:rsidRPr="00D4388F">
        <w:rPr>
          <w:b/>
          <w:bCs/>
        </w:rPr>
        <w:t>35</w:t>
      </w:r>
      <w:r w:rsidRPr="00D4388F">
        <w:t>, 1547–1549 (2018).</w:t>
      </w:r>
    </w:p>
    <w:p w14:paraId="5BD09518" w14:textId="77777777" w:rsidR="00D4388F" w:rsidRPr="00D4388F" w:rsidRDefault="00D4388F" w:rsidP="00D4388F">
      <w:pPr>
        <w:pStyle w:val="Bibliography"/>
      </w:pPr>
      <w:r w:rsidRPr="00D4388F">
        <w:t>18.</w:t>
      </w:r>
      <w:r w:rsidRPr="00D4388F">
        <w:tab/>
        <w:t xml:space="preserve">Edgar, R. C. MUSCLE: a multiple sequence alignment method with reduced time and space complexity. </w:t>
      </w:r>
      <w:r w:rsidRPr="00D4388F">
        <w:rPr>
          <w:i/>
          <w:iCs/>
        </w:rPr>
        <w:t>BMC Bioinformatics</w:t>
      </w:r>
      <w:r w:rsidRPr="00D4388F">
        <w:t xml:space="preserve"> </w:t>
      </w:r>
      <w:r w:rsidRPr="00D4388F">
        <w:rPr>
          <w:b/>
          <w:bCs/>
        </w:rPr>
        <w:t>5</w:t>
      </w:r>
      <w:r w:rsidRPr="00D4388F">
        <w:t>, 113 (2004).</w:t>
      </w:r>
    </w:p>
    <w:p w14:paraId="6BF4ADDB" w14:textId="77777777" w:rsidR="00D4388F" w:rsidRPr="00D4388F" w:rsidRDefault="00D4388F" w:rsidP="00D4388F">
      <w:pPr>
        <w:pStyle w:val="Bibliography"/>
      </w:pPr>
      <w:r w:rsidRPr="00D4388F">
        <w:lastRenderedPageBreak/>
        <w:t>19.</w:t>
      </w:r>
      <w:r w:rsidRPr="00D4388F">
        <w:tab/>
        <w:t xml:space="preserve">Trapnell, C. </w:t>
      </w:r>
      <w:r w:rsidRPr="00D4388F">
        <w:rPr>
          <w:i/>
          <w:iCs/>
        </w:rPr>
        <w:t>et al.</w:t>
      </w:r>
      <w:r w:rsidRPr="00D4388F">
        <w:t xml:space="preserve"> Differential gene and transcript expression analysis of RNA-seq experiments with TopHat and Cufflinks. </w:t>
      </w:r>
      <w:r w:rsidRPr="00D4388F">
        <w:rPr>
          <w:i/>
          <w:iCs/>
        </w:rPr>
        <w:t>Nat. Protoc.</w:t>
      </w:r>
      <w:r w:rsidRPr="00D4388F">
        <w:t xml:space="preserve"> </w:t>
      </w:r>
      <w:r w:rsidRPr="00D4388F">
        <w:rPr>
          <w:b/>
          <w:bCs/>
        </w:rPr>
        <w:t>7</w:t>
      </w:r>
      <w:r w:rsidRPr="00D4388F">
        <w:t>, 562–578 (2012).</w:t>
      </w:r>
    </w:p>
    <w:p w14:paraId="24BE993B" w14:textId="77777777" w:rsidR="00D4388F" w:rsidRPr="00D4388F" w:rsidRDefault="00D4388F" w:rsidP="00D4388F">
      <w:pPr>
        <w:pStyle w:val="Bibliography"/>
      </w:pPr>
      <w:r w:rsidRPr="00D4388F">
        <w:t>20.</w:t>
      </w:r>
      <w:r w:rsidRPr="00D4388F">
        <w:tab/>
        <w:t xml:space="preserve">Yu, G., Wang, L.-G., Han, Y. &amp; He, Q.-Y. clusterProfiler: an R package for comparing biological themes among gene clusters. </w:t>
      </w:r>
      <w:r w:rsidRPr="00D4388F">
        <w:rPr>
          <w:i/>
          <w:iCs/>
        </w:rPr>
        <w:t>Omics J. Integr. Biol.</w:t>
      </w:r>
      <w:r w:rsidRPr="00D4388F">
        <w:t xml:space="preserve"> </w:t>
      </w:r>
      <w:r w:rsidRPr="00D4388F">
        <w:rPr>
          <w:b/>
          <w:bCs/>
        </w:rPr>
        <w:t>16</w:t>
      </w:r>
      <w:r w:rsidRPr="00D4388F">
        <w:t>, 284–287 (2012).</w:t>
      </w:r>
    </w:p>
    <w:p w14:paraId="3F092AD9" w14:textId="77777777" w:rsidR="00D4388F" w:rsidRPr="00D4388F" w:rsidRDefault="00D4388F" w:rsidP="00D4388F">
      <w:pPr>
        <w:pStyle w:val="Bibliography"/>
      </w:pPr>
      <w:r w:rsidRPr="00D4388F">
        <w:t>21.</w:t>
      </w:r>
      <w:r w:rsidRPr="00D4388F">
        <w:tab/>
        <w:t xml:space="preserve">Sergushichev, A. A. An algorithm for fast preranked gene set enrichment analysis using cumulative statistic calculation. </w:t>
      </w:r>
      <w:r w:rsidRPr="00D4388F">
        <w:rPr>
          <w:i/>
          <w:iCs/>
        </w:rPr>
        <w:t>bioRxiv</w:t>
      </w:r>
      <w:r w:rsidRPr="00D4388F">
        <w:t xml:space="preserve"> 060012 (2016) doi:10/gfpqhm.</w:t>
      </w:r>
    </w:p>
    <w:p w14:paraId="5DBDAC6F" w14:textId="77777777" w:rsidR="00D4388F" w:rsidRPr="00D4388F" w:rsidRDefault="00D4388F" w:rsidP="00D4388F">
      <w:pPr>
        <w:pStyle w:val="Bibliography"/>
      </w:pPr>
      <w:r w:rsidRPr="00D4388F">
        <w:t>22.</w:t>
      </w:r>
      <w:r w:rsidRPr="00D4388F">
        <w:tab/>
        <w:t xml:space="preserve">Ashburner, M. </w:t>
      </w:r>
      <w:r w:rsidRPr="00D4388F">
        <w:rPr>
          <w:i/>
          <w:iCs/>
        </w:rPr>
        <w:t>et al.</w:t>
      </w:r>
      <w:r w:rsidRPr="00D4388F">
        <w:t xml:space="preserve"> Gene Ontology: tool for the unification of biology. </w:t>
      </w:r>
      <w:r w:rsidRPr="00D4388F">
        <w:rPr>
          <w:i/>
          <w:iCs/>
        </w:rPr>
        <w:t>Nat. Genet.</w:t>
      </w:r>
      <w:r w:rsidRPr="00D4388F">
        <w:t xml:space="preserve"> </w:t>
      </w:r>
      <w:r w:rsidRPr="00D4388F">
        <w:rPr>
          <w:b/>
          <w:bCs/>
        </w:rPr>
        <w:t>25</w:t>
      </w:r>
      <w:r w:rsidRPr="00D4388F">
        <w:t>, 25–29 (2000).</w:t>
      </w:r>
    </w:p>
    <w:p w14:paraId="508D03DA" w14:textId="77777777" w:rsidR="00D4388F" w:rsidRPr="00D4388F" w:rsidRDefault="00D4388F" w:rsidP="00D4388F">
      <w:pPr>
        <w:pStyle w:val="Bibliography"/>
      </w:pPr>
      <w:r w:rsidRPr="00D4388F">
        <w:t>23.</w:t>
      </w:r>
      <w:r w:rsidRPr="00D4388F">
        <w:tab/>
        <w:t xml:space="preserve">Morgan, M. </w:t>
      </w:r>
      <w:r w:rsidRPr="00D4388F">
        <w:rPr>
          <w:i/>
          <w:iCs/>
        </w:rPr>
        <w:t>et al.</w:t>
      </w:r>
      <w:r w:rsidRPr="00D4388F">
        <w:t xml:space="preserve"> </w:t>
      </w:r>
      <w:r w:rsidRPr="00D4388F">
        <w:rPr>
          <w:i/>
          <w:iCs/>
        </w:rPr>
        <w:t>AnnotationHub: Client to access AnnotationHub resources</w:t>
      </w:r>
      <w:r w:rsidRPr="00D4388F">
        <w:t>. (Bioconductor version: Release (3.12), 2020). doi:10.18129/B9.bioc.AnnotationHub.</w:t>
      </w:r>
    </w:p>
    <w:p w14:paraId="4CD9A0C1" w14:textId="77777777" w:rsidR="00D4388F" w:rsidRPr="00D4388F" w:rsidRDefault="00D4388F" w:rsidP="00D4388F">
      <w:pPr>
        <w:pStyle w:val="Bibliography"/>
      </w:pPr>
      <w:r w:rsidRPr="00D4388F">
        <w:t>24.</w:t>
      </w:r>
      <w:r w:rsidRPr="00D4388F">
        <w:tab/>
        <w:t xml:space="preserve">Kanehisa, M. &amp; Goto, S. KEGG: kyoto encyclopedia of genes and genomes. </w:t>
      </w:r>
      <w:r w:rsidRPr="00D4388F">
        <w:rPr>
          <w:i/>
          <w:iCs/>
        </w:rPr>
        <w:t>Nucleic Acids Res.</w:t>
      </w:r>
      <w:r w:rsidRPr="00D4388F">
        <w:t xml:space="preserve"> </w:t>
      </w:r>
      <w:r w:rsidRPr="00D4388F">
        <w:rPr>
          <w:b/>
          <w:bCs/>
        </w:rPr>
        <w:t>28</w:t>
      </w:r>
      <w:r w:rsidRPr="00D4388F">
        <w:t>, 27–30 (2000).</w:t>
      </w:r>
    </w:p>
    <w:p w14:paraId="53F8EECB" w14:textId="77777777" w:rsidR="00D4388F" w:rsidRPr="00D4388F" w:rsidRDefault="00D4388F" w:rsidP="00D4388F">
      <w:pPr>
        <w:pStyle w:val="Bibliography"/>
      </w:pPr>
      <w:r w:rsidRPr="00D4388F">
        <w:t>25.</w:t>
      </w:r>
      <w:r w:rsidRPr="00D4388F">
        <w:tab/>
        <w:t xml:space="preserve">Altschul, S. F., Gish, W., Miller, W., Myers, E. W. &amp; Lipman, D. J. Basic local alignment search tool. </w:t>
      </w:r>
      <w:r w:rsidRPr="00D4388F">
        <w:rPr>
          <w:i/>
          <w:iCs/>
        </w:rPr>
        <w:t>J. Mol. Biol.</w:t>
      </w:r>
      <w:r w:rsidRPr="00D4388F">
        <w:t xml:space="preserve"> </w:t>
      </w:r>
      <w:r w:rsidRPr="00D4388F">
        <w:rPr>
          <w:b/>
          <w:bCs/>
        </w:rPr>
        <w:t>215</w:t>
      </w:r>
      <w:r w:rsidRPr="00D4388F">
        <w:t>, 403–410 (1990).</w:t>
      </w:r>
    </w:p>
    <w:p w14:paraId="4E1E1FD5" w14:textId="2F870C8D" w:rsidR="00211AFB" w:rsidRDefault="007258BA">
      <w:pPr>
        <w:ind w:firstLineChars="0" w:firstLine="0"/>
      </w:pPr>
      <w:r>
        <w:fldChar w:fldCharType="end"/>
      </w:r>
    </w:p>
    <w:sectPr w:rsidR="00211AF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7703A7" w14:textId="77777777" w:rsidR="00410C72" w:rsidRDefault="00410C72">
      <w:pPr>
        <w:spacing w:line="240" w:lineRule="auto"/>
      </w:pPr>
      <w:r>
        <w:separator/>
      </w:r>
    </w:p>
  </w:endnote>
  <w:endnote w:type="continuationSeparator" w:id="0">
    <w:p w14:paraId="1A4F1671" w14:textId="77777777" w:rsidR="00410C72" w:rsidRDefault="00410C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63E973" w14:textId="77777777" w:rsidR="00410C72" w:rsidRDefault="00410C72">
      <w:pPr>
        <w:spacing w:after="0" w:line="240" w:lineRule="auto"/>
      </w:pPr>
      <w:r>
        <w:separator/>
      </w:r>
    </w:p>
  </w:footnote>
  <w:footnote w:type="continuationSeparator" w:id="0">
    <w:p w14:paraId="3845D800" w14:textId="77777777" w:rsidR="00410C72" w:rsidRDefault="00410C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0szA3MzQ1tbC0tDBR0lEKTi0uzszPAykwMqgFAH+G/e4tAAAA"/>
    <w:docVar w:name="EN.InstantFormat" w:val="&lt;ENInstantFormat&gt;&lt;Enabled&gt;1&lt;/Enabled&gt;&lt;ScanUnformatted&gt;1&lt;/ScanUnformatted&gt;&lt;ScanChanges&gt;1&lt;/ScanChanges&gt;&lt;Suspended&gt;1&lt;/Suspended&gt;&lt;/ENInstantFormat&gt;"/>
    <w:docVar w:name="EN.Layout" w:val="&lt;ENLayout&gt;&lt;Style&gt;Harvard Edit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5tefraq2e0doea9favpfxkep05rxx22epe&quot;&gt;pan_cov&lt;record-ids&gt;&lt;item&gt;3&lt;/item&gt;&lt;/record-ids&gt;&lt;/item&gt;&lt;/Libraries&gt;"/>
  </w:docVars>
  <w:rsids>
    <w:rsidRoot w:val="00EB560C"/>
    <w:rsid w:val="0000018B"/>
    <w:rsid w:val="00001D95"/>
    <w:rsid w:val="000028ED"/>
    <w:rsid w:val="00004984"/>
    <w:rsid w:val="00005815"/>
    <w:rsid w:val="00005F8E"/>
    <w:rsid w:val="000074B1"/>
    <w:rsid w:val="00010A2A"/>
    <w:rsid w:val="000167A1"/>
    <w:rsid w:val="00016E2E"/>
    <w:rsid w:val="00021CB4"/>
    <w:rsid w:val="00022D7E"/>
    <w:rsid w:val="00030F44"/>
    <w:rsid w:val="00033A27"/>
    <w:rsid w:val="000352DC"/>
    <w:rsid w:val="00041145"/>
    <w:rsid w:val="00042D2D"/>
    <w:rsid w:val="000435BF"/>
    <w:rsid w:val="000441D5"/>
    <w:rsid w:val="00044ACA"/>
    <w:rsid w:val="0005132E"/>
    <w:rsid w:val="00053229"/>
    <w:rsid w:val="00056D59"/>
    <w:rsid w:val="00057486"/>
    <w:rsid w:val="0006036F"/>
    <w:rsid w:val="00061D81"/>
    <w:rsid w:val="0007080B"/>
    <w:rsid w:val="00071F98"/>
    <w:rsid w:val="00074D6F"/>
    <w:rsid w:val="0007562F"/>
    <w:rsid w:val="000763EB"/>
    <w:rsid w:val="00082140"/>
    <w:rsid w:val="0008244A"/>
    <w:rsid w:val="00082C3A"/>
    <w:rsid w:val="00084647"/>
    <w:rsid w:val="00087BC5"/>
    <w:rsid w:val="00092C1D"/>
    <w:rsid w:val="00097FE0"/>
    <w:rsid w:val="000B5937"/>
    <w:rsid w:val="000B7BDE"/>
    <w:rsid w:val="000B7EE2"/>
    <w:rsid w:val="000C0426"/>
    <w:rsid w:val="000C1167"/>
    <w:rsid w:val="000C1211"/>
    <w:rsid w:val="000C2443"/>
    <w:rsid w:val="000C3D57"/>
    <w:rsid w:val="000C4E9D"/>
    <w:rsid w:val="000C56A5"/>
    <w:rsid w:val="000D2B2D"/>
    <w:rsid w:val="000D3007"/>
    <w:rsid w:val="000D41E7"/>
    <w:rsid w:val="000D5224"/>
    <w:rsid w:val="000D7F46"/>
    <w:rsid w:val="000E01B9"/>
    <w:rsid w:val="000E418E"/>
    <w:rsid w:val="000E7431"/>
    <w:rsid w:val="000F33A8"/>
    <w:rsid w:val="000F3A9E"/>
    <w:rsid w:val="000F4EC2"/>
    <w:rsid w:val="001012F0"/>
    <w:rsid w:val="00105A63"/>
    <w:rsid w:val="00105C81"/>
    <w:rsid w:val="00123439"/>
    <w:rsid w:val="00130B73"/>
    <w:rsid w:val="0013211F"/>
    <w:rsid w:val="00132F4B"/>
    <w:rsid w:val="00135642"/>
    <w:rsid w:val="00135654"/>
    <w:rsid w:val="001408E3"/>
    <w:rsid w:val="00140AF8"/>
    <w:rsid w:val="00140B3B"/>
    <w:rsid w:val="00141708"/>
    <w:rsid w:val="00141FD7"/>
    <w:rsid w:val="00145C25"/>
    <w:rsid w:val="00155ACA"/>
    <w:rsid w:val="001562E6"/>
    <w:rsid w:val="001574A2"/>
    <w:rsid w:val="001575C4"/>
    <w:rsid w:val="00160C8A"/>
    <w:rsid w:val="001613AB"/>
    <w:rsid w:val="00162E72"/>
    <w:rsid w:val="00164866"/>
    <w:rsid w:val="0017599E"/>
    <w:rsid w:val="00175D15"/>
    <w:rsid w:val="001765E1"/>
    <w:rsid w:val="00180C77"/>
    <w:rsid w:val="00181F93"/>
    <w:rsid w:val="001831A9"/>
    <w:rsid w:val="00185868"/>
    <w:rsid w:val="00186EE5"/>
    <w:rsid w:val="00197CE4"/>
    <w:rsid w:val="001A1613"/>
    <w:rsid w:val="001A1B05"/>
    <w:rsid w:val="001A28EB"/>
    <w:rsid w:val="001A65EA"/>
    <w:rsid w:val="001B0BCA"/>
    <w:rsid w:val="001B3229"/>
    <w:rsid w:val="001B6099"/>
    <w:rsid w:val="001C059B"/>
    <w:rsid w:val="001C7931"/>
    <w:rsid w:val="001D0D98"/>
    <w:rsid w:val="001D0DB8"/>
    <w:rsid w:val="001D3711"/>
    <w:rsid w:val="001D70F7"/>
    <w:rsid w:val="001E0163"/>
    <w:rsid w:val="001E3472"/>
    <w:rsid w:val="001F2D70"/>
    <w:rsid w:val="001F72CB"/>
    <w:rsid w:val="001F7332"/>
    <w:rsid w:val="00210490"/>
    <w:rsid w:val="00211AFB"/>
    <w:rsid w:val="00213D2A"/>
    <w:rsid w:val="002152E9"/>
    <w:rsid w:val="002202BC"/>
    <w:rsid w:val="00223A4D"/>
    <w:rsid w:val="00224742"/>
    <w:rsid w:val="00224785"/>
    <w:rsid w:val="002247EE"/>
    <w:rsid w:val="00233065"/>
    <w:rsid w:val="0023356B"/>
    <w:rsid w:val="00233BCD"/>
    <w:rsid w:val="00234C78"/>
    <w:rsid w:val="002359A2"/>
    <w:rsid w:val="00235C4D"/>
    <w:rsid w:val="00237B21"/>
    <w:rsid w:val="002422C6"/>
    <w:rsid w:val="00243364"/>
    <w:rsid w:val="00244C12"/>
    <w:rsid w:val="0024772C"/>
    <w:rsid w:val="0025492E"/>
    <w:rsid w:val="002631BE"/>
    <w:rsid w:val="002636A3"/>
    <w:rsid w:val="002638F3"/>
    <w:rsid w:val="002720D5"/>
    <w:rsid w:val="0027768F"/>
    <w:rsid w:val="002A1857"/>
    <w:rsid w:val="002A4B4E"/>
    <w:rsid w:val="002B0A8B"/>
    <w:rsid w:val="002B11E1"/>
    <w:rsid w:val="002B6F97"/>
    <w:rsid w:val="002C1739"/>
    <w:rsid w:val="002C1AF0"/>
    <w:rsid w:val="002D1CD4"/>
    <w:rsid w:val="002D20E4"/>
    <w:rsid w:val="002E07FE"/>
    <w:rsid w:val="002E25CE"/>
    <w:rsid w:val="002F046D"/>
    <w:rsid w:val="002F3E02"/>
    <w:rsid w:val="002F4844"/>
    <w:rsid w:val="002F5E03"/>
    <w:rsid w:val="002F6F23"/>
    <w:rsid w:val="002F7A0F"/>
    <w:rsid w:val="003008E6"/>
    <w:rsid w:val="003105EF"/>
    <w:rsid w:val="00311215"/>
    <w:rsid w:val="0031392D"/>
    <w:rsid w:val="003205E9"/>
    <w:rsid w:val="003207B4"/>
    <w:rsid w:val="003226E9"/>
    <w:rsid w:val="0032368A"/>
    <w:rsid w:val="00325C4B"/>
    <w:rsid w:val="003304BF"/>
    <w:rsid w:val="003304E6"/>
    <w:rsid w:val="00331DD0"/>
    <w:rsid w:val="00332D2F"/>
    <w:rsid w:val="003341D4"/>
    <w:rsid w:val="003346B0"/>
    <w:rsid w:val="00340E6D"/>
    <w:rsid w:val="00340EBA"/>
    <w:rsid w:val="003429CF"/>
    <w:rsid w:val="00344E6E"/>
    <w:rsid w:val="00345D73"/>
    <w:rsid w:val="00352551"/>
    <w:rsid w:val="00354024"/>
    <w:rsid w:val="003547E0"/>
    <w:rsid w:val="003642CD"/>
    <w:rsid w:val="00365D33"/>
    <w:rsid w:val="00367517"/>
    <w:rsid w:val="00371A4A"/>
    <w:rsid w:val="00371D3F"/>
    <w:rsid w:val="00372032"/>
    <w:rsid w:val="003728B5"/>
    <w:rsid w:val="00373760"/>
    <w:rsid w:val="00373C73"/>
    <w:rsid w:val="0037475E"/>
    <w:rsid w:val="003757A1"/>
    <w:rsid w:val="003771E5"/>
    <w:rsid w:val="00383FE6"/>
    <w:rsid w:val="003843C2"/>
    <w:rsid w:val="00385AEA"/>
    <w:rsid w:val="00392BF2"/>
    <w:rsid w:val="00393F8D"/>
    <w:rsid w:val="00396850"/>
    <w:rsid w:val="003A0F87"/>
    <w:rsid w:val="003A22D6"/>
    <w:rsid w:val="003A5CFE"/>
    <w:rsid w:val="003A763B"/>
    <w:rsid w:val="003B2CC0"/>
    <w:rsid w:val="003B2CF5"/>
    <w:rsid w:val="003B3CC3"/>
    <w:rsid w:val="003C5608"/>
    <w:rsid w:val="003C640D"/>
    <w:rsid w:val="003D1813"/>
    <w:rsid w:val="003D5164"/>
    <w:rsid w:val="003D5D06"/>
    <w:rsid w:val="003E4D79"/>
    <w:rsid w:val="003E6A17"/>
    <w:rsid w:val="003F1819"/>
    <w:rsid w:val="003F2DD2"/>
    <w:rsid w:val="003F3C11"/>
    <w:rsid w:val="003F58B4"/>
    <w:rsid w:val="003F5AB3"/>
    <w:rsid w:val="00401C40"/>
    <w:rsid w:val="00402095"/>
    <w:rsid w:val="00403FBF"/>
    <w:rsid w:val="00410C72"/>
    <w:rsid w:val="00420F24"/>
    <w:rsid w:val="00426A6D"/>
    <w:rsid w:val="004273BD"/>
    <w:rsid w:val="00430DA1"/>
    <w:rsid w:val="00432447"/>
    <w:rsid w:val="00435BCA"/>
    <w:rsid w:val="00442D47"/>
    <w:rsid w:val="00442EA4"/>
    <w:rsid w:val="00446A15"/>
    <w:rsid w:val="00450B0F"/>
    <w:rsid w:val="00455210"/>
    <w:rsid w:val="004605CA"/>
    <w:rsid w:val="004612A8"/>
    <w:rsid w:val="0046281D"/>
    <w:rsid w:val="0046364A"/>
    <w:rsid w:val="00472591"/>
    <w:rsid w:val="00473604"/>
    <w:rsid w:val="00473797"/>
    <w:rsid w:val="00473D50"/>
    <w:rsid w:val="004775C4"/>
    <w:rsid w:val="00477923"/>
    <w:rsid w:val="00482264"/>
    <w:rsid w:val="0048725B"/>
    <w:rsid w:val="0049354C"/>
    <w:rsid w:val="00493B3F"/>
    <w:rsid w:val="004A09CA"/>
    <w:rsid w:val="004B1307"/>
    <w:rsid w:val="004B732A"/>
    <w:rsid w:val="004C1E0E"/>
    <w:rsid w:val="004C355A"/>
    <w:rsid w:val="004C4C41"/>
    <w:rsid w:val="004C5EE2"/>
    <w:rsid w:val="004D0443"/>
    <w:rsid w:val="004D0C5C"/>
    <w:rsid w:val="004D541E"/>
    <w:rsid w:val="004D714E"/>
    <w:rsid w:val="004E02E0"/>
    <w:rsid w:val="004E2899"/>
    <w:rsid w:val="004E408A"/>
    <w:rsid w:val="004E67A1"/>
    <w:rsid w:val="004E6BAE"/>
    <w:rsid w:val="004F327B"/>
    <w:rsid w:val="004F453A"/>
    <w:rsid w:val="004F7F23"/>
    <w:rsid w:val="00500FBB"/>
    <w:rsid w:val="00507363"/>
    <w:rsid w:val="00507643"/>
    <w:rsid w:val="00510990"/>
    <w:rsid w:val="005117D9"/>
    <w:rsid w:val="00515C97"/>
    <w:rsid w:val="00516FE0"/>
    <w:rsid w:val="005224BD"/>
    <w:rsid w:val="005349F4"/>
    <w:rsid w:val="005353BA"/>
    <w:rsid w:val="005417F4"/>
    <w:rsid w:val="00544F68"/>
    <w:rsid w:val="00545A45"/>
    <w:rsid w:val="00547E6E"/>
    <w:rsid w:val="0055118F"/>
    <w:rsid w:val="00554F54"/>
    <w:rsid w:val="00563807"/>
    <w:rsid w:val="00564B28"/>
    <w:rsid w:val="00567E89"/>
    <w:rsid w:val="005725A4"/>
    <w:rsid w:val="00574349"/>
    <w:rsid w:val="00576CDB"/>
    <w:rsid w:val="00580A2F"/>
    <w:rsid w:val="005834B8"/>
    <w:rsid w:val="00590E0C"/>
    <w:rsid w:val="0059474F"/>
    <w:rsid w:val="005A0864"/>
    <w:rsid w:val="005A25F8"/>
    <w:rsid w:val="005A41AC"/>
    <w:rsid w:val="005A532E"/>
    <w:rsid w:val="005B571C"/>
    <w:rsid w:val="005B68E4"/>
    <w:rsid w:val="005C53FB"/>
    <w:rsid w:val="005D214E"/>
    <w:rsid w:val="005D6FB7"/>
    <w:rsid w:val="005E0A07"/>
    <w:rsid w:val="005E1C31"/>
    <w:rsid w:val="005E26FD"/>
    <w:rsid w:val="005E3C48"/>
    <w:rsid w:val="005E5B4E"/>
    <w:rsid w:val="005E738C"/>
    <w:rsid w:val="005E7902"/>
    <w:rsid w:val="005F509D"/>
    <w:rsid w:val="005F716D"/>
    <w:rsid w:val="005F7421"/>
    <w:rsid w:val="00605354"/>
    <w:rsid w:val="006070E4"/>
    <w:rsid w:val="006078CB"/>
    <w:rsid w:val="00611364"/>
    <w:rsid w:val="006206A5"/>
    <w:rsid w:val="00623ED1"/>
    <w:rsid w:val="00632FE0"/>
    <w:rsid w:val="006346E5"/>
    <w:rsid w:val="006346E9"/>
    <w:rsid w:val="00636193"/>
    <w:rsid w:val="006368DC"/>
    <w:rsid w:val="00636CA0"/>
    <w:rsid w:val="00641C32"/>
    <w:rsid w:val="00643D3F"/>
    <w:rsid w:val="00652FC0"/>
    <w:rsid w:val="00653379"/>
    <w:rsid w:val="006559D0"/>
    <w:rsid w:val="00655F8F"/>
    <w:rsid w:val="0065789D"/>
    <w:rsid w:val="00662F02"/>
    <w:rsid w:val="00666185"/>
    <w:rsid w:val="006703C4"/>
    <w:rsid w:val="00692415"/>
    <w:rsid w:val="00694141"/>
    <w:rsid w:val="00694B7B"/>
    <w:rsid w:val="00695746"/>
    <w:rsid w:val="006A2413"/>
    <w:rsid w:val="006A3124"/>
    <w:rsid w:val="006A6CA6"/>
    <w:rsid w:val="006A7247"/>
    <w:rsid w:val="006B00AB"/>
    <w:rsid w:val="006B2180"/>
    <w:rsid w:val="006B34A3"/>
    <w:rsid w:val="006B3847"/>
    <w:rsid w:val="006B4561"/>
    <w:rsid w:val="006B6619"/>
    <w:rsid w:val="006B6FD8"/>
    <w:rsid w:val="006C0089"/>
    <w:rsid w:val="006C4A22"/>
    <w:rsid w:val="006C4E14"/>
    <w:rsid w:val="006C5966"/>
    <w:rsid w:val="006C5CE1"/>
    <w:rsid w:val="006D073D"/>
    <w:rsid w:val="006D3995"/>
    <w:rsid w:val="006D3CA0"/>
    <w:rsid w:val="006D6A50"/>
    <w:rsid w:val="006E0B15"/>
    <w:rsid w:val="006E35BB"/>
    <w:rsid w:val="006E3A42"/>
    <w:rsid w:val="006F37C5"/>
    <w:rsid w:val="006F4CB1"/>
    <w:rsid w:val="006F542D"/>
    <w:rsid w:val="00705C90"/>
    <w:rsid w:val="00711444"/>
    <w:rsid w:val="00713D66"/>
    <w:rsid w:val="00716321"/>
    <w:rsid w:val="00716E18"/>
    <w:rsid w:val="00720912"/>
    <w:rsid w:val="00720ECC"/>
    <w:rsid w:val="00722223"/>
    <w:rsid w:val="00724EC9"/>
    <w:rsid w:val="007258BA"/>
    <w:rsid w:val="00732494"/>
    <w:rsid w:val="007345B4"/>
    <w:rsid w:val="00741D72"/>
    <w:rsid w:val="00745EBA"/>
    <w:rsid w:val="00747A59"/>
    <w:rsid w:val="007506E9"/>
    <w:rsid w:val="007538DA"/>
    <w:rsid w:val="00754F34"/>
    <w:rsid w:val="007577E8"/>
    <w:rsid w:val="00762B03"/>
    <w:rsid w:val="0076616C"/>
    <w:rsid w:val="007735D1"/>
    <w:rsid w:val="0077401A"/>
    <w:rsid w:val="007755E0"/>
    <w:rsid w:val="00786A78"/>
    <w:rsid w:val="00786D81"/>
    <w:rsid w:val="0079049C"/>
    <w:rsid w:val="00794F37"/>
    <w:rsid w:val="007975FF"/>
    <w:rsid w:val="00797DA7"/>
    <w:rsid w:val="007A2D62"/>
    <w:rsid w:val="007A2E3F"/>
    <w:rsid w:val="007A3BCD"/>
    <w:rsid w:val="007A4E5B"/>
    <w:rsid w:val="007A6683"/>
    <w:rsid w:val="007B03F1"/>
    <w:rsid w:val="007B18C3"/>
    <w:rsid w:val="007C3BB3"/>
    <w:rsid w:val="007C606F"/>
    <w:rsid w:val="007D149A"/>
    <w:rsid w:val="007D17D6"/>
    <w:rsid w:val="007D30E5"/>
    <w:rsid w:val="007D3AB3"/>
    <w:rsid w:val="007D54E8"/>
    <w:rsid w:val="007D5CAE"/>
    <w:rsid w:val="007E210A"/>
    <w:rsid w:val="007E3911"/>
    <w:rsid w:val="007E498D"/>
    <w:rsid w:val="007F07AF"/>
    <w:rsid w:val="007F2680"/>
    <w:rsid w:val="008010D1"/>
    <w:rsid w:val="00806E9A"/>
    <w:rsid w:val="00807B10"/>
    <w:rsid w:val="00811EC3"/>
    <w:rsid w:val="008233CA"/>
    <w:rsid w:val="00823515"/>
    <w:rsid w:val="00824BBB"/>
    <w:rsid w:val="00825C39"/>
    <w:rsid w:val="00830533"/>
    <w:rsid w:val="0083416B"/>
    <w:rsid w:val="008403EB"/>
    <w:rsid w:val="00847C71"/>
    <w:rsid w:val="00857629"/>
    <w:rsid w:val="00857ECC"/>
    <w:rsid w:val="00860B3D"/>
    <w:rsid w:val="008653D8"/>
    <w:rsid w:val="00867AC0"/>
    <w:rsid w:val="008707E5"/>
    <w:rsid w:val="00872F66"/>
    <w:rsid w:val="00873923"/>
    <w:rsid w:val="00874A11"/>
    <w:rsid w:val="00874FE1"/>
    <w:rsid w:val="0088148C"/>
    <w:rsid w:val="00884F47"/>
    <w:rsid w:val="00892000"/>
    <w:rsid w:val="008937DA"/>
    <w:rsid w:val="0089529D"/>
    <w:rsid w:val="008A1079"/>
    <w:rsid w:val="008A2AE9"/>
    <w:rsid w:val="008A306C"/>
    <w:rsid w:val="008A3375"/>
    <w:rsid w:val="008B10F4"/>
    <w:rsid w:val="008B1983"/>
    <w:rsid w:val="008B2764"/>
    <w:rsid w:val="008B541F"/>
    <w:rsid w:val="008C2346"/>
    <w:rsid w:val="008C2EC3"/>
    <w:rsid w:val="008D183E"/>
    <w:rsid w:val="008D1AC7"/>
    <w:rsid w:val="008E1FA5"/>
    <w:rsid w:val="008E5224"/>
    <w:rsid w:val="008E6879"/>
    <w:rsid w:val="008E7AF8"/>
    <w:rsid w:val="008F166C"/>
    <w:rsid w:val="008F1CD6"/>
    <w:rsid w:val="008F65AA"/>
    <w:rsid w:val="00901D49"/>
    <w:rsid w:val="00905560"/>
    <w:rsid w:val="00906048"/>
    <w:rsid w:val="00906DB8"/>
    <w:rsid w:val="00906FDB"/>
    <w:rsid w:val="00912427"/>
    <w:rsid w:val="00912B93"/>
    <w:rsid w:val="0092279F"/>
    <w:rsid w:val="00922F5E"/>
    <w:rsid w:val="0092383D"/>
    <w:rsid w:val="00924560"/>
    <w:rsid w:val="00924E6E"/>
    <w:rsid w:val="00926635"/>
    <w:rsid w:val="00930283"/>
    <w:rsid w:val="00931687"/>
    <w:rsid w:val="00934F04"/>
    <w:rsid w:val="009401C2"/>
    <w:rsid w:val="009419A9"/>
    <w:rsid w:val="00946C23"/>
    <w:rsid w:val="00951955"/>
    <w:rsid w:val="00953466"/>
    <w:rsid w:val="00954559"/>
    <w:rsid w:val="0096191E"/>
    <w:rsid w:val="00961B7B"/>
    <w:rsid w:val="0097117B"/>
    <w:rsid w:val="00974DD2"/>
    <w:rsid w:val="00975597"/>
    <w:rsid w:val="00984F8E"/>
    <w:rsid w:val="00986B25"/>
    <w:rsid w:val="00986CF6"/>
    <w:rsid w:val="009901FD"/>
    <w:rsid w:val="009926FE"/>
    <w:rsid w:val="00993D6F"/>
    <w:rsid w:val="0099518C"/>
    <w:rsid w:val="0099593C"/>
    <w:rsid w:val="009A579E"/>
    <w:rsid w:val="009B1490"/>
    <w:rsid w:val="009B1EDF"/>
    <w:rsid w:val="009B31E6"/>
    <w:rsid w:val="009B44AE"/>
    <w:rsid w:val="009B776A"/>
    <w:rsid w:val="009C0992"/>
    <w:rsid w:val="009C1109"/>
    <w:rsid w:val="009D0149"/>
    <w:rsid w:val="009D0EFE"/>
    <w:rsid w:val="009D26BD"/>
    <w:rsid w:val="009D2CC8"/>
    <w:rsid w:val="009D32A3"/>
    <w:rsid w:val="009D3EB5"/>
    <w:rsid w:val="009D42EF"/>
    <w:rsid w:val="009D597F"/>
    <w:rsid w:val="009E2F63"/>
    <w:rsid w:val="009E7500"/>
    <w:rsid w:val="009F06D2"/>
    <w:rsid w:val="009F154D"/>
    <w:rsid w:val="009F15BD"/>
    <w:rsid w:val="009F668A"/>
    <w:rsid w:val="009F66AA"/>
    <w:rsid w:val="009F7AF4"/>
    <w:rsid w:val="00A01A10"/>
    <w:rsid w:val="00A076F3"/>
    <w:rsid w:val="00A10238"/>
    <w:rsid w:val="00A125BB"/>
    <w:rsid w:val="00A15054"/>
    <w:rsid w:val="00A15F1F"/>
    <w:rsid w:val="00A20746"/>
    <w:rsid w:val="00A224D8"/>
    <w:rsid w:val="00A26DCF"/>
    <w:rsid w:val="00A27CEE"/>
    <w:rsid w:val="00A37462"/>
    <w:rsid w:val="00A42130"/>
    <w:rsid w:val="00A42DA3"/>
    <w:rsid w:val="00A47696"/>
    <w:rsid w:val="00A50E05"/>
    <w:rsid w:val="00A530EA"/>
    <w:rsid w:val="00A53B8D"/>
    <w:rsid w:val="00A54D7B"/>
    <w:rsid w:val="00A55ECD"/>
    <w:rsid w:val="00A57102"/>
    <w:rsid w:val="00A57DAA"/>
    <w:rsid w:val="00A6467B"/>
    <w:rsid w:val="00A65D0C"/>
    <w:rsid w:val="00A71FA2"/>
    <w:rsid w:val="00A74ECB"/>
    <w:rsid w:val="00A80AF9"/>
    <w:rsid w:val="00A86185"/>
    <w:rsid w:val="00A86596"/>
    <w:rsid w:val="00A90F64"/>
    <w:rsid w:val="00A918CB"/>
    <w:rsid w:val="00A929CF"/>
    <w:rsid w:val="00A935C1"/>
    <w:rsid w:val="00A95BF1"/>
    <w:rsid w:val="00AB1BCE"/>
    <w:rsid w:val="00AB310F"/>
    <w:rsid w:val="00AB45B7"/>
    <w:rsid w:val="00AB6793"/>
    <w:rsid w:val="00AB78BE"/>
    <w:rsid w:val="00AC0F78"/>
    <w:rsid w:val="00AC42DF"/>
    <w:rsid w:val="00AD4069"/>
    <w:rsid w:val="00AD55F2"/>
    <w:rsid w:val="00AE1D5C"/>
    <w:rsid w:val="00AE1DFC"/>
    <w:rsid w:val="00AE4225"/>
    <w:rsid w:val="00AE6BF3"/>
    <w:rsid w:val="00AF2CEC"/>
    <w:rsid w:val="00B00F8D"/>
    <w:rsid w:val="00B0170F"/>
    <w:rsid w:val="00B02652"/>
    <w:rsid w:val="00B066F4"/>
    <w:rsid w:val="00B175BA"/>
    <w:rsid w:val="00B20408"/>
    <w:rsid w:val="00B24AC6"/>
    <w:rsid w:val="00B27DD0"/>
    <w:rsid w:val="00B367D5"/>
    <w:rsid w:val="00B37369"/>
    <w:rsid w:val="00B37A06"/>
    <w:rsid w:val="00B37F0A"/>
    <w:rsid w:val="00B42CF0"/>
    <w:rsid w:val="00B44EA9"/>
    <w:rsid w:val="00B51C74"/>
    <w:rsid w:val="00B5505F"/>
    <w:rsid w:val="00B618F9"/>
    <w:rsid w:val="00B648D3"/>
    <w:rsid w:val="00B6713C"/>
    <w:rsid w:val="00B7006C"/>
    <w:rsid w:val="00B72F90"/>
    <w:rsid w:val="00B9104E"/>
    <w:rsid w:val="00B9480A"/>
    <w:rsid w:val="00BA11F5"/>
    <w:rsid w:val="00BB023A"/>
    <w:rsid w:val="00BB057C"/>
    <w:rsid w:val="00BB0E8F"/>
    <w:rsid w:val="00BB5060"/>
    <w:rsid w:val="00BB5476"/>
    <w:rsid w:val="00BB793B"/>
    <w:rsid w:val="00BC1E4F"/>
    <w:rsid w:val="00BC421C"/>
    <w:rsid w:val="00BD00A1"/>
    <w:rsid w:val="00BD05D4"/>
    <w:rsid w:val="00BD0E05"/>
    <w:rsid w:val="00BD680F"/>
    <w:rsid w:val="00BD7C7C"/>
    <w:rsid w:val="00BE0462"/>
    <w:rsid w:val="00BE1656"/>
    <w:rsid w:val="00BE42C6"/>
    <w:rsid w:val="00BE4EC5"/>
    <w:rsid w:val="00BE6C12"/>
    <w:rsid w:val="00BF0F0F"/>
    <w:rsid w:val="00BF2BCF"/>
    <w:rsid w:val="00BF3836"/>
    <w:rsid w:val="00C0236A"/>
    <w:rsid w:val="00C050BB"/>
    <w:rsid w:val="00C10954"/>
    <w:rsid w:val="00C11BCC"/>
    <w:rsid w:val="00C137EF"/>
    <w:rsid w:val="00C15E7B"/>
    <w:rsid w:val="00C21393"/>
    <w:rsid w:val="00C226C9"/>
    <w:rsid w:val="00C2270D"/>
    <w:rsid w:val="00C22D2B"/>
    <w:rsid w:val="00C30424"/>
    <w:rsid w:val="00C3764A"/>
    <w:rsid w:val="00C4045A"/>
    <w:rsid w:val="00C40DE5"/>
    <w:rsid w:val="00C42B25"/>
    <w:rsid w:val="00C43788"/>
    <w:rsid w:val="00C47F85"/>
    <w:rsid w:val="00C5002C"/>
    <w:rsid w:val="00C50B15"/>
    <w:rsid w:val="00C5421F"/>
    <w:rsid w:val="00C560B5"/>
    <w:rsid w:val="00C56C18"/>
    <w:rsid w:val="00C61A1C"/>
    <w:rsid w:val="00C62641"/>
    <w:rsid w:val="00C62B70"/>
    <w:rsid w:val="00C62F76"/>
    <w:rsid w:val="00C66FE5"/>
    <w:rsid w:val="00C6721E"/>
    <w:rsid w:val="00C67CC0"/>
    <w:rsid w:val="00C67CEA"/>
    <w:rsid w:val="00C744D0"/>
    <w:rsid w:val="00C74C05"/>
    <w:rsid w:val="00C77B46"/>
    <w:rsid w:val="00C77BA2"/>
    <w:rsid w:val="00C8076C"/>
    <w:rsid w:val="00C80F9E"/>
    <w:rsid w:val="00C90BA3"/>
    <w:rsid w:val="00C94495"/>
    <w:rsid w:val="00C95F2A"/>
    <w:rsid w:val="00C97B5D"/>
    <w:rsid w:val="00CA1F56"/>
    <w:rsid w:val="00CA25D7"/>
    <w:rsid w:val="00CA3013"/>
    <w:rsid w:val="00CA3F16"/>
    <w:rsid w:val="00CA47C8"/>
    <w:rsid w:val="00CA4967"/>
    <w:rsid w:val="00CA5B25"/>
    <w:rsid w:val="00CA66E4"/>
    <w:rsid w:val="00CC2BE9"/>
    <w:rsid w:val="00CD009C"/>
    <w:rsid w:val="00CD30C0"/>
    <w:rsid w:val="00CD3FA2"/>
    <w:rsid w:val="00CE7204"/>
    <w:rsid w:val="00CE72A4"/>
    <w:rsid w:val="00CF3AFF"/>
    <w:rsid w:val="00D00163"/>
    <w:rsid w:val="00D02BCE"/>
    <w:rsid w:val="00D0346F"/>
    <w:rsid w:val="00D1093A"/>
    <w:rsid w:val="00D11FB3"/>
    <w:rsid w:val="00D17FAF"/>
    <w:rsid w:val="00D232B1"/>
    <w:rsid w:val="00D2706F"/>
    <w:rsid w:val="00D27904"/>
    <w:rsid w:val="00D30967"/>
    <w:rsid w:val="00D31855"/>
    <w:rsid w:val="00D3397F"/>
    <w:rsid w:val="00D36CD9"/>
    <w:rsid w:val="00D36E64"/>
    <w:rsid w:val="00D40429"/>
    <w:rsid w:val="00D42370"/>
    <w:rsid w:val="00D4388F"/>
    <w:rsid w:val="00D441F9"/>
    <w:rsid w:val="00D443F4"/>
    <w:rsid w:val="00D51512"/>
    <w:rsid w:val="00D53D07"/>
    <w:rsid w:val="00D54537"/>
    <w:rsid w:val="00D5614C"/>
    <w:rsid w:val="00D56E15"/>
    <w:rsid w:val="00D60260"/>
    <w:rsid w:val="00D60BD8"/>
    <w:rsid w:val="00D65505"/>
    <w:rsid w:val="00D66573"/>
    <w:rsid w:val="00D70B2B"/>
    <w:rsid w:val="00D71F0A"/>
    <w:rsid w:val="00D73B60"/>
    <w:rsid w:val="00D74B9D"/>
    <w:rsid w:val="00D75234"/>
    <w:rsid w:val="00D80663"/>
    <w:rsid w:val="00D8073F"/>
    <w:rsid w:val="00D8086B"/>
    <w:rsid w:val="00D81638"/>
    <w:rsid w:val="00D81E6E"/>
    <w:rsid w:val="00D82393"/>
    <w:rsid w:val="00D9058E"/>
    <w:rsid w:val="00D920B9"/>
    <w:rsid w:val="00D971FA"/>
    <w:rsid w:val="00DA27CC"/>
    <w:rsid w:val="00DB27FA"/>
    <w:rsid w:val="00DB2EA6"/>
    <w:rsid w:val="00DB39CD"/>
    <w:rsid w:val="00DB4E3D"/>
    <w:rsid w:val="00DB72C0"/>
    <w:rsid w:val="00DC5AD7"/>
    <w:rsid w:val="00DD5CDF"/>
    <w:rsid w:val="00DE7AFD"/>
    <w:rsid w:val="00DF1AC6"/>
    <w:rsid w:val="00DF2C53"/>
    <w:rsid w:val="00DF4B5F"/>
    <w:rsid w:val="00DF6C7B"/>
    <w:rsid w:val="00E02D2B"/>
    <w:rsid w:val="00E034B6"/>
    <w:rsid w:val="00E11C78"/>
    <w:rsid w:val="00E21C92"/>
    <w:rsid w:val="00E236EE"/>
    <w:rsid w:val="00E244F4"/>
    <w:rsid w:val="00E24ED2"/>
    <w:rsid w:val="00E303E2"/>
    <w:rsid w:val="00E31080"/>
    <w:rsid w:val="00E351C0"/>
    <w:rsid w:val="00E36231"/>
    <w:rsid w:val="00E36397"/>
    <w:rsid w:val="00E37CB2"/>
    <w:rsid w:val="00E51CEF"/>
    <w:rsid w:val="00E5302C"/>
    <w:rsid w:val="00E548C1"/>
    <w:rsid w:val="00E638A2"/>
    <w:rsid w:val="00E644FD"/>
    <w:rsid w:val="00E735E5"/>
    <w:rsid w:val="00E80E35"/>
    <w:rsid w:val="00E83704"/>
    <w:rsid w:val="00E84B66"/>
    <w:rsid w:val="00E84CD7"/>
    <w:rsid w:val="00E87688"/>
    <w:rsid w:val="00E9630C"/>
    <w:rsid w:val="00EA2327"/>
    <w:rsid w:val="00EA5177"/>
    <w:rsid w:val="00EA579E"/>
    <w:rsid w:val="00EA59A9"/>
    <w:rsid w:val="00EB4CD5"/>
    <w:rsid w:val="00EB560C"/>
    <w:rsid w:val="00EB6F1C"/>
    <w:rsid w:val="00EB7C03"/>
    <w:rsid w:val="00EC26D3"/>
    <w:rsid w:val="00EC4969"/>
    <w:rsid w:val="00ED1158"/>
    <w:rsid w:val="00ED4D43"/>
    <w:rsid w:val="00ED6E4A"/>
    <w:rsid w:val="00EE387F"/>
    <w:rsid w:val="00EE50B4"/>
    <w:rsid w:val="00EF16C7"/>
    <w:rsid w:val="00EF1CF5"/>
    <w:rsid w:val="00EF6AC6"/>
    <w:rsid w:val="00F006D7"/>
    <w:rsid w:val="00F02ADE"/>
    <w:rsid w:val="00F02CDF"/>
    <w:rsid w:val="00F038BE"/>
    <w:rsid w:val="00F07BD0"/>
    <w:rsid w:val="00F11D53"/>
    <w:rsid w:val="00F1750C"/>
    <w:rsid w:val="00F20218"/>
    <w:rsid w:val="00F24F13"/>
    <w:rsid w:val="00F3084B"/>
    <w:rsid w:val="00F3133A"/>
    <w:rsid w:val="00F32C4B"/>
    <w:rsid w:val="00F3334B"/>
    <w:rsid w:val="00F36238"/>
    <w:rsid w:val="00F36D49"/>
    <w:rsid w:val="00F41321"/>
    <w:rsid w:val="00F42070"/>
    <w:rsid w:val="00F43D1F"/>
    <w:rsid w:val="00F445D5"/>
    <w:rsid w:val="00F52261"/>
    <w:rsid w:val="00F53311"/>
    <w:rsid w:val="00F57090"/>
    <w:rsid w:val="00F57992"/>
    <w:rsid w:val="00F6128A"/>
    <w:rsid w:val="00F64B90"/>
    <w:rsid w:val="00F64E80"/>
    <w:rsid w:val="00F70BC2"/>
    <w:rsid w:val="00F75228"/>
    <w:rsid w:val="00F77B71"/>
    <w:rsid w:val="00F77BF5"/>
    <w:rsid w:val="00F80FE6"/>
    <w:rsid w:val="00F81D80"/>
    <w:rsid w:val="00F83969"/>
    <w:rsid w:val="00F859A3"/>
    <w:rsid w:val="00F90CE6"/>
    <w:rsid w:val="00F92032"/>
    <w:rsid w:val="00F95FD1"/>
    <w:rsid w:val="00F96641"/>
    <w:rsid w:val="00F97EE3"/>
    <w:rsid w:val="00FA6043"/>
    <w:rsid w:val="00FA6178"/>
    <w:rsid w:val="00FA6798"/>
    <w:rsid w:val="00FB2F76"/>
    <w:rsid w:val="00FB6457"/>
    <w:rsid w:val="00FC03C0"/>
    <w:rsid w:val="00FC093D"/>
    <w:rsid w:val="00FD06E5"/>
    <w:rsid w:val="00FD5AC7"/>
    <w:rsid w:val="00FD5ED9"/>
    <w:rsid w:val="00FE0805"/>
    <w:rsid w:val="00FE121E"/>
    <w:rsid w:val="00FF2B1A"/>
    <w:rsid w:val="00FF3520"/>
    <w:rsid w:val="00FF635E"/>
    <w:rsid w:val="00FF73D7"/>
    <w:rsid w:val="0418623D"/>
    <w:rsid w:val="05CA45EA"/>
    <w:rsid w:val="07D9503C"/>
    <w:rsid w:val="08056DAE"/>
    <w:rsid w:val="08A422A4"/>
    <w:rsid w:val="08EC735E"/>
    <w:rsid w:val="09E21383"/>
    <w:rsid w:val="0A150F4B"/>
    <w:rsid w:val="0B855BEB"/>
    <w:rsid w:val="0D0F098A"/>
    <w:rsid w:val="0D5527C9"/>
    <w:rsid w:val="0DE13D18"/>
    <w:rsid w:val="103800EC"/>
    <w:rsid w:val="109F2649"/>
    <w:rsid w:val="10B77E2F"/>
    <w:rsid w:val="1174507E"/>
    <w:rsid w:val="11C6252A"/>
    <w:rsid w:val="11FD4E74"/>
    <w:rsid w:val="12822A08"/>
    <w:rsid w:val="13AF4325"/>
    <w:rsid w:val="13B67C02"/>
    <w:rsid w:val="153C6697"/>
    <w:rsid w:val="17203513"/>
    <w:rsid w:val="18073CB8"/>
    <w:rsid w:val="195A26B7"/>
    <w:rsid w:val="1B702000"/>
    <w:rsid w:val="1BDA3F91"/>
    <w:rsid w:val="1C934AE5"/>
    <w:rsid w:val="1CD56271"/>
    <w:rsid w:val="1D2C629C"/>
    <w:rsid w:val="1DC365B9"/>
    <w:rsid w:val="20A5222F"/>
    <w:rsid w:val="22282AA1"/>
    <w:rsid w:val="23130569"/>
    <w:rsid w:val="25AE175C"/>
    <w:rsid w:val="25C01D3C"/>
    <w:rsid w:val="268F4491"/>
    <w:rsid w:val="27B279A2"/>
    <w:rsid w:val="2D4A19F1"/>
    <w:rsid w:val="2F1D722F"/>
    <w:rsid w:val="30BB79DC"/>
    <w:rsid w:val="312E5E9D"/>
    <w:rsid w:val="318A5FC7"/>
    <w:rsid w:val="32774A50"/>
    <w:rsid w:val="36E529C0"/>
    <w:rsid w:val="374718CA"/>
    <w:rsid w:val="39515A8C"/>
    <w:rsid w:val="3AAA72E3"/>
    <w:rsid w:val="3CBD0E5C"/>
    <w:rsid w:val="40736864"/>
    <w:rsid w:val="434E4BA2"/>
    <w:rsid w:val="442D545C"/>
    <w:rsid w:val="444301D0"/>
    <w:rsid w:val="4A1313BC"/>
    <w:rsid w:val="4B052DB4"/>
    <w:rsid w:val="4B2E45DE"/>
    <w:rsid w:val="4D1B377B"/>
    <w:rsid w:val="4E7A4A8B"/>
    <w:rsid w:val="4EAE483C"/>
    <w:rsid w:val="50426C7D"/>
    <w:rsid w:val="51507184"/>
    <w:rsid w:val="52544203"/>
    <w:rsid w:val="581577E2"/>
    <w:rsid w:val="5A182642"/>
    <w:rsid w:val="5B1E52A4"/>
    <w:rsid w:val="5BF56535"/>
    <w:rsid w:val="5C4167DC"/>
    <w:rsid w:val="5D1E42DF"/>
    <w:rsid w:val="5D423B47"/>
    <w:rsid w:val="5E6D2F8A"/>
    <w:rsid w:val="5F151917"/>
    <w:rsid w:val="62E964CD"/>
    <w:rsid w:val="635E4793"/>
    <w:rsid w:val="65C064D9"/>
    <w:rsid w:val="66A0644D"/>
    <w:rsid w:val="66C675BF"/>
    <w:rsid w:val="67BE4F98"/>
    <w:rsid w:val="698106F7"/>
    <w:rsid w:val="6C8F5DD8"/>
    <w:rsid w:val="6D316790"/>
    <w:rsid w:val="6E8D00ED"/>
    <w:rsid w:val="6F845104"/>
    <w:rsid w:val="6FC314F2"/>
    <w:rsid w:val="70C04B18"/>
    <w:rsid w:val="7161179D"/>
    <w:rsid w:val="71C73333"/>
    <w:rsid w:val="73D7370E"/>
    <w:rsid w:val="74CE1AEB"/>
    <w:rsid w:val="7770257B"/>
    <w:rsid w:val="779E553F"/>
    <w:rsid w:val="79BF3CD0"/>
    <w:rsid w:val="7B46131C"/>
    <w:rsid w:val="7C1B2DFF"/>
    <w:rsid w:val="7C977FE1"/>
    <w:rsid w:val="7F3A0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B90C73C"/>
  <w14:defaultImageDpi w14:val="32767"/>
  <w15:docId w15:val="{C7A0C219-94E3-49A0-A218-B041E4F36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0" w:afterAutospacing="1" w:line="480" w:lineRule="auto"/>
      <w:ind w:firstLineChars="200" w:firstLine="480"/>
    </w:pPr>
    <w:rPr>
      <w:rFonts w:ascii="Arial" w:hAnsi="Arial" w:cs="Arial"/>
      <w:sz w:val="24"/>
      <w:szCs w:val="24"/>
      <w:lang w:eastAsia="en-US"/>
    </w:rPr>
  </w:style>
  <w:style w:type="paragraph" w:styleId="Heading1">
    <w:name w:val="heading 1"/>
    <w:basedOn w:val="Normal"/>
    <w:next w:val="Normal"/>
    <w:link w:val="Heading1Char"/>
    <w:uiPriority w:val="9"/>
    <w:qFormat/>
    <w:pPr>
      <w:spacing w:before="100" w:beforeAutospacing="1"/>
      <w:ind w:firstLineChars="0" w:firstLine="0"/>
      <w:outlineLvl w:val="0"/>
    </w:pPr>
    <w:rPr>
      <w:b/>
      <w:bCs/>
    </w:rPr>
  </w:style>
  <w:style w:type="paragraph" w:styleId="Heading2">
    <w:name w:val="heading 2"/>
    <w:basedOn w:val="ListParagraph"/>
    <w:next w:val="Normal"/>
    <w:link w:val="Heading2Char"/>
    <w:uiPriority w:val="9"/>
    <w:unhideWhenUsed/>
    <w:qFormat/>
    <w:pPr>
      <w:spacing w:before="100" w:beforeAutospacing="1" w:line="240" w:lineRule="auto"/>
      <w:ind w:left="0" w:firstLineChars="0" w:firstLine="0"/>
      <w:outlineLvl w:val="1"/>
    </w:pPr>
    <w:rPr>
      <w:b/>
      <w:bCs/>
      <w:color w:val="000000" w:themeColor="text1"/>
      <w:shd w:val="clear" w:color="auto" w:fill="FFFFFF"/>
    </w:rPr>
  </w:style>
  <w:style w:type="paragraph" w:styleId="Heading3">
    <w:name w:val="heading 3"/>
    <w:basedOn w:val="Heading2"/>
    <w:next w:val="Normal"/>
    <w:link w:val="Heading3Char"/>
    <w:uiPriority w:val="9"/>
    <w:unhideWhenUsed/>
    <w:qFormat/>
    <w:pPr>
      <w:ind w:left="540" w:hanging="54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Caption">
    <w:name w:val="caption"/>
    <w:basedOn w:val="Normal"/>
    <w:next w:val="Normal"/>
    <w:link w:val="CaptionChar"/>
    <w:uiPriority w:val="35"/>
    <w:unhideWhenUsed/>
    <w:qFormat/>
    <w:pPr>
      <w:spacing w:after="0" w:line="240" w:lineRule="auto"/>
      <w:ind w:left="150" w:right="151" w:firstLineChars="0" w:firstLine="0"/>
    </w:p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153"/>
        <w:tab w:val="right" w:pos="8306"/>
      </w:tabs>
      <w:spacing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semiHidden/>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153"/>
        <w:tab w:val="right" w:pos="830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jc w:val="center"/>
    </w:pPr>
    <w:rPr>
      <w:b/>
      <w:bCs/>
      <w:lang w:val="en-US" w:eastAsia="zh-CN"/>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Heading1Char">
    <w:name w:val="Heading 1 Char"/>
    <w:basedOn w:val="DefaultParagraphFont"/>
    <w:link w:val="Heading1"/>
    <w:uiPriority w:val="9"/>
    <w:qFormat/>
    <w:rPr>
      <w:rFonts w:ascii="Arial" w:hAnsi="Arial" w:cs="Arial"/>
      <w:b/>
      <w:bCs/>
      <w:sz w:val="24"/>
      <w:szCs w:val="24"/>
      <w:lang w:val="en-GB"/>
    </w:rPr>
  </w:style>
  <w:style w:type="character" w:customStyle="1" w:styleId="Heading2Char">
    <w:name w:val="Heading 2 Char"/>
    <w:basedOn w:val="DefaultParagraphFont"/>
    <w:link w:val="Heading2"/>
    <w:uiPriority w:val="9"/>
    <w:qFormat/>
    <w:rPr>
      <w:rFonts w:ascii="Arial" w:hAnsi="Arial" w:cs="Arial"/>
      <w:b/>
      <w:bCs/>
      <w:color w:val="000000" w:themeColor="text1"/>
      <w:sz w:val="24"/>
      <w:szCs w:val="24"/>
      <w:lang w:val="en-GB"/>
    </w:rPr>
  </w:style>
  <w:style w:type="paragraph" w:customStyle="1" w:styleId="EndNoteBibliographyTitle">
    <w:name w:val="EndNote Bibliography Title"/>
    <w:basedOn w:val="Normal"/>
    <w:link w:val="EndNoteBibliographyTitleChar"/>
    <w:qFormat/>
    <w:pPr>
      <w:spacing w:after="0"/>
      <w:jc w:val="center"/>
    </w:pPr>
    <w:rPr>
      <w:lang w:val="en-US"/>
    </w:rPr>
  </w:style>
  <w:style w:type="character" w:customStyle="1" w:styleId="EndNoteBibliographyTitleChar">
    <w:name w:val="EndNote Bibliography Title Char"/>
    <w:basedOn w:val="DefaultParagraphFont"/>
    <w:link w:val="EndNoteBibliographyTitle"/>
    <w:qFormat/>
    <w:rPr>
      <w:rFonts w:ascii="Arial" w:hAnsi="Arial" w:cs="Arial"/>
    </w:rPr>
  </w:style>
  <w:style w:type="paragraph" w:customStyle="1" w:styleId="EndNoteBibliography">
    <w:name w:val="EndNote Bibliography"/>
    <w:basedOn w:val="Normal"/>
    <w:link w:val="EndNoteBibliographyChar"/>
    <w:qFormat/>
    <w:pPr>
      <w:spacing w:line="240" w:lineRule="auto"/>
    </w:pPr>
    <w:rPr>
      <w:lang w:val="en-US"/>
    </w:rPr>
  </w:style>
  <w:style w:type="character" w:customStyle="1" w:styleId="EndNoteBibliographyChar">
    <w:name w:val="EndNote Bibliography Char"/>
    <w:basedOn w:val="DefaultParagraphFont"/>
    <w:link w:val="EndNoteBibliography"/>
    <w:qFormat/>
    <w:rPr>
      <w:rFonts w:ascii="Arial" w:hAnsi="Arial" w:cs="Arial"/>
    </w:rPr>
  </w:style>
  <w:style w:type="paragraph" w:customStyle="1" w:styleId="reference">
    <w:name w:val="reference"/>
    <w:basedOn w:val="EndNoteBibliography"/>
    <w:link w:val="referenceChar"/>
    <w:qFormat/>
    <w:pPr>
      <w:ind w:left="720" w:hanging="720"/>
    </w:pPr>
  </w:style>
  <w:style w:type="character" w:customStyle="1" w:styleId="referenceChar">
    <w:name w:val="reference Char"/>
    <w:basedOn w:val="EndNoteBibliographyChar"/>
    <w:link w:val="reference"/>
    <w:qFormat/>
    <w:rPr>
      <w:rFonts w:ascii="Arial" w:hAnsi="Arial" w:cs="Arial"/>
    </w:rPr>
  </w:style>
  <w:style w:type="character" w:customStyle="1" w:styleId="CommentTextChar">
    <w:name w:val="Comment Text Char"/>
    <w:basedOn w:val="DefaultParagraphFont"/>
    <w:link w:val="CommentText"/>
    <w:uiPriority w:val="99"/>
    <w:qFormat/>
    <w:rPr>
      <w:rFonts w:ascii="Arial" w:hAnsi="Arial" w:cs="Arial"/>
      <w:sz w:val="20"/>
      <w:szCs w:val="20"/>
      <w:lang w:val="en-GB"/>
    </w:rPr>
  </w:style>
  <w:style w:type="character" w:customStyle="1" w:styleId="CommentSubjectChar">
    <w:name w:val="Comment Subject Char"/>
    <w:basedOn w:val="CommentTextChar"/>
    <w:link w:val="CommentSubject"/>
    <w:uiPriority w:val="99"/>
    <w:semiHidden/>
    <w:qFormat/>
    <w:rPr>
      <w:rFonts w:ascii="Arial" w:hAnsi="Arial" w:cs="Arial"/>
      <w:b/>
      <w:bCs/>
      <w:sz w:val="20"/>
      <w:szCs w:val="20"/>
      <w:lang w:val="en-GB"/>
    </w:rPr>
  </w:style>
  <w:style w:type="character" w:customStyle="1" w:styleId="BalloonTextChar">
    <w:name w:val="Balloon Text Char"/>
    <w:basedOn w:val="DefaultParagraphFont"/>
    <w:link w:val="BalloonText"/>
    <w:uiPriority w:val="99"/>
    <w:semiHidden/>
    <w:qFormat/>
    <w:rPr>
      <w:rFonts w:ascii="Segoe UI" w:hAnsi="Segoe UI" w:cs="Segoe UI"/>
      <w:sz w:val="18"/>
      <w:szCs w:val="18"/>
      <w:lang w:val="en-GB"/>
    </w:rPr>
  </w:style>
  <w:style w:type="paragraph" w:customStyle="1" w:styleId="Bibliography1">
    <w:name w:val="Bibliography1"/>
    <w:basedOn w:val="Normal"/>
    <w:next w:val="Normal"/>
    <w:uiPriority w:val="37"/>
    <w:unhideWhenUsed/>
    <w:qFormat/>
    <w:pPr>
      <w:spacing w:after="0" w:line="240" w:lineRule="auto"/>
      <w:ind w:left="720" w:hanging="720"/>
    </w:pPr>
  </w:style>
  <w:style w:type="character" w:customStyle="1" w:styleId="FootnoteTextChar">
    <w:name w:val="Footnote Text Char"/>
    <w:basedOn w:val="DefaultParagraphFont"/>
    <w:link w:val="FootnoteText"/>
    <w:uiPriority w:val="99"/>
    <w:semiHidden/>
    <w:qFormat/>
    <w:rPr>
      <w:rFonts w:ascii="Arial" w:hAnsi="Arial" w:cs="Arial"/>
      <w:sz w:val="20"/>
      <w:szCs w:val="20"/>
      <w:lang w:val="en-GB"/>
    </w:rPr>
  </w:style>
  <w:style w:type="paragraph" w:customStyle="1" w:styleId="superscript">
    <w:name w:val="superscript"/>
    <w:basedOn w:val="Normal"/>
    <w:link w:val="superscriptChar"/>
    <w:qFormat/>
    <w:rPr>
      <w:sz w:val="26"/>
      <w:szCs w:val="26"/>
      <w:vertAlign w:val="superscript"/>
      <w:lang w:val="en-US"/>
    </w:rPr>
  </w:style>
  <w:style w:type="character" w:customStyle="1" w:styleId="superscriptChar">
    <w:name w:val="superscript Char"/>
    <w:basedOn w:val="DefaultParagraphFont"/>
    <w:link w:val="superscript"/>
    <w:qFormat/>
    <w:rPr>
      <w:rFonts w:ascii="Arial" w:hAnsi="Arial" w:cs="Arial"/>
      <w:sz w:val="26"/>
      <w:szCs w:val="26"/>
      <w:vertAlign w:val="superscript"/>
    </w:rPr>
  </w:style>
  <w:style w:type="paragraph" w:customStyle="1" w:styleId="figurecentre">
    <w:name w:val="figure_centre"/>
    <w:basedOn w:val="Normal"/>
    <w:link w:val="figurecentreChar"/>
    <w:qFormat/>
    <w:pPr>
      <w:spacing w:after="0" w:line="240" w:lineRule="auto"/>
      <w:jc w:val="center"/>
    </w:pPr>
  </w:style>
  <w:style w:type="character" w:customStyle="1" w:styleId="figurecentreChar">
    <w:name w:val="figure_centre Char"/>
    <w:basedOn w:val="DefaultParagraphFont"/>
    <w:link w:val="figurecentre"/>
    <w:qFormat/>
    <w:rPr>
      <w:rFonts w:ascii="Arial" w:hAnsi="Arial" w:cs="Arial"/>
      <w:lang w:val="en-GB"/>
    </w:rPr>
  </w:style>
  <w:style w:type="character" w:customStyle="1" w:styleId="TitleChar">
    <w:name w:val="Title Char"/>
    <w:basedOn w:val="DefaultParagraphFont"/>
    <w:link w:val="Title"/>
    <w:uiPriority w:val="10"/>
    <w:qFormat/>
    <w:rPr>
      <w:rFonts w:ascii="Arial" w:hAnsi="Arial" w:cs="Arial"/>
      <w:b/>
      <w:bCs/>
      <w:sz w:val="24"/>
      <w:szCs w:val="24"/>
      <w:lang w:eastAsia="zh-CN"/>
    </w:rPr>
  </w:style>
  <w:style w:type="character" w:customStyle="1" w:styleId="Heading3Char">
    <w:name w:val="Heading 3 Char"/>
    <w:basedOn w:val="DefaultParagraphFont"/>
    <w:link w:val="Heading3"/>
    <w:uiPriority w:val="9"/>
    <w:qFormat/>
    <w:rPr>
      <w:rFonts w:ascii="Arial" w:hAnsi="Arial" w:cs="Arial"/>
      <w:b/>
      <w:bCs/>
      <w:lang w:val="en-GB"/>
    </w:rPr>
  </w:style>
  <w:style w:type="character" w:styleId="PlaceholderText">
    <w:name w:val="Placeholder Text"/>
    <w:basedOn w:val="DefaultParagraphFont"/>
    <w:uiPriority w:val="99"/>
    <w:semiHidden/>
    <w:qFormat/>
    <w:rPr>
      <w:color w:val="808080"/>
    </w:rPr>
  </w:style>
  <w:style w:type="paragraph" w:customStyle="1" w:styleId="Bibliography2">
    <w:name w:val="Bibliography2"/>
    <w:basedOn w:val="Normal"/>
    <w:next w:val="Normal"/>
    <w:uiPriority w:val="37"/>
    <w:unhideWhenUsed/>
    <w:qFormat/>
  </w:style>
  <w:style w:type="paragraph" w:customStyle="1" w:styleId="subscript">
    <w:name w:val="subscript"/>
    <w:basedOn w:val="Caption"/>
    <w:link w:val="subscriptChar"/>
    <w:qFormat/>
    <w:rPr>
      <w:vertAlign w:val="subscript"/>
    </w:rPr>
  </w:style>
  <w:style w:type="character" w:customStyle="1" w:styleId="CaptionChar">
    <w:name w:val="Caption Char"/>
    <w:basedOn w:val="DefaultParagraphFont"/>
    <w:link w:val="Caption"/>
    <w:uiPriority w:val="35"/>
    <w:qFormat/>
    <w:rPr>
      <w:rFonts w:ascii="Arial" w:hAnsi="Arial" w:cs="Arial"/>
      <w:sz w:val="24"/>
      <w:szCs w:val="24"/>
      <w:lang w:val="en-GB"/>
    </w:rPr>
  </w:style>
  <w:style w:type="character" w:customStyle="1" w:styleId="subscriptChar">
    <w:name w:val="subscript Char"/>
    <w:basedOn w:val="CaptionChar"/>
    <w:link w:val="subscript"/>
    <w:qFormat/>
    <w:rPr>
      <w:rFonts w:ascii="Arial" w:hAnsi="Arial" w:cs="Arial"/>
      <w:sz w:val="24"/>
      <w:szCs w:val="24"/>
      <w:vertAlign w:val="subscript"/>
      <w:lang w:val="en-GB"/>
    </w:rPr>
  </w:style>
  <w:style w:type="paragraph" w:customStyle="1" w:styleId="Bibliography3">
    <w:name w:val="Bibliography3"/>
    <w:basedOn w:val="Normal"/>
    <w:next w:val="Normal"/>
    <w:uiPriority w:val="37"/>
    <w:unhideWhenUsed/>
    <w:qFormat/>
    <w:pPr>
      <w:tabs>
        <w:tab w:val="left" w:pos="384"/>
      </w:tabs>
      <w:spacing w:after="0"/>
      <w:ind w:left="384" w:hanging="384"/>
    </w:pPr>
  </w:style>
  <w:style w:type="character" w:customStyle="1" w:styleId="HeaderChar">
    <w:name w:val="Header Char"/>
    <w:basedOn w:val="DefaultParagraphFont"/>
    <w:link w:val="Header"/>
    <w:uiPriority w:val="99"/>
    <w:qFormat/>
    <w:rPr>
      <w:rFonts w:ascii="Arial" w:hAnsi="Arial" w:cs="Arial"/>
      <w:sz w:val="24"/>
      <w:szCs w:val="24"/>
      <w:lang w:val="en-GB"/>
    </w:rPr>
  </w:style>
  <w:style w:type="character" w:customStyle="1" w:styleId="FooterChar">
    <w:name w:val="Footer Char"/>
    <w:basedOn w:val="DefaultParagraphFont"/>
    <w:link w:val="Footer"/>
    <w:uiPriority w:val="99"/>
    <w:qFormat/>
    <w:rPr>
      <w:rFonts w:ascii="Arial" w:hAnsi="Arial" w:cs="Arial"/>
      <w:sz w:val="24"/>
      <w:szCs w:val="24"/>
      <w:lang w:val="en-GB"/>
    </w:rPr>
  </w:style>
  <w:style w:type="paragraph" w:styleId="Bibliography">
    <w:name w:val="Bibliography"/>
    <w:basedOn w:val="Normal"/>
    <w:next w:val="Normal"/>
    <w:uiPriority w:val="37"/>
    <w:unhideWhenUsed/>
    <w:rsid w:val="00D43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04058A8-823A-4BC9-B644-847650FEBC1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15</Pages>
  <Words>9706</Words>
  <Characters>55325</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 Siwei</dc:creator>
  <cp:lastModifiedBy>Deng Siwei</cp:lastModifiedBy>
  <cp:revision>702</cp:revision>
  <dcterms:created xsi:type="dcterms:W3CDTF">2020-11-10T11:33:00Z</dcterms:created>
  <dcterms:modified xsi:type="dcterms:W3CDTF">2021-03-16T04:38:00Z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id="x1ZtxCDJ"/&gt;&lt;style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KSOProductBuildVer">
    <vt:lpwstr>1033-11.2.0.10017</vt:lpwstr>
  </property>
</Properties>
</file>