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9B9C1" w14:textId="77777777" w:rsidR="00606015" w:rsidRDefault="00606015" w:rsidP="0060601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1360">
        <w:rPr>
          <w:rFonts w:ascii="Times New Roman" w:hAnsi="Times New Roman" w:cs="Times New Roman"/>
          <w:b/>
          <w:bCs/>
          <w:sz w:val="24"/>
          <w:szCs w:val="24"/>
        </w:rPr>
        <w:t xml:space="preserve">Anex: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81360">
        <w:rPr>
          <w:rFonts w:ascii="Times New Roman" w:hAnsi="Times New Roman" w:cs="Times New Roman"/>
          <w:b/>
          <w:bCs/>
          <w:sz w:val="24"/>
          <w:szCs w:val="24"/>
        </w:rPr>
        <w:t>ormulation of indices</w:t>
      </w:r>
    </w:p>
    <w:p w14:paraId="04F80C44" w14:textId="77777777" w:rsidR="00606015" w:rsidRPr="00E26F56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60">
        <w:rPr>
          <w:rFonts w:ascii="Times New Roman" w:hAnsi="Times New Roman" w:cs="Times New Roman"/>
          <w:b/>
          <w:bCs/>
          <w:sz w:val="24"/>
          <w:szCs w:val="24"/>
        </w:rPr>
        <w:t>DMP</w:t>
      </w:r>
      <w:r w:rsidRPr="00954E0D">
        <w:rPr>
          <w:rFonts w:ascii="Times New Roman" w:hAnsi="Times New Roman" w:cs="Times New Roman"/>
          <w:sz w:val="24"/>
          <w:szCs w:val="24"/>
        </w:rPr>
        <w:t xml:space="preserve">: A biophysical </w:t>
      </w:r>
      <w:r>
        <w:rPr>
          <w:rFonts w:ascii="Times New Roman" w:hAnsi="Times New Roman" w:cs="Times New Roman"/>
          <w:sz w:val="24"/>
          <w:szCs w:val="24"/>
        </w:rPr>
        <w:t xml:space="preserve">index </w:t>
      </w:r>
      <w:r w:rsidRPr="00954E0D">
        <w:rPr>
          <w:rFonts w:ascii="Times New Roman" w:hAnsi="Times New Roman" w:cs="Times New Roman"/>
          <w:sz w:val="24"/>
          <w:szCs w:val="24"/>
        </w:rPr>
        <w:t xml:space="preserve">computed with the following Monteith variant for ten-day periods defined as follows: Days 1 to 10, Days 11 to </w:t>
      </w:r>
      <w:proofErr w:type="gramStart"/>
      <w:r w:rsidRPr="00954E0D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Pr="00954E0D">
        <w:rPr>
          <w:rFonts w:ascii="Times New Roman" w:hAnsi="Times New Roman" w:cs="Times New Roman"/>
          <w:sz w:val="24"/>
          <w:szCs w:val="24"/>
        </w:rPr>
        <w:t xml:space="preserve"> and Days 21 to end of month for each month of the year (Eq. 1):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4"/>
        <w:gridCol w:w="870"/>
      </w:tblGrid>
      <w:tr w:rsidR="00606015" w14:paraId="6C0C2134" w14:textId="77777777" w:rsidTr="002B41BE">
        <w:tc>
          <w:tcPr>
            <w:tcW w:w="7634" w:type="dxa"/>
            <w:vAlign w:val="center"/>
          </w:tcPr>
          <w:p w14:paraId="3AFB3670" w14:textId="77777777" w:rsidR="00606015" w:rsidRPr="00567FBD" w:rsidRDefault="00606015" w:rsidP="004709D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DMP=R∙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∙fAPAR∙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LUEc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AR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∙ε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RES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70" w:type="dxa"/>
            <w:vAlign w:val="center"/>
          </w:tcPr>
          <w:p w14:paraId="52644732" w14:textId="77777777" w:rsidR="00606015" w:rsidRPr="00567FBD" w:rsidRDefault="00606015" w:rsidP="004709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D">
              <w:rPr>
                <w:rFonts w:ascii="Times New Roman" w:eastAsiaTheme="minorEastAsia" w:hAnsi="Times New Roman" w:cs="Times New Roman"/>
                <w:sz w:val="24"/>
                <w:szCs w:val="24"/>
              </w:rPr>
              <w:t>(1)</w:t>
            </w:r>
          </w:p>
        </w:tc>
      </w:tr>
    </w:tbl>
    <w:p w14:paraId="2862B224" w14:textId="77777777" w:rsidR="00606015" w:rsidRPr="00E26F56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terms are as follows</w:t>
      </w:r>
      <w:r w:rsidRPr="00E26F56">
        <w:rPr>
          <w:rFonts w:ascii="Times New Roman" w:hAnsi="Times New Roman" w:cs="Times New Roman"/>
          <w:sz w:val="24"/>
          <w:szCs w:val="24"/>
        </w:rPr>
        <w:t>:</w:t>
      </w:r>
    </w:p>
    <w:p w14:paraId="6D58D86E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E26F56">
        <w:rPr>
          <w:rFonts w:ascii="Times New Roman" w:hAnsi="Times New Roman" w:cs="Times New Roman"/>
          <w:sz w:val="24"/>
          <w:szCs w:val="24"/>
        </w:rPr>
        <w:t>R</w:t>
      </w:r>
      <w:r w:rsidRPr="00E26F56">
        <w:rPr>
          <w:rFonts w:ascii="Times New Roman" w:hAnsi="Times New Roman" w:cs="Times New Roman"/>
          <w:sz w:val="24"/>
          <w:szCs w:val="24"/>
        </w:rPr>
        <w:tab/>
        <w:t>Total shortwave incoming radiation</w:t>
      </w:r>
    </w:p>
    <w:p w14:paraId="0473ED80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Pr="00E26F56">
        <w:rPr>
          <w:rFonts w:ascii="Times New Roman" w:hAnsi="Times New Roman" w:cs="Times New Roman"/>
          <w:sz w:val="24"/>
          <w:szCs w:val="24"/>
        </w:rPr>
        <w:tab/>
        <w:t>Fraction of PAR (0.4–0.</w:t>
      </w:r>
      <w:r>
        <w:rPr>
          <w:rFonts w:ascii="Times New Roman" w:eastAsia="Calibri" w:hAnsi="Times New Roman" w:cs="Times New Roman"/>
          <w:sz w:val="24"/>
          <w:szCs w:val="24"/>
        </w:rPr>
        <w:t>7 µm</w:t>
      </w:r>
      <w:r w:rsidRPr="00E26F56">
        <w:rPr>
          <w:rFonts w:ascii="Times New Roman" w:hAnsi="Times New Roman" w:cs="Times New Roman"/>
          <w:sz w:val="24"/>
          <w:szCs w:val="24"/>
        </w:rPr>
        <w:t>) in total shortwave</w:t>
      </w:r>
    </w:p>
    <w:p w14:paraId="6E6AEC96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w:proofErr w:type="spellStart"/>
      <w:r w:rsidRPr="00E26F56">
        <w:rPr>
          <w:rFonts w:ascii="Times New Roman" w:hAnsi="Times New Roman" w:cs="Times New Roman"/>
          <w:sz w:val="24"/>
          <w:szCs w:val="24"/>
        </w:rPr>
        <w:t>fAPAR</w:t>
      </w:r>
      <w:proofErr w:type="spellEnd"/>
      <w:r w:rsidRPr="00E26F56">
        <w:rPr>
          <w:rFonts w:ascii="Times New Roman" w:hAnsi="Times New Roman" w:cs="Times New Roman"/>
          <w:sz w:val="24"/>
          <w:szCs w:val="24"/>
        </w:rPr>
        <w:tab/>
        <w:t>PAR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6F56">
        <w:rPr>
          <w:rFonts w:ascii="Times New Roman" w:hAnsi="Times New Roman" w:cs="Times New Roman"/>
          <w:sz w:val="24"/>
          <w:szCs w:val="24"/>
        </w:rPr>
        <w:t xml:space="preserve">fraction absorbed (PA) by green </w:t>
      </w:r>
      <w:proofErr w:type="gramStart"/>
      <w:r w:rsidRPr="00E26F56">
        <w:rPr>
          <w:rFonts w:ascii="Times New Roman" w:hAnsi="Times New Roman" w:cs="Times New Roman"/>
          <w:sz w:val="24"/>
          <w:szCs w:val="24"/>
        </w:rPr>
        <w:t>vegetation</w:t>
      </w:r>
      <w:proofErr w:type="gramEnd"/>
    </w:p>
    <w:p w14:paraId="17033353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LUEc</m:t>
            </m:r>
          </m:sub>
        </m:sSub>
      </m:oMath>
      <w:r w:rsidRPr="00E26F56">
        <w:rPr>
          <w:rFonts w:ascii="Times New Roman" w:hAnsi="Times New Roman" w:cs="Times New Roman"/>
          <w:sz w:val="24"/>
          <w:szCs w:val="24"/>
        </w:rPr>
        <w:tab/>
        <w:t>Light use efficiency (</w:t>
      </w:r>
      <w:r>
        <w:rPr>
          <w:rFonts w:ascii="Times New Roman" w:eastAsia="Calibri" w:hAnsi="Times New Roman" w:cs="Times New Roman"/>
          <w:sz w:val="24"/>
          <w:szCs w:val="24"/>
        </w:rPr>
        <w:t>DM=dry matter</w:t>
      </w:r>
      <w:r w:rsidRPr="00E26F56">
        <w:rPr>
          <w:rFonts w:ascii="Times New Roman" w:hAnsi="Times New Roman" w:cs="Times New Roman"/>
          <w:sz w:val="24"/>
          <w:szCs w:val="24"/>
        </w:rPr>
        <w:t>) at optimum</w:t>
      </w:r>
    </w:p>
    <w:p w14:paraId="70D4C24E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E26F56">
        <w:rPr>
          <w:rFonts w:ascii="Times New Roman" w:hAnsi="Times New Roman" w:cs="Times New Roman"/>
          <w:sz w:val="24"/>
          <w:szCs w:val="24"/>
        </w:rPr>
        <w:tab/>
        <w:t>Normalized temperature effect</w:t>
      </w:r>
    </w:p>
    <w:p w14:paraId="2D2F0B4B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CO2</m:t>
            </m:r>
          </m:sub>
        </m:sSub>
      </m:oMath>
      <w:r w:rsidRPr="00E26F56">
        <w:rPr>
          <w:rFonts w:ascii="Times New Roman" w:hAnsi="Times New Roman" w:cs="Times New Roman"/>
          <w:sz w:val="24"/>
          <w:szCs w:val="24"/>
        </w:rPr>
        <w:tab/>
        <w:t>Normalized CO</w:t>
      </w:r>
      <w:r w:rsidRPr="00E26F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F56">
        <w:rPr>
          <w:rFonts w:ascii="Times New Roman" w:hAnsi="Times New Roman" w:cs="Times New Roman"/>
          <w:sz w:val="24"/>
          <w:szCs w:val="24"/>
        </w:rPr>
        <w:t xml:space="preserve"> fertilization effect</w:t>
      </w:r>
    </w:p>
    <w:p w14:paraId="00D117E3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AR</m:t>
            </m:r>
          </m:sub>
        </m:sSub>
      </m:oMath>
      <w:r w:rsidRPr="00E26F56">
        <w:rPr>
          <w:rFonts w:ascii="Times New Roman" w:hAnsi="Times New Roman" w:cs="Times New Roman"/>
          <w:sz w:val="24"/>
          <w:szCs w:val="24"/>
        </w:rPr>
        <w:tab/>
        <w:t xml:space="preserve">Fraction kept after autotrophic </w:t>
      </w:r>
      <w:proofErr w:type="gramStart"/>
      <w:r w:rsidRPr="00E26F56">
        <w:rPr>
          <w:rFonts w:ascii="Times New Roman" w:hAnsi="Times New Roman" w:cs="Times New Roman"/>
          <w:sz w:val="24"/>
          <w:szCs w:val="24"/>
        </w:rPr>
        <w:t>respiration</w:t>
      </w:r>
      <w:proofErr w:type="gramEnd"/>
    </w:p>
    <w:p w14:paraId="708E188F" w14:textId="77777777" w:rsidR="00606015" w:rsidRPr="00E26F56" w:rsidRDefault="00606015" w:rsidP="00606015">
      <w:pPr>
        <w:framePr w:hSpace="141" w:wrap="around" w:vAnchor="text" w:hAnchor="margin" w:y="107"/>
        <w:tabs>
          <w:tab w:val="left" w:pos="2367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RES</m:t>
            </m:r>
          </m:sub>
        </m:sSub>
      </m:oMath>
      <w:r w:rsidRPr="00E26F56">
        <w:rPr>
          <w:rFonts w:ascii="Times New Roman" w:hAnsi="Times New Roman" w:cs="Times New Roman"/>
          <w:sz w:val="24"/>
          <w:szCs w:val="24"/>
        </w:rPr>
        <w:tab/>
        <w:t>Fraction kept after omitted effects (drought, pests...)</w:t>
      </w:r>
    </w:p>
    <w:p w14:paraId="16510F87" w14:textId="77777777" w:rsidR="00606015" w:rsidRPr="00E26F56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60">
        <w:rPr>
          <w:rFonts w:ascii="Times New Roman" w:hAnsi="Times New Roman" w:cs="Times New Roman"/>
          <w:b/>
          <w:bCs/>
          <w:sz w:val="24"/>
          <w:szCs w:val="24"/>
        </w:rPr>
        <w:t xml:space="preserve">All indices that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quantify</w:t>
      </w:r>
      <w:r w:rsidRPr="00F81360">
        <w:rPr>
          <w:rFonts w:ascii="Times New Roman" w:hAnsi="Times New Roman" w:cs="Times New Roman"/>
          <w:b/>
          <w:bCs/>
          <w:sz w:val="24"/>
          <w:szCs w:val="24"/>
        </w:rPr>
        <w:t xml:space="preserve"> the green vegetation</w:t>
      </w:r>
      <w:r w:rsidRPr="00190803">
        <w:rPr>
          <w:rFonts w:ascii="Times New Roman" w:hAnsi="Times New Roman" w:cs="Times New Roman"/>
          <w:sz w:val="24"/>
          <w:szCs w:val="24"/>
        </w:rPr>
        <w:t xml:space="preserve"> need to be calculated considering the following variables </w:t>
      </w:r>
      <w:r>
        <w:rPr>
          <w:rFonts w:ascii="Times New Roman" w:hAnsi="Times New Roman" w:cs="Times New Roman"/>
          <w:noProof/>
          <w:sz w:val="24"/>
          <w:szCs w:val="24"/>
        </w:rPr>
        <w:t>(Weiss and Baret 2016)</w:t>
      </w:r>
      <w:r w:rsidRPr="00190803">
        <w:rPr>
          <w:rFonts w:ascii="Times New Roman" w:hAnsi="Times New Roman" w:cs="Times New Roman"/>
          <w:sz w:val="24"/>
          <w:szCs w:val="24"/>
        </w:rPr>
        <w:t>:</w:t>
      </w:r>
    </w:p>
    <w:p w14:paraId="3ECD6A83" w14:textId="77777777" w:rsidR="00606015" w:rsidRPr="00E26F56" w:rsidRDefault="00606015" w:rsidP="00606015">
      <w:pPr>
        <w:tabs>
          <w:tab w:val="left" w:pos="996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E26F56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26F56">
        <w:rPr>
          <w:rFonts w:ascii="Times New Roman" w:hAnsi="Times New Roman" w:cs="Times New Roman"/>
          <w:sz w:val="24"/>
          <w:szCs w:val="24"/>
        </w:rPr>
        <w:t xml:space="preserve">Leaf mesophyll structure index, </w:t>
      </w:r>
      <w:r>
        <w:rPr>
          <w:rFonts w:ascii="Times New Roman" w:eastAsia="Calibri" w:hAnsi="Times New Roman" w:cs="Times New Roman"/>
          <w:sz w:val="24"/>
          <w:szCs w:val="24"/>
        </w:rPr>
        <w:t>which</w:t>
      </w:r>
      <w:r w:rsidRPr="00E26F56">
        <w:rPr>
          <w:rFonts w:ascii="Times New Roman" w:hAnsi="Times New Roman" w:cs="Times New Roman"/>
          <w:sz w:val="24"/>
          <w:szCs w:val="24"/>
        </w:rPr>
        <w:t xml:space="preserve"> discriminates between compact leaves and disorganized leaves with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large</w:t>
      </w:r>
      <w:r w:rsidRPr="00E26F56">
        <w:rPr>
          <w:rFonts w:ascii="Times New Roman" w:hAnsi="Times New Roman" w:cs="Times New Roman"/>
          <w:sz w:val="24"/>
          <w:szCs w:val="24"/>
        </w:rPr>
        <w:t xml:space="preserve"> extent of air spaces.</w:t>
      </w:r>
    </w:p>
    <w:p w14:paraId="697BED78" w14:textId="77777777" w:rsidR="00606015" w:rsidRPr="00E26F56" w:rsidRDefault="00606015" w:rsidP="00606015">
      <w:pPr>
        <w:tabs>
          <w:tab w:val="left" w:pos="996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E26F5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E26F5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ab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26F56">
        <w:rPr>
          <w:rFonts w:ascii="Times New Roman" w:hAnsi="Times New Roman" w:cs="Times New Roman"/>
          <w:sz w:val="24"/>
          <w:szCs w:val="24"/>
        </w:rPr>
        <w:t xml:space="preserve">Leaf </w:t>
      </w:r>
      <w:r>
        <w:rPr>
          <w:rFonts w:ascii="Times New Roman" w:eastAsia="Calibri" w:hAnsi="Times New Roman" w:cs="Times New Roman"/>
          <w:sz w:val="24"/>
          <w:szCs w:val="24"/>
        </w:rPr>
        <w:t>chlorophyll</w:t>
      </w:r>
      <w:r w:rsidRPr="00E26F56">
        <w:rPr>
          <w:rFonts w:ascii="Times New Roman" w:hAnsi="Times New Roman" w:cs="Times New Roman"/>
          <w:sz w:val="24"/>
          <w:szCs w:val="24"/>
        </w:rPr>
        <w:t xml:space="preserve"> content. It corresponds to the content of chlorophyll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E26F56">
        <w:rPr>
          <w:rFonts w:ascii="Times New Roman" w:hAnsi="Times New Roman" w:cs="Times New Roman"/>
          <w:sz w:val="24"/>
          <w:szCs w:val="24"/>
        </w:rPr>
        <w:t xml:space="preserve"> and the model considers different vegetation types, from nonevergreen vegetation to evergreen broadleaf forests.</w:t>
      </w:r>
    </w:p>
    <w:p w14:paraId="5251F22E" w14:textId="77777777" w:rsidR="00606015" w:rsidRPr="00E26F56" w:rsidRDefault="00606015" w:rsidP="00606015">
      <w:pPr>
        <w:tabs>
          <w:tab w:val="left" w:pos="996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w:proofErr w:type="spellStart"/>
      <w:r w:rsidRPr="00E26F56">
        <w:rPr>
          <w:rFonts w:ascii="Times New Roman" w:hAnsi="Times New Roman" w:cs="Times New Roman"/>
          <w:i/>
          <w:iCs/>
          <w:sz w:val="24"/>
          <w:szCs w:val="24"/>
        </w:rPr>
        <w:lastRenderedPageBreak/>
        <w:t>C</w:t>
      </w:r>
      <w:r w:rsidRPr="00E26F5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dm</w:t>
      </w:r>
      <w:proofErr w:type="spellEnd"/>
      <w:r w:rsidRPr="00E26F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26F56">
        <w:rPr>
          <w:rFonts w:ascii="Times New Roman" w:hAnsi="Times New Roman" w:cs="Times New Roman"/>
          <w:sz w:val="24"/>
          <w:szCs w:val="24"/>
        </w:rPr>
        <w:t xml:space="preserve">Leaf dry matter content. This variable is also estimated for vegetation types from </w:t>
      </w:r>
      <w:r>
        <w:rPr>
          <w:rFonts w:ascii="Times New Roman" w:eastAsia="Calibri" w:hAnsi="Times New Roman" w:cs="Times New Roman"/>
          <w:sz w:val="24"/>
          <w:szCs w:val="24"/>
        </w:rPr>
        <w:t>nonevergreen</w:t>
      </w:r>
      <w:r w:rsidRPr="00E26F56">
        <w:rPr>
          <w:rFonts w:ascii="Times New Roman" w:hAnsi="Times New Roman" w:cs="Times New Roman"/>
          <w:sz w:val="24"/>
          <w:szCs w:val="24"/>
        </w:rPr>
        <w:t xml:space="preserve"> broadleaf forests up to evergreen broadleaf forests.</w:t>
      </w:r>
    </w:p>
    <w:p w14:paraId="2CC4A388" w14:textId="77777777" w:rsidR="00606015" w:rsidRPr="00E26F56" w:rsidRDefault="00606015" w:rsidP="00606015">
      <w:pPr>
        <w:tabs>
          <w:tab w:val="left" w:pos="996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w:proofErr w:type="spellStart"/>
      <w:r w:rsidRPr="00E26F5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E26F5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w</w:t>
      </w:r>
      <w:proofErr w:type="spellEnd"/>
      <w:r w:rsidRPr="00E26F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26F56">
        <w:rPr>
          <w:rFonts w:ascii="Times New Roman" w:hAnsi="Times New Roman" w:cs="Times New Roman"/>
          <w:sz w:val="24"/>
          <w:szCs w:val="24"/>
        </w:rPr>
        <w:t xml:space="preserve">Leaf water content, </w:t>
      </w:r>
      <w:r>
        <w:rPr>
          <w:rFonts w:ascii="Times New Roman" w:eastAsia="Calibri" w:hAnsi="Times New Roman" w:cs="Times New Roman"/>
          <w:sz w:val="24"/>
          <w:szCs w:val="24"/>
        </w:rPr>
        <w:t>which</w:t>
      </w:r>
      <w:r w:rsidRPr="00E26F56">
        <w:rPr>
          <w:rFonts w:ascii="Times New Roman" w:hAnsi="Times New Roman" w:cs="Times New Roman"/>
          <w:sz w:val="24"/>
          <w:szCs w:val="24"/>
        </w:rPr>
        <w:t xml:space="preserve"> is directly linked to </w:t>
      </w:r>
      <w:proofErr w:type="spellStart"/>
      <w:r w:rsidRPr="00E26F5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E26F5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dm</w:t>
      </w:r>
      <w:proofErr w:type="spellEnd"/>
      <w:r w:rsidRPr="00E26F56">
        <w:rPr>
          <w:rFonts w:ascii="Times New Roman" w:hAnsi="Times New Roman" w:cs="Times New Roman"/>
          <w:sz w:val="24"/>
          <w:szCs w:val="24"/>
        </w:rPr>
        <w:t>.</w:t>
      </w:r>
    </w:p>
    <w:p w14:paraId="0EC26390" w14:textId="77777777" w:rsidR="00606015" w:rsidRPr="00E26F56" w:rsidRDefault="00606015" w:rsidP="00606015">
      <w:pPr>
        <w:tabs>
          <w:tab w:val="left" w:pos="996"/>
        </w:tabs>
        <w:spacing w:line="480" w:lineRule="auto"/>
        <w:ind w:left="113"/>
        <w:rPr>
          <w:rFonts w:ascii="Times New Roman" w:hAnsi="Times New Roman" w:cs="Times New Roman"/>
          <w:sz w:val="24"/>
          <w:szCs w:val="24"/>
        </w:rPr>
      </w:pPr>
      <w:proofErr w:type="spellStart"/>
      <w:r w:rsidRPr="00E26F5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E26F5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bp</w:t>
      </w:r>
      <w:proofErr w:type="spellEnd"/>
      <w:r w:rsidRPr="00E26F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26F56">
        <w:rPr>
          <w:rFonts w:ascii="Times New Roman" w:hAnsi="Times New Roman" w:cs="Times New Roman"/>
          <w:sz w:val="24"/>
          <w:szCs w:val="24"/>
        </w:rPr>
        <w:t xml:space="preserve">Leaf brown pigment content. This variable </w:t>
      </w:r>
      <w:r>
        <w:rPr>
          <w:rFonts w:ascii="Times New Roman" w:eastAsia="Calibri" w:hAnsi="Times New Roman" w:cs="Times New Roman"/>
          <w:sz w:val="24"/>
          <w:szCs w:val="24"/>
        </w:rPr>
        <w:t>should be</w:t>
      </w:r>
      <w:r w:rsidRPr="00E26F56">
        <w:rPr>
          <w:rFonts w:ascii="Times New Roman" w:hAnsi="Times New Roman" w:cs="Times New Roman"/>
          <w:sz w:val="24"/>
          <w:szCs w:val="24"/>
        </w:rPr>
        <w:t xml:space="preserve"> included </w:t>
      </w:r>
      <w:r>
        <w:rPr>
          <w:rFonts w:ascii="Times New Roman" w:eastAsia="Calibri" w:hAnsi="Times New Roman" w:cs="Times New Roman"/>
          <w:sz w:val="24"/>
          <w:szCs w:val="24"/>
        </w:rPr>
        <w:t>because the</w:t>
      </w:r>
      <w:r w:rsidRPr="00E26F56">
        <w:rPr>
          <w:rFonts w:ascii="Times New Roman" w:hAnsi="Times New Roman" w:cs="Times New Roman"/>
          <w:sz w:val="24"/>
          <w:szCs w:val="24"/>
        </w:rPr>
        <w:t xml:space="preserve"> canopy structure model should include at least green and nongreen elements.</w:t>
      </w:r>
    </w:p>
    <w:p w14:paraId="527245E8" w14:textId="77777777" w:rsidR="00606015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0B0C6" w14:textId="77777777" w:rsidR="00606015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A4717" w14:textId="77777777" w:rsidR="00606015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 calculate</w:t>
      </w:r>
      <w:r w:rsidRPr="00E26F56">
        <w:rPr>
          <w:rFonts w:ascii="Times New Roman" w:hAnsi="Times New Roman" w:cs="Times New Roman"/>
          <w:sz w:val="24"/>
          <w:szCs w:val="24"/>
        </w:rPr>
        <w:t xml:space="preserve"> the </w:t>
      </w:r>
      <w:r w:rsidRPr="00F81360">
        <w:rPr>
          <w:rFonts w:ascii="Times New Roman" w:hAnsi="Times New Roman" w:cs="Times New Roman"/>
          <w:b/>
          <w:bCs/>
          <w:sz w:val="24"/>
          <w:szCs w:val="24"/>
        </w:rPr>
        <w:t>SPEI</w:t>
      </w:r>
      <w:r>
        <w:rPr>
          <w:rFonts w:ascii="Times New Roman" w:hAnsi="Times New Roman" w:cs="Times New Roman"/>
          <w:sz w:val="24"/>
          <w:szCs w:val="24"/>
        </w:rPr>
        <w:t xml:space="preserve">, the climatic water balance (D) needs to be estimated </w:t>
      </w:r>
      <w:r w:rsidRPr="00954E0D">
        <w:rPr>
          <w:rFonts w:ascii="Times New Roman" w:hAnsi="Times New Roman" w:cs="Times New Roman"/>
          <w:sz w:val="24"/>
          <w:szCs w:val="24"/>
        </w:rPr>
        <w:t>(Eq. 3)</w:t>
      </w:r>
      <w:r w:rsidRPr="00E26F56">
        <w:rPr>
          <w:rFonts w:ascii="Times New Roman" w:hAnsi="Times New Roman" w:cs="Times New Roman"/>
          <w:sz w:val="24"/>
          <w:szCs w:val="24"/>
        </w:rPr>
        <w:t>. It compares the available water (P) with the atmospheric evaporative demand: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1"/>
        <w:gridCol w:w="873"/>
      </w:tblGrid>
      <w:tr w:rsidR="00606015" w14:paraId="6C7B421F" w14:textId="77777777" w:rsidTr="004709D3">
        <w:tc>
          <w:tcPr>
            <w:tcW w:w="8330" w:type="dxa"/>
            <w:vAlign w:val="center"/>
          </w:tcPr>
          <w:p w14:paraId="254608CF" w14:textId="77777777" w:rsidR="00606015" w:rsidRPr="00567FBD" w:rsidRDefault="00606015" w:rsidP="004709D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D=P-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PET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912" w:type="dxa"/>
            <w:vAlign w:val="center"/>
          </w:tcPr>
          <w:p w14:paraId="0ACCC3AC" w14:textId="77777777" w:rsidR="00606015" w:rsidRPr="00567FBD" w:rsidRDefault="00606015" w:rsidP="004709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D">
              <w:rPr>
                <w:rFonts w:ascii="Times New Roman" w:eastAsiaTheme="minorEastAsia" w:hAnsi="Times New Roman" w:cs="Times New Roman"/>
                <w:sz w:val="24"/>
                <w:szCs w:val="24"/>
              </w:rPr>
              <w:t>(3)</w:t>
            </w:r>
          </w:p>
        </w:tc>
      </w:tr>
    </w:tbl>
    <w:p w14:paraId="4FA498A5" w14:textId="77777777" w:rsidR="00606015" w:rsidRPr="004E309A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F56">
        <w:rPr>
          <w:rFonts w:ascii="Times New Roman" w:hAnsi="Times New Roman" w:cs="Times New Roman"/>
          <w:i/>
          <w:iCs/>
          <w:sz w:val="24"/>
          <w:szCs w:val="24"/>
        </w:rPr>
        <w:t>ET</w:t>
      </w:r>
      <w:r w:rsidRPr="00E26F5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E26F56">
        <w:rPr>
          <w:rFonts w:ascii="Times New Roman" w:hAnsi="Times New Roman" w:cs="Times New Roman"/>
          <w:sz w:val="24"/>
          <w:szCs w:val="24"/>
        </w:rPr>
        <w:t xml:space="preserve"> represents the evapotranspiration rate of a reference surface (a well-watered hypothetical grass reference crop with specific characteristics) </w:t>
      </w:r>
      <w:r>
        <w:rPr>
          <w:rFonts w:ascii="Times New Roman" w:hAnsi="Times New Roman" w:cs="Times New Roman"/>
          <w:noProof/>
          <w:sz w:val="24"/>
          <w:szCs w:val="24"/>
        </w:rPr>
        <w:t>(Beguería et al. 2014)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80D5AB" w14:textId="77777777" w:rsidR="00606015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 is calculated at different time scales, and the results are fit to a log-logistic probability distribution. The probability distribution function of a variable D according to a log-logistic distribution is given by </w:t>
      </w:r>
      <w:r w:rsidRPr="00954E0D">
        <w:rPr>
          <w:rFonts w:ascii="Times New Roman" w:hAnsi="Times New Roman" w:cs="Times New Roman"/>
          <w:sz w:val="24"/>
          <w:szCs w:val="24"/>
        </w:rPr>
        <w:t>Eq. (4)</w:t>
      </w:r>
      <w:r w:rsidRPr="00E26F5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6"/>
        <w:gridCol w:w="868"/>
      </w:tblGrid>
      <w:tr w:rsidR="00606015" w14:paraId="591C9103" w14:textId="77777777" w:rsidTr="004709D3">
        <w:tc>
          <w:tcPr>
            <w:tcW w:w="8330" w:type="dxa"/>
            <w:vAlign w:val="center"/>
          </w:tcPr>
          <w:p w14:paraId="0191F843" w14:textId="77777777" w:rsidR="00606015" w:rsidRPr="00567FBD" w:rsidRDefault="00606015" w:rsidP="004709D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α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D-γ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β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912" w:type="dxa"/>
            <w:vAlign w:val="center"/>
          </w:tcPr>
          <w:p w14:paraId="57EDCE9F" w14:textId="77777777" w:rsidR="00606015" w:rsidRPr="00567FBD" w:rsidRDefault="00606015" w:rsidP="004709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D">
              <w:rPr>
                <w:rFonts w:ascii="Times New Roman" w:eastAsiaTheme="minorEastAsia" w:hAnsi="Times New Roman" w:cs="Times New Roman"/>
                <w:sz w:val="24"/>
                <w:szCs w:val="24"/>
              </w:rPr>
              <w:t>(4)</w:t>
            </w:r>
          </w:p>
        </w:tc>
      </w:tr>
    </w:tbl>
    <w:p w14:paraId="37F410EF" w14:textId="77777777" w:rsidR="00606015" w:rsidRPr="00E26F56" w:rsidRDefault="00606015" w:rsidP="006060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F56">
        <w:rPr>
          <w:rFonts w:ascii="Times New Roman" w:hAnsi="Times New Roman" w:cs="Times New Roman"/>
          <w:sz w:val="24"/>
          <w:szCs w:val="24"/>
        </w:rPr>
        <w:t xml:space="preserve">where 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E26F56">
        <w:rPr>
          <w:rFonts w:ascii="Times New Roman" w:hAnsi="Times New Roman" w:cs="Times New Roman"/>
          <w:sz w:val="24"/>
          <w:szCs w:val="24"/>
        </w:rPr>
        <w:t xml:space="preserve">, 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E26F56">
        <w:rPr>
          <w:rFonts w:ascii="Times New Roman" w:hAnsi="Times New Roman" w:cs="Times New Roman"/>
          <w:sz w:val="24"/>
          <w:szCs w:val="24"/>
        </w:rPr>
        <w:t xml:space="preserve"> and </w:t>
      </w:r>
      <w:r w:rsidRPr="00E26F56">
        <w:rPr>
          <w:rFonts w:ascii="Times New Roman" w:hAnsi="Times New Roman" w:cs="Times New Roman"/>
          <w:i/>
          <w:iCs/>
          <w:sz w:val="24"/>
          <w:szCs w:val="24"/>
        </w:rPr>
        <w:t>γ</w:t>
      </w:r>
      <w:r w:rsidRPr="00E26F56">
        <w:rPr>
          <w:rFonts w:ascii="Times New Roman" w:hAnsi="Times New Roman" w:cs="Times New Roman"/>
          <w:sz w:val="24"/>
          <w:szCs w:val="24"/>
        </w:rPr>
        <w:t xml:space="preserve"> represent the scale, </w:t>
      </w:r>
      <w:proofErr w:type="gramStart"/>
      <w:r w:rsidRPr="00E26F56">
        <w:rPr>
          <w:rFonts w:ascii="Times New Roman" w:hAnsi="Times New Roman" w:cs="Times New Roman"/>
          <w:sz w:val="24"/>
          <w:szCs w:val="24"/>
        </w:rPr>
        <w:t>shape</w:t>
      </w:r>
      <w:proofErr w:type="gramEnd"/>
      <w:r w:rsidRPr="00E26F56">
        <w:rPr>
          <w:rFonts w:ascii="Times New Roman" w:hAnsi="Times New Roman" w:cs="Times New Roman"/>
          <w:sz w:val="24"/>
          <w:szCs w:val="24"/>
        </w:rPr>
        <w:t xml:space="preserve"> and location</w:t>
      </w:r>
      <w:r>
        <w:rPr>
          <w:rFonts w:ascii="Times New Roman" w:eastAsia="Calibri" w:hAnsi="Times New Roman" w:cs="Times New Roman"/>
          <w:sz w:val="24"/>
          <w:szCs w:val="24"/>
        </w:rPr>
        <w:t>, respectively</w:t>
      </w:r>
      <w:r w:rsidRPr="00E26F56">
        <w:rPr>
          <w:rFonts w:ascii="Times New Roman" w:hAnsi="Times New Roman" w:cs="Times New Roman"/>
          <w:sz w:val="24"/>
          <w:szCs w:val="24"/>
        </w:rPr>
        <w:t>.</w:t>
      </w:r>
    </w:p>
    <w:p w14:paraId="293A696E" w14:textId="77777777" w:rsidR="00606015" w:rsidRPr="00482BE6" w:rsidRDefault="00606015" w:rsidP="0060601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7BFD0" w14:textId="77777777" w:rsidR="00DF3D8F" w:rsidRDefault="00DF3D8F"/>
    <w:sectPr w:rsidR="00DF3D8F" w:rsidSect="00A67C1F">
      <w:footerReference w:type="default" r:id="rId4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7B2D" w14:textId="77777777" w:rsidR="00597497" w:rsidRPr="00087444" w:rsidRDefault="00597497" w:rsidP="00087444">
    <w:pPr>
      <w:pStyle w:val="Piedepgina"/>
      <w:jc w:val="right"/>
      <w:rPr>
        <w:rFonts w:ascii="Times New Roman" w:hAnsi="Times New Roman" w:cs="Times New Roman"/>
      </w:rPr>
    </w:pPr>
    <w:r w:rsidRPr="00087444">
      <w:rPr>
        <w:rFonts w:ascii="Times New Roman" w:hAnsi="Times New Roman" w:cs="Times New Roman"/>
      </w:rPr>
      <w:fldChar w:fldCharType="begin"/>
    </w:r>
    <w:r w:rsidRPr="00087444">
      <w:rPr>
        <w:rFonts w:ascii="Times New Roman" w:hAnsi="Times New Roman" w:cs="Times New Roman"/>
      </w:rPr>
      <w:instrText>PAGE   \* MERGEFORMAT</w:instrText>
    </w:r>
    <w:r w:rsidRPr="00087444">
      <w:rPr>
        <w:rFonts w:ascii="Times New Roman" w:hAnsi="Times New Roman" w:cs="Times New Roman"/>
      </w:rPr>
      <w:fldChar w:fldCharType="separate"/>
    </w:r>
    <w:r w:rsidRPr="00087444">
      <w:rPr>
        <w:rFonts w:ascii="Times New Roman" w:hAnsi="Times New Roman" w:cs="Times New Roman"/>
      </w:rPr>
      <w:t>1</w:t>
    </w:r>
    <w:r w:rsidRPr="00087444">
      <w:rPr>
        <w:rFonts w:ascii="Times New Roman" w:hAnsi="Times New Roman" w:cs="Times New Roman"/>
      </w:rPr>
      <w:fldChar w:fldCharType="end"/>
    </w:r>
  </w:p>
  <w:p w14:paraId="24E13B80" w14:textId="77777777" w:rsidR="00597497" w:rsidRDefault="00597497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15"/>
    <w:rsid w:val="002B41BE"/>
    <w:rsid w:val="0057637E"/>
    <w:rsid w:val="00597497"/>
    <w:rsid w:val="00606015"/>
    <w:rsid w:val="00741510"/>
    <w:rsid w:val="009D1313"/>
    <w:rsid w:val="00BC04DB"/>
    <w:rsid w:val="00D90D9D"/>
    <w:rsid w:val="00DF3D8F"/>
    <w:rsid w:val="00E7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3CC3"/>
  <w15:chartTrackingRefBased/>
  <w15:docId w15:val="{6D9D2C78-3E76-4528-948A-C78BC2CA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015"/>
    <w:rPr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06015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015"/>
    <w:rPr>
      <w:kern w:val="0"/>
      <w:lang w:val="en-US"/>
      <w14:ligatures w14:val="none"/>
    </w:rPr>
  </w:style>
  <w:style w:type="table" w:styleId="Tablaconcuadrcula">
    <w:name w:val="Table Grid"/>
    <w:basedOn w:val="Tablanormal"/>
    <w:uiPriority w:val="59"/>
    <w:rsid w:val="0060601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606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 María Quirós Rosado</dc:creator>
  <cp:keywords/>
  <dc:description/>
  <cp:lastModifiedBy>Elia María Quirós Rosado</cp:lastModifiedBy>
  <cp:revision>2</cp:revision>
  <dcterms:created xsi:type="dcterms:W3CDTF">2023-10-16T16:53:00Z</dcterms:created>
  <dcterms:modified xsi:type="dcterms:W3CDTF">2023-10-16T16:53:00Z</dcterms:modified>
</cp:coreProperties>
</file>