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4B1BFC" w14:textId="44CC79BF" w:rsidR="001669A6" w:rsidRPr="001669A6" w:rsidRDefault="001669A6">
      <w:pPr>
        <w:rPr>
          <w:b/>
          <w:bCs/>
          <w:color w:val="333333"/>
          <w:shd w:val="clear" w:color="auto" w:fill="FFFFFF"/>
        </w:rPr>
      </w:pPr>
      <w:r w:rsidRPr="001669A6">
        <w:rPr>
          <w:rFonts w:hint="cs"/>
          <w:b/>
          <w:bCs/>
          <w:color w:val="333333"/>
          <w:shd w:val="clear" w:color="auto" w:fill="FFFFFF"/>
        </w:rPr>
        <w:t>M</w:t>
      </w:r>
      <w:r w:rsidRPr="001669A6">
        <w:rPr>
          <w:b/>
          <w:bCs/>
          <w:color w:val="333333"/>
          <w:shd w:val="clear" w:color="auto" w:fill="FFFFFF"/>
        </w:rPr>
        <w:t>aterials and Methods</w:t>
      </w:r>
    </w:p>
    <w:p w14:paraId="5FCBF1F6" w14:textId="5400699D" w:rsidR="001669A6" w:rsidRPr="001669A6" w:rsidRDefault="001669A6">
      <w:pPr>
        <w:rPr>
          <w:b/>
          <w:bCs/>
        </w:rPr>
      </w:pPr>
      <w:r w:rsidRPr="001669A6">
        <w:rPr>
          <w:b/>
          <w:bCs/>
        </w:rPr>
        <w:t>Sample Collection</w:t>
      </w:r>
      <w:r>
        <w:rPr>
          <w:b/>
          <w:bCs/>
        </w:rPr>
        <w:t>s</w:t>
      </w:r>
    </w:p>
    <w:p w14:paraId="38D65889" w14:textId="73C2DB3B" w:rsidR="00C1160E" w:rsidRDefault="00C1160E">
      <w:r w:rsidRPr="00C1160E">
        <w:t>In this study, cancer tissues and para-cancer tissues were collected from</w:t>
      </w:r>
      <w:r w:rsidR="00292802">
        <w:t xml:space="preserve"> </w:t>
      </w:r>
      <w:r w:rsidRPr="00C1160E">
        <w:t>patient</w:t>
      </w:r>
      <w:r w:rsidR="00292802">
        <w:rPr>
          <w:rFonts w:hint="eastAsia"/>
        </w:rPr>
        <w:t>s</w:t>
      </w:r>
      <w:r w:rsidRPr="00C1160E">
        <w:t xml:space="preserve"> with HCC. These samples were diagnosed by two experienced pathologists based on the rapid freezing pathology result during the operation.</w:t>
      </w:r>
      <w:r w:rsidR="00BD19D8">
        <w:t xml:space="preserve"> E</w:t>
      </w:r>
      <w:r w:rsidRPr="00C1160E">
        <w:t>ach sample</w:t>
      </w:r>
      <w:r w:rsidR="00BD19D8" w:rsidRPr="00BD19D8">
        <w:t xml:space="preserve"> </w:t>
      </w:r>
      <w:r w:rsidR="00BD19D8" w:rsidRPr="00C1160E">
        <w:t>volume</w:t>
      </w:r>
      <w:r w:rsidRPr="00C1160E">
        <w:t xml:space="preserve"> was 1mm3 (&gt;200mg) to </w:t>
      </w:r>
      <w:r w:rsidR="00BD19D8">
        <w:t>fulfill</w:t>
      </w:r>
      <w:r w:rsidRPr="00C1160E">
        <w:t xml:space="preserve"> the requirements of transcriptomics testing and single cell RNA-sequencing testing. The para-cancer tissue was obtained by cutting it at least 2</w:t>
      </w:r>
      <w:r w:rsidR="006A3477">
        <w:t xml:space="preserve"> </w:t>
      </w:r>
      <w:r w:rsidRPr="00C1160E">
        <w:t xml:space="preserve">cm away from the edge of the matched tumor. The study was approved by the Ethics Committee of Shandong </w:t>
      </w:r>
      <w:r w:rsidR="000470C2">
        <w:t>Provincial Third</w:t>
      </w:r>
      <w:r w:rsidRPr="00C1160E">
        <w:t xml:space="preserve"> Hospital, and informed consent was obtained from </w:t>
      </w:r>
      <w:r w:rsidR="000470C2">
        <w:t>the</w:t>
      </w:r>
      <w:r w:rsidRPr="00C1160E">
        <w:t xml:space="preserve"> patients.</w:t>
      </w:r>
    </w:p>
    <w:p w14:paraId="0D88A438" w14:textId="6747640E" w:rsidR="000F3E9E" w:rsidRPr="001B1E33" w:rsidRDefault="00E376AB">
      <w:pPr>
        <w:rPr>
          <w:b/>
          <w:bCs/>
        </w:rPr>
      </w:pPr>
      <w:r w:rsidRPr="001B1E33">
        <w:rPr>
          <w:rFonts w:hint="eastAsia"/>
          <w:b/>
          <w:bCs/>
        </w:rPr>
        <w:t>C</w:t>
      </w:r>
      <w:r w:rsidRPr="001B1E33">
        <w:rPr>
          <w:b/>
          <w:bCs/>
        </w:rPr>
        <w:t>ell lines and Co-cultured scheme</w:t>
      </w:r>
    </w:p>
    <w:p w14:paraId="65995C44" w14:textId="1A57F064" w:rsidR="00C1160E" w:rsidRDefault="00C1160E">
      <w:r w:rsidRPr="00C1160E">
        <w:rPr>
          <w:rFonts w:hint="eastAsia"/>
        </w:rPr>
        <w:t xml:space="preserve">The HCCLM3 cell line and MHCC97-H cell line were purchased from </w:t>
      </w:r>
      <w:proofErr w:type="spellStart"/>
      <w:r w:rsidRPr="00C1160E">
        <w:rPr>
          <w:rFonts w:hint="eastAsia"/>
        </w:rPr>
        <w:t>Zhongqiaoxinzhou</w:t>
      </w:r>
      <w:proofErr w:type="spellEnd"/>
      <w:r w:rsidRPr="00C1160E">
        <w:rPr>
          <w:rFonts w:hint="eastAsia"/>
        </w:rPr>
        <w:t xml:space="preserve"> Company of China (www.zqxzb.io) and cultured in DMEM media at 37</w:t>
      </w:r>
      <w:r w:rsidRPr="00C1160E">
        <w:rPr>
          <w:rFonts w:hint="eastAsia"/>
        </w:rPr>
        <w:t>℃</w:t>
      </w:r>
      <w:r w:rsidRPr="00C1160E">
        <w:rPr>
          <w:rFonts w:hint="eastAsia"/>
        </w:rPr>
        <w:t xml:space="preserve"> in a 5% CO2 incubator. The TCs cell line was resuscitated from liquid nitrogen and primarily se</w:t>
      </w:r>
      <w:r w:rsidRPr="00C1160E">
        <w:t xml:space="preserve">parated from para-hepatic hemangioma normal tissues </w:t>
      </w:r>
      <w:r w:rsidR="00196AC6">
        <w:t xml:space="preserve">six years ago, and TCs could be cultured </w:t>
      </w:r>
      <w:r w:rsidR="00BD19D8">
        <w:t>successfully</w:t>
      </w:r>
      <w:r w:rsidRPr="00C1160E">
        <w:t>. Experimental groups were created by co-culturing TCs and HCC cell lines in double-deck petri dishes, while the control group consisted of solely cultured TCs. After 48 hours, mRNA from the three groups of TCs was tested using high-throughput gene sequencing technology, and the resulting data was utilized for subsequent analysis.</w:t>
      </w:r>
    </w:p>
    <w:p w14:paraId="1B972818" w14:textId="2138E946" w:rsidR="0028692C" w:rsidRPr="00D96900" w:rsidRDefault="004934B4">
      <w:pPr>
        <w:rPr>
          <w:b/>
          <w:bCs/>
        </w:rPr>
      </w:pPr>
      <w:r>
        <w:rPr>
          <w:b/>
          <w:bCs/>
        </w:rPr>
        <w:lastRenderedPageBreak/>
        <w:t xml:space="preserve">Single </w:t>
      </w:r>
      <w:r w:rsidR="00A00C0E">
        <w:rPr>
          <w:b/>
          <w:bCs/>
        </w:rPr>
        <w:t>nucleus</w:t>
      </w:r>
      <w:r>
        <w:rPr>
          <w:b/>
          <w:bCs/>
        </w:rPr>
        <w:t xml:space="preserve"> </w:t>
      </w:r>
      <w:r w:rsidR="00D96900" w:rsidRPr="00D96900">
        <w:rPr>
          <w:b/>
          <w:bCs/>
        </w:rPr>
        <w:t>RNA</w:t>
      </w:r>
      <w:r>
        <w:rPr>
          <w:b/>
          <w:bCs/>
        </w:rPr>
        <w:t xml:space="preserve"> Sequence Testing</w:t>
      </w:r>
    </w:p>
    <w:p w14:paraId="267DBF6D" w14:textId="6EEEFC64" w:rsidR="00BD19D8" w:rsidRPr="00BD19D8" w:rsidRDefault="00BD19D8" w:rsidP="00D96900">
      <w:r w:rsidRPr="00BD19D8">
        <w:t xml:space="preserve">The tissue sample is dissociated with a specific enzyme to form a cell nucleus suspension, and the prepared cell suspension is successively processed as follows: first pass through a 70 </w:t>
      </w:r>
      <w:proofErr w:type="spellStart"/>
      <w:r w:rsidRPr="00BD19D8">
        <w:t>μm</w:t>
      </w:r>
      <w:proofErr w:type="spellEnd"/>
      <w:r w:rsidRPr="00BD19D8">
        <w:t xml:space="preserve"> filter screen, and then select a 40 </w:t>
      </w:r>
      <w:proofErr w:type="spellStart"/>
      <w:r w:rsidRPr="00BD19D8">
        <w:t>μm</w:t>
      </w:r>
      <w:proofErr w:type="spellEnd"/>
      <w:r w:rsidRPr="00BD19D8">
        <w:t xml:space="preserve"> or 30 </w:t>
      </w:r>
      <w:proofErr w:type="spellStart"/>
      <w:r w:rsidRPr="00BD19D8">
        <w:t>μm</w:t>
      </w:r>
      <w:proofErr w:type="spellEnd"/>
      <w:r w:rsidRPr="00BD19D8">
        <w:t xml:space="preserve"> filter screen to filter again to maximize the removal of cell clusters in the suspension. The red blood cells are then lysed and if too many dead cells are found in the suspension after cell quality inspection, the dead cells are removed. Finally, the suspension was washed with phosphate buffer solution without calcium and magnesium ions and phosphate buffer solution containing 10% bovine serum albumin to further remove debris and adjust the concentration of the suspension. After the reverse transcription step, emulsions were broken and Barcoded-cDNA was purified with </w:t>
      </w:r>
      <w:proofErr w:type="spellStart"/>
      <w:r w:rsidRPr="00BD19D8">
        <w:t>Dynabeads</w:t>
      </w:r>
      <w:proofErr w:type="spellEnd"/>
      <w:r w:rsidRPr="00BD19D8">
        <w:t xml:space="preserve">, followed by PCR amplification. Amplified cDNA was then used for 3’gene expression library construction. For gene expression library construction, 50 ng of amplified cDNA was fragmented and end-repaired, double-size selected with </w:t>
      </w:r>
      <w:proofErr w:type="spellStart"/>
      <w:r w:rsidRPr="00BD19D8">
        <w:t>SPRIselect</w:t>
      </w:r>
      <w:proofErr w:type="spellEnd"/>
      <w:r w:rsidRPr="00BD19D8">
        <w:t xml:space="preserve"> beads, and sequenced on the </w:t>
      </w:r>
      <w:proofErr w:type="spellStart"/>
      <w:r w:rsidRPr="00BD19D8">
        <w:t>NovaSeq</w:t>
      </w:r>
      <w:proofErr w:type="spellEnd"/>
      <w:r w:rsidRPr="00BD19D8">
        <w:t xml:space="preserve"> platform (</w:t>
      </w:r>
      <w:proofErr w:type="spellStart"/>
      <w:r w:rsidRPr="00BD19D8">
        <w:t>Illumia</w:t>
      </w:r>
      <w:proofErr w:type="spellEnd"/>
      <w:r w:rsidRPr="00BD19D8">
        <w:t xml:space="preserve">) to generate 150 bp paired-end Reads. Following GEM generation, the Gel Bead is dissolved, primers are released, and any co- partitioned cell nucleus is </w:t>
      </w:r>
      <w:proofErr w:type="spellStart"/>
      <w:proofErr w:type="gramStart"/>
      <w:r w:rsidRPr="00BD19D8">
        <w:t>lysed.Primer</w:t>
      </w:r>
      <w:proofErr w:type="spellEnd"/>
      <w:proofErr w:type="gramEnd"/>
      <w:r w:rsidRPr="00BD19D8">
        <w:t xml:space="preserve"> contains an Illumina </w:t>
      </w:r>
      <w:proofErr w:type="spellStart"/>
      <w:r w:rsidRPr="00BD19D8">
        <w:t>TruSeq</w:t>
      </w:r>
      <w:proofErr w:type="spellEnd"/>
      <w:r w:rsidRPr="00BD19D8">
        <w:t xml:space="preserve"> Read 1 (Read 1 sequencing primer), 16 </w:t>
      </w:r>
      <w:proofErr w:type="spellStart"/>
      <w:r w:rsidRPr="00BD19D8">
        <w:t>nt</w:t>
      </w:r>
      <w:proofErr w:type="spellEnd"/>
      <w:r w:rsidRPr="00BD19D8">
        <w:t xml:space="preserve"> 10x Barcode, 12 </w:t>
      </w:r>
      <w:proofErr w:type="spellStart"/>
      <w:r w:rsidRPr="00BD19D8">
        <w:t>nt</w:t>
      </w:r>
      <w:proofErr w:type="spellEnd"/>
      <w:r w:rsidRPr="00BD19D8">
        <w:t xml:space="preserve"> unique molecular identifier (UMI) and 30 </w:t>
      </w:r>
      <w:proofErr w:type="spellStart"/>
      <w:r w:rsidRPr="00BD19D8">
        <w:t>nt</w:t>
      </w:r>
      <w:proofErr w:type="spellEnd"/>
      <w:r w:rsidRPr="00BD19D8">
        <w:t xml:space="preserve"> poly(dT) sequences are mixed with the cell lysate and a Master Mix containing reverse </w:t>
      </w:r>
      <w:r w:rsidRPr="00BD19D8">
        <w:lastRenderedPageBreak/>
        <w:t xml:space="preserve">transcription (RT) reagents. Incubation of GEMs produces barcoded, full-length cDNA from poly-adenylated mRNA. Barcoded, full-length cDNA is amplified via PCR to generate sufficient mass for library construction. </w:t>
      </w:r>
      <w:proofErr w:type="spellStart"/>
      <w:r w:rsidRPr="00BD19D8">
        <w:t>TruSeq</w:t>
      </w:r>
      <w:proofErr w:type="spellEnd"/>
      <w:r w:rsidRPr="00BD19D8">
        <w:t xml:space="preserve"> Read 1 (Read 1 primer sequence) is added to the molecules during GEM incubation. P5, P7, a sample index, and </w:t>
      </w:r>
      <w:proofErr w:type="spellStart"/>
      <w:r w:rsidRPr="00BD19D8">
        <w:t>TruSeq</w:t>
      </w:r>
      <w:proofErr w:type="spellEnd"/>
      <w:r w:rsidRPr="00BD19D8">
        <w:t xml:space="preserve"> Read 2 (Read 2 primer sequence) are added via End Repair, A-tailing, Adaptor Ligation, and PCR. The final libraries contain the P5 and P7 primers used in Illumina bridge amplification. Qubit HS quantification, Agilent 2100 Bioanalyzer/Fragment Analyzer 5300 quality control, the final library size of about 450bp. After sequencing and quality control, raw reads were demultiplexed and mapped to the reference genome by 10X Genomics Cell Ranger pipeline (https://support.10xgenomics.com/single-cell </w:t>
      </w:r>
      <w:proofErr w:type="spellStart"/>
      <w:r w:rsidRPr="00BD19D8">
        <w:t>geneexpression</w:t>
      </w:r>
      <w:proofErr w:type="spellEnd"/>
      <w:r w:rsidRPr="00BD19D8">
        <w:t xml:space="preserve">/software/pipelines/latest/what-is-cell-ranger) using default parameters. All downstream single-cell analyses were performed using Cell Ranger and Seurat unless mentioned specifically. Cell Ranger count takes FASTQ files performs alignment, filtering, Barcode counting, and UMI counting. The Seurat package was used to normalize data, dimensionality reduction, clustering, differential expression. we used Seurat alignment method canonical correlation analysis for integrated analysis of datasets. Biomarkers of cell-types were screened from the </w:t>
      </w:r>
      <w:proofErr w:type="spellStart"/>
      <w:r w:rsidRPr="00BD19D8">
        <w:t>CellMarker</w:t>
      </w:r>
      <w:proofErr w:type="spellEnd"/>
      <w:r w:rsidRPr="00BD19D8">
        <w:t xml:space="preserve"> website (</w:t>
      </w:r>
      <w:hyperlink r:id="rId6" w:history="1">
        <w:r w:rsidRPr="00BD19D8">
          <w:rPr>
            <w:rStyle w:val="a7"/>
            <w:color w:val="auto"/>
            <w:u w:val="none"/>
          </w:rPr>
          <w:t>http://xteam.xbio.top/CellMarker/</w:t>
        </w:r>
      </w:hyperlink>
      <w:r w:rsidRPr="00BD19D8">
        <w:t>).</w:t>
      </w:r>
    </w:p>
    <w:p w14:paraId="2DFB475C" w14:textId="22FEDD55" w:rsidR="004934B4" w:rsidRDefault="004934B4" w:rsidP="00D96900">
      <w:pPr>
        <w:rPr>
          <w:b/>
          <w:bCs/>
        </w:rPr>
      </w:pPr>
      <w:r>
        <w:rPr>
          <w:rFonts w:hint="eastAsia"/>
          <w:b/>
          <w:bCs/>
        </w:rPr>
        <w:t>T</w:t>
      </w:r>
      <w:r>
        <w:rPr>
          <w:b/>
          <w:bCs/>
        </w:rPr>
        <w:t>ranscriptomics Technology</w:t>
      </w:r>
    </w:p>
    <w:p w14:paraId="00E79357" w14:textId="4EF9C400" w:rsidR="00626B8A" w:rsidRPr="00626B8A" w:rsidRDefault="00BD19D8" w:rsidP="00D96900">
      <w:pPr>
        <w:rPr>
          <w:b/>
          <w:bCs/>
        </w:rPr>
      </w:pPr>
      <w:r w:rsidRPr="00BD19D8">
        <w:lastRenderedPageBreak/>
        <w:t xml:space="preserve">Collecting the TCs cells co-cultured with HCC cell-lines after 48 hours as well as the control group TCs, total RNA was extracted from them, respectively, and then, Total RNA was qualified and quantified as follows: 1) RNA purity and concentration were then examined using </w:t>
      </w:r>
      <w:proofErr w:type="spellStart"/>
      <w:r w:rsidRPr="00BD19D8">
        <w:t>NanoDrop</w:t>
      </w:r>
      <w:proofErr w:type="spellEnd"/>
      <w:r w:rsidRPr="00BD19D8">
        <w:t xml:space="preserve"> 2000; 2) RNA integrity and quantity were measured using the Agilent 2100/4200 system. After library construction, the concentration of library was measured by the Qubit ® fluorometer. The accurate concentration of the cDNA library was again examined using qPCR. The size distribution of the library was detected by agarose gel electrophoresis. Raw data (raw reads) of FASTQ format was first processed through in-house </w:t>
      </w:r>
      <w:proofErr w:type="spellStart"/>
      <w:r w:rsidRPr="00BD19D8">
        <w:t>perl</w:t>
      </w:r>
      <w:proofErr w:type="spellEnd"/>
      <w:r w:rsidRPr="00BD19D8">
        <w:t xml:space="preserve"> scripts. Raw data (raw reads) of FASTQ format was first processed through in-house </w:t>
      </w:r>
      <w:proofErr w:type="spellStart"/>
      <w:r w:rsidRPr="00BD19D8">
        <w:t>perl</w:t>
      </w:r>
      <w:proofErr w:type="spellEnd"/>
      <w:r w:rsidRPr="00BD19D8">
        <w:t xml:space="preserve"> scripts. Paired-end clean reads were aligned to the reference genome using Hisat2. </w:t>
      </w:r>
      <w:proofErr w:type="spellStart"/>
      <w:r w:rsidRPr="00BD19D8">
        <w:t>Featurecount</w:t>
      </w:r>
      <w:proofErr w:type="spellEnd"/>
      <w:r w:rsidRPr="00BD19D8">
        <w:t xml:space="preserve"> was used to count the reads numbers mapped to each gene. </w:t>
      </w:r>
      <w:proofErr w:type="spellStart"/>
      <w:r w:rsidRPr="00BD19D8">
        <w:t>EdgeR</w:t>
      </w:r>
      <w:proofErr w:type="spellEnd"/>
      <w:r w:rsidRPr="00BD19D8">
        <w:t xml:space="preserve"> was used for differential expression analysis. The resulting P-values were adjusted using Benjamini and Hochberg’ s approach for controlling the false discovery rate. Genes with |log2 (</w:t>
      </w:r>
      <w:proofErr w:type="spellStart"/>
      <w:r w:rsidRPr="00BD19D8">
        <w:t>FoldChange</w:t>
      </w:r>
      <w:proofErr w:type="spellEnd"/>
      <w:r w:rsidRPr="00BD19D8">
        <w:t xml:space="preserve">)| &gt; 1 &amp; q value &lt; 0.05 were assigned as differently expressed. </w:t>
      </w:r>
      <w:r w:rsidR="00626B8A" w:rsidRPr="00626B8A">
        <w:rPr>
          <w:rFonts w:hint="eastAsia"/>
          <w:b/>
          <w:bCs/>
        </w:rPr>
        <w:t>D</w:t>
      </w:r>
      <w:r w:rsidR="00626B8A" w:rsidRPr="00626B8A">
        <w:rPr>
          <w:b/>
          <w:bCs/>
        </w:rPr>
        <w:t xml:space="preserve">ata </w:t>
      </w:r>
      <w:r w:rsidR="00626B8A">
        <w:rPr>
          <w:b/>
          <w:bCs/>
        </w:rPr>
        <w:t>D</w:t>
      </w:r>
      <w:r w:rsidR="00626B8A" w:rsidRPr="00626B8A">
        <w:rPr>
          <w:b/>
          <w:bCs/>
        </w:rPr>
        <w:t>ownload</w:t>
      </w:r>
      <w:r w:rsidR="00626B8A">
        <w:rPr>
          <w:b/>
          <w:bCs/>
        </w:rPr>
        <w:t xml:space="preserve"> and </w:t>
      </w:r>
      <w:r w:rsidR="001B51D6">
        <w:rPr>
          <w:b/>
          <w:bCs/>
        </w:rPr>
        <w:t>Bioinformatic Analysis</w:t>
      </w:r>
      <w:r w:rsidR="00626B8A">
        <w:rPr>
          <w:b/>
          <w:bCs/>
        </w:rPr>
        <w:t xml:space="preserve"> </w:t>
      </w:r>
    </w:p>
    <w:p w14:paraId="573CD8D9" w14:textId="07A45DB0" w:rsidR="00E30EC1" w:rsidRPr="00E30EC1" w:rsidRDefault="00626B8A" w:rsidP="00E30EC1">
      <w:r>
        <w:rPr>
          <w:rFonts w:hint="eastAsia"/>
        </w:rPr>
        <w:t>T</w:t>
      </w:r>
      <w:r>
        <w:t>ranscriptomic data of GSE146719 and GSE202853 were download from GEO profiles (</w:t>
      </w:r>
      <w:hyperlink r:id="rId7" w:history="1">
        <w:r w:rsidRPr="00E32258">
          <w:rPr>
            <w:rStyle w:val="a7"/>
            <w:color w:val="auto"/>
            <w:u w:val="none"/>
          </w:rPr>
          <w:t>https://www.ncbi.nlm.nih.gov/</w:t>
        </w:r>
      </w:hyperlink>
      <w:r>
        <w:t xml:space="preserve">) with GEO-2R </w:t>
      </w:r>
      <w:r w:rsidR="00104D0C">
        <w:t>web tool</w:t>
      </w:r>
      <w:r>
        <w:t xml:space="preserve">. </w:t>
      </w:r>
      <w:r w:rsidR="004D339A">
        <w:t xml:space="preserve">The Cancer Genome Atlas (TCGA) database, The Human Protein Atlas (THPA) database, and </w:t>
      </w:r>
      <w:proofErr w:type="spellStart"/>
      <w:r w:rsidR="004D339A">
        <w:t>Xiantaoxueshu</w:t>
      </w:r>
      <w:proofErr w:type="spellEnd"/>
      <w:r w:rsidR="004D339A">
        <w:t xml:space="preserve"> software were used to analyze different </w:t>
      </w:r>
      <w:r w:rsidR="004D339A">
        <w:lastRenderedPageBreak/>
        <w:t xml:space="preserve">expression genes (DEGs) with </w:t>
      </w:r>
      <w:proofErr w:type="spellStart"/>
      <w:r w:rsidR="004D339A">
        <w:t>Log</w:t>
      </w:r>
      <w:r w:rsidR="00104D0C">
        <w:t>FC</w:t>
      </w:r>
      <w:proofErr w:type="spellEnd"/>
      <w:r w:rsidR="004D339A">
        <w:t xml:space="preserve"> counts</w:t>
      </w:r>
      <w:r w:rsidR="00104D0C">
        <w:t xml:space="preserve"> (&gt;1 or &lt;-1)</w:t>
      </w:r>
      <w:r w:rsidR="004D339A">
        <w:t xml:space="preserve"> and P value</w:t>
      </w:r>
      <w:r w:rsidR="00104D0C">
        <w:t xml:space="preserve"> (&lt;0.05)</w:t>
      </w:r>
      <w:r w:rsidR="004D339A">
        <w:t xml:space="preserve"> in HCC tissues, para-cancer tissues and</w:t>
      </w:r>
      <w:r w:rsidR="00AB44DE">
        <w:t xml:space="preserve"> contrasted</w:t>
      </w:r>
      <w:r w:rsidR="004D339A">
        <w:t xml:space="preserve"> normal tissues</w:t>
      </w:r>
      <w:r w:rsidR="00104D0C">
        <w:t>, including their overall survival statue</w:t>
      </w:r>
      <w:r w:rsidR="001B51D6">
        <w:t xml:space="preserve"> (OS)</w:t>
      </w:r>
      <w:r w:rsidR="00104D0C">
        <w:t>, ROC curve</w:t>
      </w:r>
      <w:r w:rsidR="00E32258">
        <w:t xml:space="preserve"> (</w:t>
      </w:r>
      <w:r w:rsidR="00E32258" w:rsidRPr="00E32258">
        <w:t>receiver operating characteristic curve</w:t>
      </w:r>
      <w:r w:rsidR="00E32258">
        <w:t>)</w:t>
      </w:r>
      <w:r w:rsidR="00104D0C">
        <w:t xml:space="preserve">, relative expressions, and immune infiltrations. </w:t>
      </w:r>
      <w:r w:rsidR="00AB44DE">
        <w:t>G</w:t>
      </w:r>
      <w:r w:rsidR="00104D0C">
        <w:t>O (Gene</w:t>
      </w:r>
      <w:r w:rsidR="00E32258">
        <w:t xml:space="preserve"> </w:t>
      </w:r>
      <w:r w:rsidR="00104D0C">
        <w:t>Ontology</w:t>
      </w:r>
      <w:r w:rsidR="00C8651E">
        <w:t>;</w:t>
      </w:r>
      <w:r w:rsidR="00C8651E" w:rsidRPr="00C8651E">
        <w:t xml:space="preserve"> http://www.bioconductor.org/packages/release/bioc/html/topGO.html</w:t>
      </w:r>
      <w:r w:rsidR="00104D0C">
        <w:t>)</w:t>
      </w:r>
      <w:r w:rsidR="00AB44DE">
        <w:rPr>
          <w:rFonts w:hint="eastAsia"/>
        </w:rPr>
        <w:t>/</w:t>
      </w:r>
      <w:r w:rsidR="00AB44DE">
        <w:t xml:space="preserve">KEGG (Kyoto Encyclopedia of Genes and Genomes) database and </w:t>
      </w:r>
      <w:proofErr w:type="spellStart"/>
      <w:r w:rsidR="00AB44DE">
        <w:t>Reactome</w:t>
      </w:r>
      <w:proofErr w:type="spellEnd"/>
      <w:r w:rsidR="00AB44DE">
        <w:t xml:space="preserve"> pathway </w:t>
      </w:r>
      <w:r w:rsidR="00104D0C">
        <w:t>web</w:t>
      </w:r>
      <w:r w:rsidR="00AB44DE">
        <w:t xml:space="preserve"> were used to explore the</w:t>
      </w:r>
      <w:r w:rsidR="00AB44DE" w:rsidRPr="00AB44DE">
        <w:t xml:space="preserve"> </w:t>
      </w:r>
      <w:r w:rsidR="00AB44DE">
        <w:t>DEGs associated signaling pathways, while String browser</w:t>
      </w:r>
      <w:r w:rsidR="00C8651E">
        <w:t xml:space="preserve"> (</w:t>
      </w:r>
      <w:r w:rsidR="00C8651E" w:rsidRPr="00C8651E">
        <w:rPr>
          <w:rFonts w:hint="eastAsia"/>
        </w:rPr>
        <w:t>http</w:t>
      </w:r>
      <w:r w:rsidR="00C8651E">
        <w:rPr>
          <w:rFonts w:hint="eastAsia"/>
        </w:rPr>
        <w:t>:</w:t>
      </w:r>
      <w:r w:rsidR="00C8651E" w:rsidRPr="00C8651E">
        <w:rPr>
          <w:rFonts w:hint="eastAsia"/>
        </w:rPr>
        <w:t>//string.embl.de/</w:t>
      </w:r>
      <w:r w:rsidR="00C8651E">
        <w:t>)</w:t>
      </w:r>
      <w:r w:rsidR="00AB44DE">
        <w:t xml:space="preserve"> was utilized to identify the protein-protein interaction</w:t>
      </w:r>
      <w:r w:rsidR="00104D0C">
        <w:t>s with an interactive score &gt;0.4</w:t>
      </w:r>
      <w:r w:rsidR="00AB44DE">
        <w:t>.</w:t>
      </w:r>
      <w:r w:rsidR="00C8651E">
        <w:t xml:space="preserve"> </w:t>
      </w:r>
      <w:r w:rsidR="00C8651E">
        <w:rPr>
          <w:rFonts w:hint="eastAsia"/>
        </w:rPr>
        <w:t xml:space="preserve">A confidence score of </w:t>
      </w:r>
      <w:r w:rsidR="00C8651E">
        <w:rPr>
          <w:rFonts w:hint="eastAsia"/>
        </w:rPr>
        <w:t>≥</w:t>
      </w:r>
      <w:r w:rsidR="00C8651E">
        <w:rPr>
          <w:rFonts w:hint="eastAsia"/>
        </w:rPr>
        <w:t xml:space="preserve"> 700 was set as the parameter for </w:t>
      </w:r>
      <w:r w:rsidR="00C8651E">
        <w:t>significance.</w:t>
      </w:r>
      <w:r w:rsidR="00AB44DE">
        <w:t xml:space="preserve"> </w:t>
      </w:r>
      <w:proofErr w:type="spellStart"/>
      <w:r w:rsidR="00AB44DE">
        <w:t>Cytoscape</w:t>
      </w:r>
      <w:proofErr w:type="spellEnd"/>
      <w:r w:rsidR="00AB44DE">
        <w:t xml:space="preserve"> software was used to search</w:t>
      </w:r>
      <w:r w:rsidR="00104D0C">
        <w:t xml:space="preserve"> and visualize</w:t>
      </w:r>
      <w:r w:rsidR="00AB44DE">
        <w:t xml:space="preserve"> the hub genes</w:t>
      </w:r>
      <w:r w:rsidR="00104D0C">
        <w:t xml:space="preserve"> with the highest degree of connectivity.</w:t>
      </w:r>
      <w:r w:rsidR="00AB44DE">
        <w:t xml:space="preserve"> </w:t>
      </w:r>
      <w:r w:rsidR="00F14293">
        <w:t>The immunohistochemistry</w:t>
      </w:r>
      <w:r w:rsidR="003F5866">
        <w:t xml:space="preserve"> (IHC)</w:t>
      </w:r>
      <w:r w:rsidR="00F14293">
        <w:t xml:space="preserve"> staining was screened from THPA web-Pathology section. </w:t>
      </w:r>
      <w:r w:rsidR="00270C4D">
        <w:t>TIMER 2.0 (Tumor Immune Estimation Resource) helps to analyze</w:t>
      </w:r>
      <w:r w:rsidR="00532AA0">
        <w:t xml:space="preserve"> the expression of</w:t>
      </w:r>
      <w:r w:rsidR="00270C4D">
        <w:t xml:space="preserve"> </w:t>
      </w:r>
      <w:r w:rsidR="00532AA0">
        <w:t xml:space="preserve">significant DEGs in immune cells (dendritic cells, CD4+T cells, CD8+T cells, T cells, macrophages, and neutrophils) of HCC tissues. </w:t>
      </w:r>
      <w:r w:rsidR="003F5866">
        <w:t xml:space="preserve">Gene set enrichment analysis (GSEA) was used to screen the significantly changed pathways and the visualized graphs were shown by </w:t>
      </w:r>
      <w:proofErr w:type="spellStart"/>
      <w:r w:rsidR="003F5866">
        <w:t>limma</w:t>
      </w:r>
      <w:proofErr w:type="spellEnd"/>
      <w:r w:rsidR="003F5866">
        <w:t xml:space="preserve"> R package. </w:t>
      </w:r>
      <w:r w:rsidR="00E30EC1">
        <w:t>ITALK software</w:t>
      </w:r>
      <w:r w:rsidR="000B4DF0">
        <w:rPr>
          <w:rFonts w:hint="eastAsia"/>
        </w:rPr>
        <w:t>(</w:t>
      </w:r>
      <w:r w:rsidR="000B4DF0" w:rsidRPr="000B4DF0">
        <w:t>https://github.com/Coolgenome/iTALK</w:t>
      </w:r>
      <w:r w:rsidR="000B4DF0">
        <w:rPr>
          <w:rFonts w:hint="eastAsia"/>
        </w:rPr>
        <w:t>)</w:t>
      </w:r>
      <w:r w:rsidR="00E30EC1" w:rsidRPr="00E30EC1">
        <w:t xml:space="preserve"> analysis in single-</w:t>
      </w:r>
      <w:r w:rsidR="00E30EC1">
        <w:t>nucleus</w:t>
      </w:r>
      <w:r w:rsidR="00E30EC1" w:rsidRPr="00E30EC1">
        <w:t xml:space="preserve"> transcriptome analysis mainly refers to the difference in ligand and receptor gene expression between different cell types by </w:t>
      </w:r>
      <w:r w:rsidR="00E30EC1" w:rsidRPr="00E30EC1">
        <w:lastRenderedPageBreak/>
        <w:t>comparing different sample groups of cells</w:t>
      </w:r>
      <w:r w:rsidR="00E30EC1">
        <w:t>.</w:t>
      </w:r>
      <w:r w:rsidR="003B2D42" w:rsidRPr="003B2D42">
        <w:t xml:space="preserve"> </w:t>
      </w:r>
      <w:proofErr w:type="spellStart"/>
      <w:r w:rsidR="003B2D42" w:rsidRPr="00E30EC1">
        <w:t>PySCENIC</w:t>
      </w:r>
      <w:proofErr w:type="spellEnd"/>
      <w:r w:rsidR="003B2D42">
        <w:t xml:space="preserve"> (0.12.1</w:t>
      </w:r>
      <w:r w:rsidR="000B4DF0">
        <w:t xml:space="preserve">; </w:t>
      </w:r>
      <w:r w:rsidR="000B4DF0" w:rsidRPr="000B4DF0">
        <w:t>https://www.cellphonedb.org/</w:t>
      </w:r>
      <w:r w:rsidR="003B2D42" w:rsidRPr="000B4DF0">
        <w:t>)</w:t>
      </w:r>
      <w:r w:rsidR="003B2D42" w:rsidRPr="00E30EC1">
        <w:t xml:space="preserve"> software can effectively identify co-expression modules between </w:t>
      </w:r>
      <w:r w:rsidR="003B2D42">
        <w:t>transcript factors</w:t>
      </w:r>
      <w:r w:rsidR="003B2D42" w:rsidRPr="00E30EC1">
        <w:t xml:space="preserve"> and potential target genes based on single cell sequencing data, construct gene regulatory networks for different cell types, and identify important regulators that maintain cell characteristics</w:t>
      </w:r>
      <w:r w:rsidR="003B2D42">
        <w:t xml:space="preserve"> by AUC-cell algorithm with</w:t>
      </w:r>
      <w:r w:rsidR="004A3AA6">
        <w:t xml:space="preserve"> </w:t>
      </w:r>
      <w:r w:rsidR="003B2D42">
        <w:t>adjusted RSS</w:t>
      </w:r>
      <w:r w:rsidR="004A3AA6">
        <w:t xml:space="preserve"> (Regulon specificity</w:t>
      </w:r>
      <w:r w:rsidR="003B2D42">
        <w:t xml:space="preserve"> score</w:t>
      </w:r>
      <w:r w:rsidR="004A3AA6">
        <w:t>) values</w:t>
      </w:r>
      <w:r w:rsidR="003B2D42">
        <w:t xml:space="preserve">. </w:t>
      </w:r>
    </w:p>
    <w:p w14:paraId="2E360863" w14:textId="77777777" w:rsidR="007F4F27" w:rsidRPr="004A3AA6" w:rsidRDefault="007F4F27" w:rsidP="00C8651E"/>
    <w:sectPr w:rsidR="007F4F27" w:rsidRPr="004A3AA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251DD2" w14:textId="77777777" w:rsidR="005D2A48" w:rsidRDefault="005D2A48" w:rsidP="005277DC">
      <w:r>
        <w:separator/>
      </w:r>
    </w:p>
  </w:endnote>
  <w:endnote w:type="continuationSeparator" w:id="0">
    <w:p w14:paraId="60183BD7" w14:textId="77777777" w:rsidR="005D2A48" w:rsidRDefault="005D2A48" w:rsidP="005277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173103" w14:textId="77777777" w:rsidR="005D2A48" w:rsidRDefault="005D2A48" w:rsidP="005277DC">
      <w:r>
        <w:separator/>
      </w:r>
    </w:p>
  </w:footnote>
  <w:footnote w:type="continuationSeparator" w:id="0">
    <w:p w14:paraId="08F2052F" w14:textId="77777777" w:rsidR="005D2A48" w:rsidRDefault="005D2A48" w:rsidP="005277D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5ED"/>
    <w:rsid w:val="000470C2"/>
    <w:rsid w:val="000B4DF0"/>
    <w:rsid w:val="000F3E9E"/>
    <w:rsid w:val="00104D0C"/>
    <w:rsid w:val="00106CDD"/>
    <w:rsid w:val="001405A3"/>
    <w:rsid w:val="001669A6"/>
    <w:rsid w:val="00172C42"/>
    <w:rsid w:val="00196AC6"/>
    <w:rsid w:val="001B1E33"/>
    <w:rsid w:val="001B51D6"/>
    <w:rsid w:val="001D7097"/>
    <w:rsid w:val="001E325C"/>
    <w:rsid w:val="00227F2E"/>
    <w:rsid w:val="00270C4D"/>
    <w:rsid w:val="0028692C"/>
    <w:rsid w:val="00292802"/>
    <w:rsid w:val="002E333C"/>
    <w:rsid w:val="00343351"/>
    <w:rsid w:val="003B2D42"/>
    <w:rsid w:val="003B70AE"/>
    <w:rsid w:val="003F5866"/>
    <w:rsid w:val="004934B4"/>
    <w:rsid w:val="004A101D"/>
    <w:rsid w:val="004A3AA6"/>
    <w:rsid w:val="004D339A"/>
    <w:rsid w:val="004E2E5B"/>
    <w:rsid w:val="00501995"/>
    <w:rsid w:val="00522018"/>
    <w:rsid w:val="005277DC"/>
    <w:rsid w:val="00532AA0"/>
    <w:rsid w:val="00540EBA"/>
    <w:rsid w:val="005D2A48"/>
    <w:rsid w:val="00626B8A"/>
    <w:rsid w:val="00643B15"/>
    <w:rsid w:val="00652D56"/>
    <w:rsid w:val="00692162"/>
    <w:rsid w:val="006A3477"/>
    <w:rsid w:val="006E2546"/>
    <w:rsid w:val="0072598D"/>
    <w:rsid w:val="00726A20"/>
    <w:rsid w:val="007700C1"/>
    <w:rsid w:val="00775C1F"/>
    <w:rsid w:val="007C0F5D"/>
    <w:rsid w:val="007F4F27"/>
    <w:rsid w:val="00857A99"/>
    <w:rsid w:val="008760B3"/>
    <w:rsid w:val="009605A2"/>
    <w:rsid w:val="009B215C"/>
    <w:rsid w:val="00A00C0E"/>
    <w:rsid w:val="00A71618"/>
    <w:rsid w:val="00AB44DE"/>
    <w:rsid w:val="00AC7A6F"/>
    <w:rsid w:val="00BD19D8"/>
    <w:rsid w:val="00C1160E"/>
    <w:rsid w:val="00C668A6"/>
    <w:rsid w:val="00C8651E"/>
    <w:rsid w:val="00CF439B"/>
    <w:rsid w:val="00D96900"/>
    <w:rsid w:val="00DF115B"/>
    <w:rsid w:val="00E30EC1"/>
    <w:rsid w:val="00E32258"/>
    <w:rsid w:val="00E376AB"/>
    <w:rsid w:val="00E51D76"/>
    <w:rsid w:val="00E9489A"/>
    <w:rsid w:val="00F055ED"/>
    <w:rsid w:val="00F13A45"/>
    <w:rsid w:val="00F14293"/>
    <w:rsid w:val="00FA2D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7B49F2"/>
  <w15:chartTrackingRefBased/>
  <w15:docId w15:val="{9A31B509-A58F-443C-851D-98B15F039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楷体" w:hAnsi="Times New Roman" w:cs="Times New Roman"/>
        <w:kern w:val="2"/>
        <w:sz w:val="28"/>
        <w:szCs w:val="28"/>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277DC"/>
    <w:pPr>
      <w:tabs>
        <w:tab w:val="center" w:pos="4153"/>
        <w:tab w:val="right" w:pos="8306"/>
      </w:tabs>
      <w:snapToGrid w:val="0"/>
      <w:jc w:val="center"/>
    </w:pPr>
    <w:rPr>
      <w:sz w:val="18"/>
      <w:szCs w:val="18"/>
    </w:rPr>
  </w:style>
  <w:style w:type="character" w:customStyle="1" w:styleId="a4">
    <w:name w:val="页眉 字符"/>
    <w:basedOn w:val="a0"/>
    <w:link w:val="a3"/>
    <w:uiPriority w:val="99"/>
    <w:rsid w:val="005277DC"/>
    <w:rPr>
      <w:sz w:val="18"/>
      <w:szCs w:val="18"/>
    </w:rPr>
  </w:style>
  <w:style w:type="paragraph" w:styleId="a5">
    <w:name w:val="footer"/>
    <w:basedOn w:val="a"/>
    <w:link w:val="a6"/>
    <w:uiPriority w:val="99"/>
    <w:unhideWhenUsed/>
    <w:rsid w:val="005277DC"/>
    <w:pPr>
      <w:tabs>
        <w:tab w:val="center" w:pos="4153"/>
        <w:tab w:val="right" w:pos="8306"/>
      </w:tabs>
      <w:snapToGrid w:val="0"/>
      <w:jc w:val="left"/>
    </w:pPr>
    <w:rPr>
      <w:sz w:val="18"/>
      <w:szCs w:val="18"/>
    </w:rPr>
  </w:style>
  <w:style w:type="character" w:customStyle="1" w:styleId="a6">
    <w:name w:val="页脚 字符"/>
    <w:basedOn w:val="a0"/>
    <w:link w:val="a5"/>
    <w:uiPriority w:val="99"/>
    <w:rsid w:val="005277DC"/>
    <w:rPr>
      <w:sz w:val="18"/>
      <w:szCs w:val="18"/>
    </w:rPr>
  </w:style>
  <w:style w:type="character" w:styleId="a7">
    <w:name w:val="Hyperlink"/>
    <w:basedOn w:val="a0"/>
    <w:uiPriority w:val="99"/>
    <w:unhideWhenUsed/>
    <w:rsid w:val="00D96900"/>
    <w:rPr>
      <w:color w:val="0563C1" w:themeColor="hyperlink"/>
      <w:u w:val="single"/>
    </w:rPr>
  </w:style>
  <w:style w:type="character" w:styleId="a8">
    <w:name w:val="Unresolved Mention"/>
    <w:basedOn w:val="a0"/>
    <w:uiPriority w:val="99"/>
    <w:semiHidden/>
    <w:unhideWhenUsed/>
    <w:rsid w:val="00D96900"/>
    <w:rPr>
      <w:color w:val="605E5C"/>
      <w:shd w:val="clear" w:color="auto" w:fill="E1DFDD"/>
    </w:rPr>
  </w:style>
  <w:style w:type="character" w:styleId="a9">
    <w:name w:val="Emphasis"/>
    <w:basedOn w:val="a0"/>
    <w:uiPriority w:val="20"/>
    <w:qFormat/>
    <w:rsid w:val="000B4DF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ncbi.nlm.nih.go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xteam.xbio.top/CellMarker/"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1267</TotalTime>
  <Pages>6</Pages>
  <Words>1181</Words>
  <Characters>6732</Characters>
  <Application>Microsoft Office Word</Application>
  <DocSecurity>0</DocSecurity>
  <Lines>56</Lines>
  <Paragraphs>15</Paragraphs>
  <ScaleCrop>false</ScaleCrop>
  <Company/>
  <LinksUpToDate>false</LinksUpToDate>
  <CharactersWithSpaces>7898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栾 光超</dc:creator>
  <cp:keywords/>
  <dc:description/>
  <cp:lastModifiedBy>Administrator Lenovo</cp:lastModifiedBy>
  <cp:revision>35</cp:revision>
  <dcterms:created xsi:type="dcterms:W3CDTF">2023-09-11T02:17:00Z</dcterms:created>
  <dcterms:modified xsi:type="dcterms:W3CDTF">2023-10-21T08:40:00Z</dcterms:modified>
</cp:coreProperties>
</file>